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r>
        <w:rPr>
          <w:rFonts w:hint="eastAsia"/>
          <w:b/>
        </w:rPr>
        <w:t>引入</w:t>
      </w:r>
    </w:p>
    <w:p>
      <w:pPr>
        <w:ind w:firstLine="420"/>
        <w:jc w:val="left"/>
        <w:rPr>
          <w:rFonts w:hint="eastAsia"/>
        </w:rPr>
      </w:pPr>
      <w:r>
        <w:rPr>
          <w:rFonts w:hint="eastAsia"/>
        </w:rPr>
        <w:t>大家好！我是曾慧。我们团队包括我和罗则鸣。我们基于2</w:t>
      </w:r>
      <w:r>
        <w:t>018</w:t>
      </w:r>
      <w:r>
        <w:rPr>
          <w:rFonts w:hint="eastAsia"/>
        </w:rPr>
        <w:t>年以前的受贿罪判决数据做了一些探索性分析。</w:t>
      </w:r>
    </w:p>
    <w:p>
      <w:pPr>
        <w:jc w:val="center"/>
        <w:rPr>
          <w:b/>
        </w:rPr>
      </w:pPr>
      <w:r>
        <w:rPr>
          <w:rFonts w:hint="eastAsia"/>
          <w:b/>
        </w:rPr>
        <w:t>变量说明</w:t>
      </w:r>
    </w:p>
    <w:p>
      <w:pPr>
        <w:ind w:firstLine="420"/>
      </w:pPr>
      <w:r>
        <w:rPr>
          <w:rFonts w:hint="eastAsia"/>
        </w:rPr>
        <w:t>研究对象是截至2</w:t>
      </w:r>
      <w:r>
        <w:t>018</w:t>
      </w:r>
      <w:r>
        <w:rPr>
          <w:rFonts w:hint="eastAsia"/>
        </w:rPr>
        <w:t>年8月在中国裁判文书网上公布的所有受贿罪项下的判决书。经过数据清理，得到判决书共1</w:t>
      </w:r>
      <w:r>
        <w:t>6114</w:t>
      </w:r>
      <w:r>
        <w:rPr>
          <w:rFonts w:hint="eastAsia"/>
        </w:rPr>
        <w:t>份。</w:t>
      </w:r>
    </w:p>
    <w:p>
      <w:pPr>
        <w:ind w:firstLine="420"/>
      </w:pPr>
      <w:r>
        <w:rPr>
          <w:rFonts w:hint="eastAsia"/>
        </w:rPr>
        <w:t>我们对所有的案件按照修法后的规定分档。</w:t>
      </w:r>
      <w:r>
        <w:t>F</w:t>
      </w:r>
      <w:r>
        <w:rPr>
          <w:rFonts w:hint="eastAsia"/>
        </w:rPr>
        <w:t>irst指第一档免除刑罚，second指第二档0</w:t>
      </w:r>
      <w:r>
        <w:t>-3</w:t>
      </w:r>
      <w:r>
        <w:rPr>
          <w:rFonts w:hint="eastAsia"/>
        </w:rPr>
        <w:t>年，third指第三档3</w:t>
      </w:r>
      <w:r>
        <w:t>-10</w:t>
      </w:r>
      <w:r>
        <w:rPr>
          <w:rFonts w:hint="eastAsia"/>
        </w:rPr>
        <w:t>年，fourth指第四档1</w:t>
      </w:r>
      <w:r>
        <w:t>0</w:t>
      </w:r>
      <w:r>
        <w:rPr>
          <w:rFonts w:hint="eastAsia"/>
        </w:rPr>
        <w:t>年以上。我们对所有案件都用修法后的规定进行分档而不是修法前案件按修法前规定分档，是因为我们认为量刑的绝对值比档次更能反映量刑轻重，反映法官对其社会危害性的评价，因而前后的分档最好保持一致。</w:t>
      </w:r>
    </w:p>
    <w:p>
      <w:pPr>
        <w:ind w:firstLine="420"/>
      </w:pPr>
      <w:r>
        <w:rPr>
          <w:rFonts w:hint="eastAsia"/>
        </w:rPr>
        <w:t>我们还把案件按时间段分成三部分，pre是指在《修九》适用以前审结的案件，即</w:t>
      </w:r>
      <w:r>
        <w:t>15.11.01</w:t>
      </w:r>
      <w:r>
        <w:rPr>
          <w:rFonts w:hint="eastAsia"/>
        </w:rPr>
        <w:t>以前的案件；between是指《修九》适用以后《解释》适用以前审结的案件，即1</w:t>
      </w:r>
      <w:r>
        <w:t>5.11.01-16.04.08</w:t>
      </w:r>
      <w:r>
        <w:rPr>
          <w:rFonts w:hint="eastAsia"/>
        </w:rPr>
        <w:t>的案件；after是指《解释》适用以后审结的案件，即1</w:t>
      </w:r>
      <w:r>
        <w:t>6.04.08</w:t>
      </w:r>
      <w:r>
        <w:rPr>
          <w:rFonts w:hint="eastAsia"/>
        </w:rPr>
        <w:t>以后的案件。</w:t>
      </w:r>
    </w:p>
    <w:p>
      <w:pPr>
        <w:ind w:firstLine="420"/>
        <w:rPr>
          <w:rFonts w:hint="eastAsia"/>
        </w:rPr>
      </w:pPr>
      <w:r>
        <w:rPr>
          <w:rFonts w:hint="eastAsia"/>
        </w:rPr>
        <w:t>我们所有变量的相关情况描述见下表。死刑、死缓、缓刑等的转换是按照邓老师文章《受贿罪之罪行均衡实证研究》里的方法进行处理的。</w:t>
      </w:r>
      <w:r>
        <w:t>S</w:t>
      </w:r>
      <w:r>
        <w:rPr>
          <w:rFonts w:hint="eastAsia"/>
        </w:rPr>
        <w:t>entence即直接从判决中提取的宣告刑期。</w:t>
      </w:r>
      <w:r>
        <w:t>A</w:t>
      </w:r>
      <w:r>
        <w:rPr>
          <w:rFonts w:hint="eastAsia"/>
        </w:rPr>
        <w:t>ctual</w:t>
      </w:r>
      <w:r>
        <w:t>_sen</w:t>
      </w:r>
      <w:r>
        <w:rPr>
          <w:rFonts w:hint="eastAsia"/>
        </w:rPr>
        <w:t>即转换后刑期。</w:t>
      </w:r>
      <w:r>
        <w:t>I</w:t>
      </w:r>
      <w:r>
        <w:rPr>
          <w:rFonts w:hint="eastAsia"/>
        </w:rPr>
        <w:t>n_</w:t>
      </w:r>
      <w:r>
        <w:t>max_amout</w:t>
      </w:r>
      <w:r>
        <w:rPr>
          <w:rFonts w:hint="eastAsia"/>
        </w:rPr>
        <w:t>是判决书中最大金额（对数）。</w:t>
      </w:r>
      <w:r>
        <w:t>In_penalty</w:t>
      </w:r>
      <w:r>
        <w:rPr>
          <w:rFonts w:hint="eastAsia"/>
        </w:rPr>
        <w:t>是罚金数额（对数）。y</w:t>
      </w:r>
      <w:r>
        <w:t>ear</w:t>
      </w:r>
      <w:r>
        <w:rPr>
          <w:rFonts w:hint="eastAsia"/>
        </w:rPr>
        <w:t>、m</w:t>
      </w:r>
      <w:r>
        <w:t>onth</w:t>
      </w:r>
      <w:r>
        <w:rPr>
          <w:rFonts w:hint="eastAsia"/>
        </w:rPr>
        <w:t>、d</w:t>
      </w:r>
      <w:r>
        <w:t>ay</w:t>
      </w:r>
      <w:r>
        <w:rPr>
          <w:rFonts w:hint="eastAsia"/>
        </w:rPr>
        <w:t>分别是判决宣告的年、月、日。</w:t>
      </w:r>
    </w:p>
    <w:p>
      <w:pPr>
        <w:jc w:val="center"/>
        <w:rPr>
          <w:rFonts w:hint="eastAsia"/>
          <w:b/>
        </w:rPr>
      </w:pPr>
      <w:r>
        <w:rPr>
          <w:rFonts w:hint="eastAsia"/>
          <w:b/>
        </w:rPr>
        <w:t>分析</w:t>
      </w:r>
    </w:p>
    <w:p>
      <w:pPr>
        <w:jc w:val="center"/>
        <w:rPr>
          <w:b/>
        </w:rPr>
      </w:pPr>
      <w:r>
        <w:rPr>
          <w:rFonts w:hint="eastAsia"/>
          <w:b/>
        </w:rPr>
        <w:t>一、各月案件数量分布不均，年末爆发式审结</w:t>
      </w:r>
    </w:p>
    <w:p>
      <w:pPr>
        <w:jc w:val="center"/>
      </w:pPr>
      <w:r>
        <w:drawing>
          <wp:inline distT="0" distB="0" distL="0" distR="0">
            <wp:extent cx="2698115" cy="1671320"/>
            <wp:effectExtent l="0" t="0" r="6985" b="5080"/>
            <wp:docPr id="1" name="图片 1" descr="C:\Users\zengh\AppData\Local\Temp\WeChat Files\06141c5042a0d252236958657b75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engh\AppData\Local\Temp\WeChat Files\06141c5042a0d252236958657b7516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714131" cy="1681436"/>
                    </a:xfrm>
                    <a:prstGeom prst="rect">
                      <a:avLst/>
                    </a:prstGeom>
                    <a:noFill/>
                    <a:ln>
                      <a:noFill/>
                    </a:ln>
                  </pic:spPr>
                </pic:pic>
              </a:graphicData>
            </a:graphic>
          </wp:inline>
        </w:drawing>
      </w:r>
    </w:p>
    <w:p>
      <w:pPr>
        <w:jc w:val="center"/>
        <w:rPr>
          <w:sz w:val="18"/>
        </w:rPr>
      </w:pPr>
      <w:r>
        <w:rPr>
          <w:rFonts w:hint="eastAsia"/>
          <w:sz w:val="18"/>
        </w:rPr>
        <w:t>图1</w:t>
      </w:r>
      <w:r>
        <w:rPr>
          <w:sz w:val="18"/>
        </w:rPr>
        <w:t xml:space="preserve"> </w:t>
      </w:r>
      <w:r>
        <w:rPr>
          <w:rFonts w:hint="eastAsia"/>
          <w:sz w:val="18"/>
        </w:rPr>
        <w:t>案件数在各月的分布</w:t>
      </w:r>
    </w:p>
    <w:p>
      <w:pPr>
        <w:ind w:firstLine="420"/>
      </w:pPr>
      <w:r>
        <w:rPr>
          <w:rFonts w:hint="eastAsia"/>
        </w:rPr>
        <w:t>将所有案件按月分布发现，前四个月份案件数量较少，五到十月案件较多，年末两月尤其是十二月案件数量骤增（此处的月份是指宣判时间所在月）。这正如某位法官所说：“1</w:t>
      </w:r>
      <w:r>
        <w:t>1</w:t>
      </w:r>
      <w:r>
        <w:rPr>
          <w:rFonts w:hint="eastAsia"/>
        </w:rPr>
        <w:t>、1</w:t>
      </w:r>
      <w:r>
        <w:t>2</w:t>
      </w:r>
      <w:r>
        <w:rPr>
          <w:rFonts w:hint="eastAsia"/>
        </w:rPr>
        <w:t>月份我们呈现‘五加二、白加黑’工作状态。”</w:t>
      </w:r>
      <w:r>
        <w:rPr>
          <w:rStyle w:val="4"/>
        </w:rPr>
        <w:footnoteReference w:id="0"/>
      </w:r>
      <w:r>
        <w:rPr>
          <w:rFonts w:hint="eastAsia"/>
          <w:b/>
        </w:rPr>
        <w:t>印证了实践中案件在平时积压，到年底大量结案的现象</w:t>
      </w:r>
      <w:r>
        <w:rPr>
          <w:rFonts w:hint="eastAsia"/>
        </w:rPr>
        <w:t>。</w:t>
      </w:r>
    </w:p>
    <w:p>
      <w:pPr>
        <w:ind w:firstLine="420"/>
      </w:pPr>
      <w:r>
        <w:rPr>
          <w:rFonts w:hint="eastAsia"/>
        </w:rPr>
        <w:t>这一数据可以为刑事案件存在积压问题的观点提供一点统计支持。2</w:t>
      </w:r>
      <w:r>
        <w:t>003</w:t>
      </w:r>
      <w:r>
        <w:rPr>
          <w:rFonts w:hint="eastAsia"/>
        </w:rPr>
        <w:t>年，有学者通过对高案件审结率以及院日均审结数低的分析得出中国不存在刑事案件积压问题的结论。</w:t>
      </w:r>
      <w:r>
        <w:rPr>
          <w:rStyle w:val="4"/>
        </w:rPr>
        <w:footnoteReference w:id="1"/>
      </w:r>
      <w:r>
        <w:rPr>
          <w:rFonts w:hint="eastAsia"/>
        </w:rPr>
        <w:t>而这一结论至少在2</w:t>
      </w:r>
      <w:r>
        <w:t>009</w:t>
      </w:r>
      <w:r>
        <w:rPr>
          <w:rFonts w:hint="eastAsia"/>
        </w:rPr>
        <w:t>年起就可以推翻了。</w:t>
      </w:r>
    </w:p>
    <w:p>
      <w:pPr>
        <w:widowControl/>
        <w:jc w:val="left"/>
      </w:pPr>
    </w:p>
    <w:p>
      <w:pPr>
        <w:jc w:val="center"/>
      </w:pPr>
      <w:r>
        <w:drawing>
          <wp:inline distT="0" distB="0" distL="0" distR="0">
            <wp:extent cx="3674745" cy="1770380"/>
            <wp:effectExtent l="0" t="0" r="1905" b="1905"/>
            <wp:docPr id="2" name="图片 2" descr="C:\Users\zengh\AppData\Local\Temp\WeChat Files\141979c683777412f5713da198b7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engh\AppData\Local\Temp\WeChat Files\141979c683777412f5713da198b7bad.png"/>
                    <pic:cNvPicPr>
                      <a:picLocks noChangeAspect="1" noChangeArrowheads="1"/>
                    </pic:cNvPicPr>
                  </pic:nvPicPr>
                  <pic:blipFill>
                    <a:blip r:embed="rId6" cstate="print">
                      <a:extLst>
                        <a:ext uri="{28A0092B-C50C-407E-A947-70E740481C1C}">
                          <a14:useLocalDpi xmlns:a14="http://schemas.microsoft.com/office/drawing/2010/main" val="0"/>
                        </a:ext>
                      </a:extLst>
                    </a:blip>
                    <a:srcRect t="1" b="26545"/>
                    <a:stretch>
                      <a:fillRect/>
                    </a:stretch>
                  </pic:blipFill>
                  <pic:spPr>
                    <a:xfrm>
                      <a:off x="0" y="0"/>
                      <a:ext cx="3696178" cy="1780433"/>
                    </a:xfrm>
                    <a:prstGeom prst="rect">
                      <a:avLst/>
                    </a:prstGeom>
                    <a:noFill/>
                    <a:ln>
                      <a:noFill/>
                    </a:ln>
                  </pic:spPr>
                </pic:pic>
              </a:graphicData>
            </a:graphic>
          </wp:inline>
        </w:drawing>
      </w:r>
    </w:p>
    <w:p>
      <w:pPr>
        <w:jc w:val="center"/>
        <w:rPr>
          <w:sz w:val="18"/>
        </w:rPr>
      </w:pPr>
      <w:r>
        <w:rPr>
          <w:rFonts w:hint="eastAsia"/>
          <w:sz w:val="18"/>
        </w:rPr>
        <w:t>图2</w:t>
      </w:r>
      <w:r>
        <w:rPr>
          <w:sz w:val="18"/>
        </w:rPr>
        <w:t xml:space="preserve"> </w:t>
      </w:r>
      <w:r>
        <w:rPr>
          <w:rFonts w:hint="eastAsia"/>
          <w:sz w:val="18"/>
        </w:rPr>
        <w:t>2</w:t>
      </w:r>
      <w:r>
        <w:rPr>
          <w:sz w:val="18"/>
        </w:rPr>
        <w:t>009</w:t>
      </w:r>
      <w:r>
        <w:rPr>
          <w:rFonts w:hint="eastAsia"/>
          <w:sz w:val="18"/>
        </w:rPr>
        <w:t>年-</w:t>
      </w:r>
      <w:r>
        <w:rPr>
          <w:sz w:val="18"/>
        </w:rPr>
        <w:t>2017</w:t>
      </w:r>
      <w:r>
        <w:rPr>
          <w:rFonts w:hint="eastAsia"/>
          <w:sz w:val="18"/>
        </w:rPr>
        <w:t>年各年案件数量按月分布</w:t>
      </w:r>
    </w:p>
    <w:p>
      <w:pPr>
        <w:ind w:firstLine="420"/>
        <w:rPr>
          <w:rFonts w:hint="eastAsia"/>
        </w:rPr>
      </w:pPr>
      <w:r>
        <w:rPr>
          <w:rFonts w:hint="eastAsia"/>
          <w:strike/>
          <w:dstrike w:val="0"/>
        </w:rPr>
        <w:t>由于2</w:t>
      </w:r>
      <w:r>
        <w:rPr>
          <w:strike/>
          <w:dstrike w:val="0"/>
        </w:rPr>
        <w:t>018</w:t>
      </w:r>
      <w:r>
        <w:rPr>
          <w:rFonts w:hint="eastAsia"/>
          <w:strike/>
          <w:dstrike w:val="0"/>
        </w:rPr>
        <w:t>年的案件只收集到8月以前公布的，将其排除。然后观察2</w:t>
      </w:r>
      <w:r>
        <w:rPr>
          <w:strike/>
          <w:dstrike w:val="0"/>
        </w:rPr>
        <w:t>009</w:t>
      </w:r>
      <w:r>
        <w:rPr>
          <w:rFonts w:hint="eastAsia"/>
          <w:strike/>
          <w:dstrike w:val="0"/>
        </w:rPr>
        <w:t>年-</w:t>
      </w:r>
      <w:r>
        <w:rPr>
          <w:strike/>
          <w:dstrike w:val="0"/>
        </w:rPr>
        <w:t>2018</w:t>
      </w:r>
      <w:r>
        <w:rPr>
          <w:rFonts w:hint="eastAsia"/>
          <w:strike/>
          <w:dstrike w:val="0"/>
        </w:rPr>
        <w:t>年每年的案件数量按月分布的形态，除了2</w:t>
      </w:r>
      <w:r>
        <w:rPr>
          <w:strike/>
          <w:dstrike w:val="0"/>
        </w:rPr>
        <w:t>015</w:t>
      </w:r>
      <w:r>
        <w:rPr>
          <w:rFonts w:hint="eastAsia"/>
          <w:strike/>
          <w:dstrike w:val="0"/>
        </w:rPr>
        <w:t>年以外，基本符合前述的年末审结案件飙升的规律。</w:t>
      </w:r>
    </w:p>
    <w:p>
      <w:pPr>
        <w:ind w:firstLine="420"/>
      </w:pPr>
      <w:r>
        <w:rPr>
          <w:rFonts w:hint="eastAsia"/>
        </w:rPr>
        <w:t>而2</w:t>
      </w:r>
      <w:r>
        <w:t>015</w:t>
      </w:r>
      <w:r>
        <w:rPr>
          <w:rFonts w:hint="eastAsia"/>
        </w:rPr>
        <w:t>年却出现了非常有趣的中间高两边低的形状，</w:t>
      </w:r>
      <w:r>
        <w:rPr>
          <w:rFonts w:hint="eastAsia"/>
          <w:b/>
        </w:rPr>
        <w:t>5、6、7月的案件审结量非常之高</w:t>
      </w:r>
      <w:r>
        <w:rPr>
          <w:rFonts w:hint="eastAsia"/>
        </w:rPr>
        <w:t>。细究其原因，经侯猛老师提示，正好2</w:t>
      </w:r>
      <w:r>
        <w:t>015</w:t>
      </w:r>
      <w:r>
        <w:rPr>
          <w:rFonts w:hint="eastAsia"/>
        </w:rPr>
        <w:t>年5月1日，立案登记制正式施行，此时受贿罪审结量大涨，且每月审结数量比其他年份年末更高，我们认为可能是立案登记制导致民事案件数量大增，法院内部司法资源有限，需抽调刑事庭人手去民事庭，因而被抽调的法官需要迅速终结手上既有的案件。当然，这只是一种猜测，如需验证还需提取出5</w:t>
      </w:r>
      <w:r>
        <w:t>-8</w:t>
      </w:r>
      <w:r>
        <w:rPr>
          <w:rFonts w:hint="eastAsia"/>
        </w:rPr>
        <w:t>月审结案件的法官姓名，并通过提取相关民事案件的法官姓名进行比对。或者更快捷的方式是随机访谈几个基层法院。</w:t>
      </w:r>
    </w:p>
    <w:p>
      <w:pPr>
        <w:ind w:firstLine="420"/>
      </w:pPr>
      <w:r>
        <w:rPr>
          <w:rFonts w:hint="eastAsia"/>
        </w:rPr>
        <w:t>据学者印波分析，年末案件爆发式审结的重要原因之一是法院系统在年末考核结案率。这一趋势据研究不符合结案规律，会诱导发生诸多程序瑕疵，降低案件审判质量。基于结案率如此弊端，取消结案率指标的呼声越来越大，故而2</w:t>
      </w:r>
      <w:r>
        <w:t>011</w:t>
      </w:r>
      <w:r>
        <w:rPr>
          <w:rFonts w:hint="eastAsia"/>
        </w:rPr>
        <w:t>年最高人民法院在《案件质量评估指导意见》中用“法定（正常）审限内结案率”代替“结案率”。</w:t>
      </w:r>
      <w:r>
        <w:rPr>
          <w:rStyle w:val="4"/>
        </w:rPr>
        <w:footnoteReference w:id="2"/>
      </w:r>
      <w:r>
        <w:rPr>
          <w:rFonts w:hint="eastAsia"/>
        </w:rPr>
        <w:t>但从上图看来，2</w:t>
      </w:r>
      <w:r>
        <w:t>011</w:t>
      </w:r>
      <w:r>
        <w:rPr>
          <w:rFonts w:hint="eastAsia"/>
        </w:rPr>
        <w:t>年后，法院在年末突击结案的现象并未得到特别的改善。</w:t>
      </w:r>
      <w:r>
        <w:rPr>
          <w:rFonts w:hint="eastAsia"/>
          <w:b/>
        </w:rPr>
        <w:t>因而年末突击结案还有其他重要的形成原因，有待探索。</w:t>
      </w:r>
    </w:p>
    <w:p/>
    <w:p>
      <w:pPr>
        <w:jc w:val="center"/>
        <w:rPr>
          <w:b/>
        </w:rPr>
      </w:pPr>
      <w:r>
        <w:rPr>
          <w:rFonts w:hint="eastAsia"/>
          <w:b/>
        </w:rPr>
        <w:t>二、各月案件刑期分布较为均匀</w:t>
      </w:r>
    </w:p>
    <w:p>
      <w:pPr>
        <w:jc w:val="center"/>
      </w:pPr>
      <w:r>
        <w:drawing>
          <wp:inline distT="0" distB="0" distL="0" distR="0">
            <wp:extent cx="3788410" cy="1633220"/>
            <wp:effectExtent l="0" t="0" r="3175" b="5715"/>
            <wp:docPr id="3" name="图片 3" descr="C:\Users\zengh\AppData\Local\Temp\WeChat Files\28d2b92a9f006e9e83e7246cfb157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engh\AppData\Local\Temp\WeChat Files\28d2b92a9f006e9e83e7246cfb157f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801388" cy="1638863"/>
                    </a:xfrm>
                    <a:prstGeom prst="rect">
                      <a:avLst/>
                    </a:prstGeom>
                    <a:noFill/>
                    <a:ln>
                      <a:noFill/>
                    </a:ln>
                  </pic:spPr>
                </pic:pic>
              </a:graphicData>
            </a:graphic>
          </wp:inline>
        </w:drawing>
      </w:r>
    </w:p>
    <w:p>
      <w:pPr>
        <w:jc w:val="center"/>
        <w:rPr>
          <w:sz w:val="18"/>
        </w:rPr>
      </w:pPr>
      <w:r>
        <w:rPr>
          <w:rFonts w:hint="eastAsia"/>
          <w:sz w:val="18"/>
        </w:rPr>
        <w:t>图3</w:t>
      </w:r>
    </w:p>
    <w:p>
      <w:pPr>
        <w:ind w:firstLine="420"/>
        <w:rPr>
          <w:rFonts w:hint="eastAsia"/>
        </w:rPr>
      </w:pPr>
      <w:r>
        <w:rPr>
          <w:rFonts w:hint="eastAsia"/>
        </w:rPr>
        <w:t>观察各月审结案件的刑期，集中趋势和离散趋势虽有波动，但总体上较为均匀，没有明显的规律。在法官结案压力骤增的1</w:t>
      </w:r>
      <w:r>
        <w:t>2</w:t>
      </w:r>
      <w:r>
        <w:rPr>
          <w:rFonts w:hint="eastAsia"/>
        </w:rPr>
        <w:t>月，其案件刑期平均下来并没有明显高于其他月份的刑期，同时其离散程度也没有显著过高或过低。</w:t>
      </w:r>
    </w:p>
    <w:p>
      <w:pPr>
        <w:ind w:firstLine="420"/>
      </w:pPr>
      <w:r>
        <w:rPr>
          <w:rFonts w:hint="eastAsia"/>
        </w:rPr>
        <w:t>图中比较突出的是5月份的数据，5月份的刑期平均值最低，同时其离散系数也比较大。我们并不能直接从这个数据得出什么结论。但我们想，这个可以为法官判刑的社会学研究提供一些思路，比如说假设温度更高时法官判刑更轻？当然这也不一定成立。</w:t>
      </w:r>
    </w:p>
    <w:p>
      <w:pPr>
        <w:ind w:firstLine="420"/>
        <w:rPr>
          <w:rFonts w:hint="eastAsia"/>
        </w:rPr>
      </w:pPr>
    </w:p>
    <w:p>
      <w:pPr>
        <w:widowControl/>
        <w:jc w:val="center"/>
        <w:rPr>
          <w:b/>
        </w:rPr>
      </w:pPr>
      <w:r>
        <w:rPr>
          <w:rFonts w:hint="eastAsia"/>
          <w:b/>
        </w:rPr>
        <w:t>三、各省级行政区刑期分布</w:t>
      </w:r>
    </w:p>
    <w:p>
      <w:pPr>
        <w:ind w:firstLine="420"/>
      </w:pPr>
      <w:r>
        <w:drawing>
          <wp:inline distT="0" distB="0" distL="0" distR="0">
            <wp:extent cx="5274310" cy="1527175"/>
            <wp:effectExtent l="0" t="0" r="2540" b="0"/>
            <wp:docPr id="8" name="图片 8" descr="C:\Users\zengh\AppData\Local\Temp\WeChat Files\bde3056dfa139238fba049d935bd2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engh\AppData\Local\Temp\WeChat Files\bde3056dfa139238fba049d935bd29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1527456"/>
                    </a:xfrm>
                    <a:prstGeom prst="rect">
                      <a:avLst/>
                    </a:prstGeom>
                    <a:noFill/>
                    <a:ln>
                      <a:noFill/>
                    </a:ln>
                  </pic:spPr>
                </pic:pic>
              </a:graphicData>
            </a:graphic>
          </wp:inline>
        </w:drawing>
      </w:r>
    </w:p>
    <w:p>
      <w:pPr>
        <w:ind w:firstLine="420"/>
      </w:pPr>
    </w:p>
    <w:p>
      <w:pPr>
        <w:ind w:left="420" w:firstLine="420"/>
      </w:pPr>
      <w:r>
        <w:rPr>
          <w:rFonts w:hint="eastAsia"/>
        </w:rPr>
        <w:t>总体上，修九实行后，各省级行政区的平均刑期均得到显著下降，离散系数普遍上升，这与全国综合来看的趋势一致。但河北、北京、湖北的离散系数出现与全国的反向变化，贵州、湖南、云南、重庆的离散系数则变化不大。原因我们不得而知。</w:t>
      </w:r>
    </w:p>
    <w:p>
      <w:pPr>
        <w:ind w:left="420" w:firstLine="420"/>
        <w:rPr>
          <w:rFonts w:hint="eastAsia"/>
        </w:rPr>
      </w:pPr>
      <w:r>
        <w:rPr>
          <w:rFonts w:hint="eastAsia"/>
        </w:rPr>
        <w:t>另外，我们探究了部分省份修九前、解释后的四档刑期分布，发现了一些现象。</w:t>
      </w:r>
    </w:p>
    <w:p>
      <w:pPr>
        <w:ind w:left="420" w:firstLine="420"/>
        <w:rPr>
          <w:rFonts w:hint="eastAsia"/>
        </w:rPr>
      </w:pPr>
      <w:r>
        <w:drawing>
          <wp:inline distT="0" distB="0" distL="0" distR="0">
            <wp:extent cx="2209165" cy="1431925"/>
            <wp:effectExtent l="0" t="0" r="635" b="0"/>
            <wp:docPr id="10" name="图片 10" descr="C:\Users\zengh\AppData\Local\Temp\WeChat Files\c2b40c8efb185c297448443ea49d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engh\AppData\Local\Temp\WeChat Files\c2b40c8efb185c297448443ea49d43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235918" cy="1449414"/>
                    </a:xfrm>
                    <a:prstGeom prst="rect">
                      <a:avLst/>
                    </a:prstGeom>
                    <a:noFill/>
                    <a:ln>
                      <a:noFill/>
                    </a:ln>
                  </pic:spPr>
                </pic:pic>
              </a:graphicData>
            </a:graphic>
          </wp:inline>
        </w:drawing>
      </w:r>
      <w:r>
        <w:drawing>
          <wp:inline distT="0" distB="0" distL="0" distR="0">
            <wp:extent cx="2266315" cy="1426210"/>
            <wp:effectExtent l="0" t="0" r="635" b="2540"/>
            <wp:docPr id="11" name="图片 11" descr="C:\Users\zengh\AppData\Local\Temp\WeChat Files\8000f556ffb424322f88e989937f1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engh\AppData\Local\Temp\WeChat Files\8000f556ffb424322f88e989937f17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3299" cy="1449303"/>
                    </a:xfrm>
                    <a:prstGeom prst="rect">
                      <a:avLst/>
                    </a:prstGeom>
                    <a:noFill/>
                    <a:ln>
                      <a:noFill/>
                    </a:ln>
                  </pic:spPr>
                </pic:pic>
              </a:graphicData>
            </a:graphic>
          </wp:inline>
        </w:drawing>
      </w:r>
    </w:p>
    <w:p>
      <w:pPr>
        <w:ind w:left="420" w:firstLine="420"/>
      </w:pPr>
      <w: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346960" cy="1541780"/>
            <wp:effectExtent l="0" t="0" r="0" b="1270"/>
            <wp:wrapSquare wrapText="bothSides"/>
            <wp:docPr id="12" name="图片 12" descr="C:\Users\zengh\AppData\Local\Temp\WeChat Files\dab0644d3f32b6d7da8d2e8d57cb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engh\AppData\Local\Temp\WeChat Files\dab0644d3f32b6d7da8d2e8d57cbd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347081" cy="1541780"/>
                    </a:xfrm>
                    <a:prstGeom prst="rect">
                      <a:avLst/>
                    </a:prstGeom>
                    <a:noFill/>
                    <a:ln>
                      <a:noFill/>
                    </a:ln>
                  </pic:spPr>
                </pic:pic>
              </a:graphicData>
            </a:graphic>
          </wp:anchor>
        </w:drawing>
      </w:r>
      <w:r>
        <w:drawing>
          <wp:inline distT="0" distB="0" distL="0" distR="0">
            <wp:extent cx="2279015" cy="1544955"/>
            <wp:effectExtent l="0" t="0" r="7620" b="0"/>
            <wp:docPr id="13" name="图片 13" descr="C:\Users\zengh\AppData\Local\Temp\WeChat Files\99ee82f6da69d3761e50385f43d68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engh\AppData\Local\Temp\WeChat Files\99ee82f6da69d3761e50385f43d688b.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00185" cy="1559231"/>
                    </a:xfrm>
                    <a:prstGeom prst="rect">
                      <a:avLst/>
                    </a:prstGeom>
                    <a:noFill/>
                    <a:ln>
                      <a:noFill/>
                    </a:ln>
                  </pic:spPr>
                </pic:pic>
              </a:graphicData>
            </a:graphic>
          </wp:inline>
        </w:drawing>
      </w:r>
    </w:p>
    <w:p>
      <w:pPr>
        <w:ind w:left="420" w:firstLine="420"/>
      </w:pPr>
      <w:r>
        <w:drawing>
          <wp:inline distT="0" distB="0" distL="0" distR="0">
            <wp:extent cx="2302510" cy="1543050"/>
            <wp:effectExtent l="0" t="0" r="2540" b="0"/>
            <wp:docPr id="14" name="图片 14" descr="C:\Users\zengh\AppData\Local\Temp\WeChat Files\1db3fd84cf14be87e6a3f04d1ef6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engh\AppData\Local\Temp\WeChat Files\1db3fd84cf14be87e6a3f04d1ef601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328431" cy="1560301"/>
                    </a:xfrm>
                    <a:prstGeom prst="rect">
                      <a:avLst/>
                    </a:prstGeom>
                    <a:noFill/>
                    <a:ln>
                      <a:noFill/>
                    </a:ln>
                  </pic:spPr>
                </pic:pic>
              </a:graphicData>
            </a:graphic>
          </wp:inline>
        </w:drawing>
      </w:r>
      <w:r>
        <w:drawing>
          <wp:inline distT="0" distB="0" distL="0" distR="0">
            <wp:extent cx="2388870" cy="1583690"/>
            <wp:effectExtent l="0" t="0" r="0" b="0"/>
            <wp:docPr id="15" name="图片 15" descr="C:\Users\zengh\AppData\Local\Temp\WeChat Files\1fecab6b85d2bb0fdb38ae6a546e6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engh\AppData\Local\Temp\WeChat Files\1fecab6b85d2bb0fdb38ae6a546e6a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404063" cy="1593905"/>
                    </a:xfrm>
                    <a:prstGeom prst="rect">
                      <a:avLst/>
                    </a:prstGeom>
                    <a:noFill/>
                    <a:ln>
                      <a:noFill/>
                    </a:ln>
                  </pic:spPr>
                </pic:pic>
              </a:graphicData>
            </a:graphic>
          </wp:inline>
        </w:drawing>
      </w:r>
    </w:p>
    <w:p>
      <w:pPr>
        <w:ind w:firstLine="420"/>
        <w:rPr>
          <w:rFonts w:hint="eastAsia"/>
        </w:rPr>
      </w:pPr>
      <w:r>
        <w:rPr>
          <w:rFonts w:hint="eastAsia"/>
        </w:rPr>
        <w:t>我们将几个较为发达的省份和几个不那么发达的省份放在一起，发现修九前发达省份的案件更倾向于分布在第三档，而不那么发达的省份分布在第二档的案件要多些。这个很好解释，发达地区的人啊、企业啊都更有钱一些，官员的受贿额也往往更高些，所以分布在较重刑期档的案件也更多。但是我们也看到的是，修九之后，发达的 或是不发达的省份，案件都向第二档集中。仅仅从四档刑期的分布来看，地区之间的差异在变小。对此的解释有两种可能，</w:t>
      </w:r>
    </w:p>
    <w:p>
      <w:pPr>
        <w:ind w:firstLine="420"/>
        <w:rPr>
          <w:rFonts w:hint="eastAsia"/>
        </w:rPr>
      </w:pPr>
      <w:r>
        <w:rPr>
          <w:rFonts w:hint="eastAsia"/>
        </w:rPr>
        <w:t>一是数额的决定力度下降了，所以刑期分布受地区经济差异的影响变小；</w:t>
      </w:r>
    </w:p>
    <w:p>
      <w:pPr>
        <w:ind w:firstLine="420"/>
        <w:rPr>
          <w:rFonts w:hint="eastAsia"/>
        </w:rPr>
      </w:pPr>
      <w:r>
        <w:rPr>
          <w:rFonts w:hint="eastAsia"/>
        </w:rPr>
        <w:t>二是这一现象出现仅仅是由于0</w:t>
      </w:r>
      <w:r>
        <w:t>-3</w:t>
      </w:r>
      <w:r>
        <w:rPr>
          <w:rFonts w:hint="eastAsia"/>
        </w:rPr>
        <w:t>年能够容纳的幅度更大了，从原来容纳部分五万元以下的案件到解释后容纳3</w:t>
      </w:r>
      <w:r>
        <w:t>-20</w:t>
      </w:r>
      <w:r>
        <w:rPr>
          <w:rFonts w:hint="eastAsia"/>
        </w:rPr>
        <w:t>万的案件。</w:t>
      </w:r>
    </w:p>
    <w:p>
      <w:pPr>
        <w:ind w:firstLine="420"/>
        <w:rPr>
          <w:rFonts w:hint="eastAsia"/>
        </w:rPr>
      </w:pPr>
      <w:r>
        <w:rPr>
          <w:rFonts w:hint="eastAsia"/>
        </w:rPr>
        <w:t>结合我们后续的回归分析，总体上数额对刑期的解释力度是在加大而不是减小的，那么第二种解释要更加可能一些。</w:t>
      </w:r>
    </w:p>
    <w:p>
      <w:pPr>
        <w:widowControl/>
        <w:jc w:val="left"/>
        <w:rPr>
          <w:rFonts w:hint="eastAsia"/>
        </w:rPr>
      </w:pPr>
    </w:p>
    <w:p>
      <w:pPr>
        <w:jc w:val="center"/>
        <w:rPr>
          <w:b/>
        </w:rPr>
      </w:pPr>
      <w:r>
        <w:rPr>
          <w:rFonts w:hint="eastAsia"/>
          <w:b/>
        </w:rPr>
        <w:t>四、《修九》前、《修九》后《解释》前、《解释》后刑期逐渐下降</w:t>
      </w:r>
    </w:p>
    <w:p>
      <w:pPr>
        <w:jc w:val="center"/>
      </w:pPr>
      <w:r>
        <w:drawing>
          <wp:inline distT="0" distB="0" distL="0" distR="0">
            <wp:extent cx="3674745" cy="1325245"/>
            <wp:effectExtent l="0" t="0" r="1905" b="8890"/>
            <wp:docPr id="4" name="图片 4" descr="C:\Users\zengh\AppData\Local\Temp\WeChat Files\c159bd99536ecf0a908644c6bb28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engh\AppData\Local\Temp\WeChat Files\c159bd99536ecf0a908644c6bb2895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674891" cy="1325213"/>
                    </a:xfrm>
                    <a:prstGeom prst="rect">
                      <a:avLst/>
                    </a:prstGeom>
                    <a:noFill/>
                    <a:ln>
                      <a:noFill/>
                    </a:ln>
                  </pic:spPr>
                </pic:pic>
              </a:graphicData>
            </a:graphic>
          </wp:inline>
        </w:drawing>
      </w:r>
    </w:p>
    <w:p>
      <w:pPr>
        <w:jc w:val="center"/>
        <w:rPr>
          <w:rFonts w:hint="eastAsia"/>
        </w:rPr>
      </w:pPr>
    </w:p>
    <w:p>
      <w:pPr>
        <w:jc w:val="center"/>
        <w:rPr>
          <w:sz w:val="18"/>
        </w:rPr>
      </w:pPr>
      <w:r>
        <w:rPr>
          <w:rFonts w:hint="eastAsia"/>
          <w:sz w:val="18"/>
        </w:rPr>
        <w:t>图4</w:t>
      </w:r>
    </w:p>
    <w:p>
      <w:pPr>
        <w:ind w:firstLine="420"/>
      </w:pPr>
      <w:r>
        <w:rPr>
          <w:rFonts w:hint="eastAsia"/>
        </w:rPr>
        <w:t>修九和解释对受贿罪修改的一个重要方面是提高数额标准，以适应人均GDP的增长。</w:t>
      </w:r>
      <w:r>
        <w:rPr>
          <w:rStyle w:val="4"/>
        </w:rPr>
        <w:footnoteReference w:id="3"/>
      </w:r>
      <w:r>
        <w:rPr>
          <w:rFonts w:hint="eastAsia"/>
        </w:rPr>
        <w:t>这一变化理论上会使得受贿罪量刑普遍降低</w:t>
      </w:r>
      <w:bookmarkStart w:id="0" w:name="_GoBack"/>
      <w:bookmarkEnd w:id="0"/>
      <w:r>
        <w:rPr>
          <w:rFonts w:hint="eastAsia"/>
        </w:rPr>
        <w:t>，我们想要通过交叉分析更细致观察这点。</w:t>
      </w:r>
    </w:p>
    <w:p>
      <w:pPr>
        <w:ind w:firstLine="420"/>
      </w:pPr>
      <w:r>
        <w:rPr>
          <w:rFonts w:hint="eastAsia"/>
        </w:rPr>
        <w:t>将样本案件按时间分类为《修九》适用前、《修九》适用后《解释》适用前、《解释》适用后三类，观察其刑期分布。相比《修九》前，《修九》后《解释》前和《解释》后刑期均值明显逐步下降，离散程度变大，说明立法者将明确的数额标准变为模糊的数额加情节标准后，受贿罪轻化，同时部分缓解了扎堆量刑的问题；将数额与情节进一步明确后，受贿罪进一步轻化。</w:t>
      </w:r>
    </w:p>
    <w:p>
      <w:pPr>
        <w:ind w:firstLine="420"/>
      </w:pPr>
      <w:r>
        <w:rPr>
          <w:rFonts w:hint="eastAsia"/>
        </w:rPr>
        <w:t>值得注意的是，相比《解释》适用后，《修九》后《解释》前的刑期均值又明显更高。《修九》后《解释》前的特点是，法律规定了模糊的数额标准加情节标准，实际上是赋予了法官极大的自由裁量权，让法官综合考量情节与数额量刑。这种情况下判案的结果，代表着法官在长期的判案实践中，按照内心的罪刑均衡标准给予案件中罪行的评价。而此时发现《修九》后《解释》前的刑期均值明显高于《解释》后，是否暗示着总体上法官实践理性所呈现的对受贿罪的评价重于《解释》对受贿罪的评价？抑或只是这段期间有极端值影响了均值呢？</w:t>
      </w:r>
    </w:p>
    <w:p>
      <w:pPr>
        <w:ind w:firstLine="420"/>
      </w:pPr>
      <w:r>
        <w:rPr>
          <w:rFonts w:hint="eastAsia"/>
        </w:rPr>
        <w:t>为了了解这一点，我们将刑期分为0、0</w:t>
      </w:r>
      <w:r>
        <w:t>-3</w:t>
      </w:r>
      <w:r>
        <w:rPr>
          <w:rFonts w:hint="eastAsia"/>
        </w:rPr>
        <w:t>年、</w:t>
      </w:r>
      <w:r>
        <w:t>3-10</w:t>
      </w:r>
      <w:r>
        <w:rPr>
          <w:rFonts w:hint="eastAsia"/>
        </w:rPr>
        <w:t>年、1</w:t>
      </w:r>
      <w:r>
        <w:t>0</w:t>
      </w:r>
      <w:r>
        <w:rPr>
          <w:rFonts w:hint="eastAsia"/>
        </w:rPr>
        <w:t>年以上，分别观察三个时间段案件在四档刑期的分布（图5）。假设各时间段的受贿罪案件罪行的不法和责任程度没有随时间变化的趋势，我们发现约百分之二十的《修九》前判刑3年以上的案件在法官心中“标价”应为3年以下，约百分之七的《修九》前判刑1</w:t>
      </w:r>
      <w:r>
        <w:t>0</w:t>
      </w:r>
      <w:r>
        <w:rPr>
          <w:rFonts w:hint="eastAsia"/>
        </w:rPr>
        <w:t>年以上的案件在法官心中“标价”</w:t>
      </w:r>
      <w:r>
        <w:t>10</w:t>
      </w:r>
      <w:r>
        <w:rPr>
          <w:rFonts w:hint="eastAsia"/>
        </w:rPr>
        <w:t>年以下；约百分之十的《解释》后判刑3年以下的案件在法官心中的价码应当在3年以上，约百分之三的《解释》后判刑1</w:t>
      </w:r>
      <w:r>
        <w:t>0</w:t>
      </w:r>
      <w:r>
        <w:rPr>
          <w:rFonts w:hint="eastAsia"/>
        </w:rPr>
        <w:t>年以下的案件在法官心中的价码在1</w:t>
      </w:r>
      <w:r>
        <w:t>0</w:t>
      </w:r>
      <w:r>
        <w:rPr>
          <w:rFonts w:hint="eastAsia"/>
        </w:rPr>
        <w:t>年以上。如果我们承认这3</w:t>
      </w:r>
      <w:r>
        <w:t>94</w:t>
      </w:r>
      <w:r>
        <w:rPr>
          <w:rFonts w:hint="eastAsia"/>
        </w:rPr>
        <w:t>个案件中法官的实践理性，那么我们应当可以得出的结论是，《修九》的确纠正了受贿罪的过度重刑化，但《解释》却矫枉过正了。</w:t>
      </w:r>
    </w:p>
    <w:p>
      <w:pPr>
        <w:ind w:firstLine="420"/>
        <w:jc w:val="center"/>
      </w:pPr>
      <w:r>
        <w:drawing>
          <wp:inline distT="0" distB="0" distL="0" distR="0">
            <wp:extent cx="4077970" cy="1412875"/>
            <wp:effectExtent l="0" t="0" r="0" b="0"/>
            <wp:docPr id="7" name="图片 7" descr="C:\Users\zengh\AppData\Local\Temp\WeChat Files\abfb8aaaecb0d4db1786a78cfde3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engh\AppData\Local\Temp\WeChat Files\abfb8aaaecb0d4db1786a78cfde304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108864" cy="1423889"/>
                    </a:xfrm>
                    <a:prstGeom prst="rect">
                      <a:avLst/>
                    </a:prstGeom>
                    <a:noFill/>
                    <a:ln>
                      <a:noFill/>
                    </a:ln>
                  </pic:spPr>
                </pic:pic>
              </a:graphicData>
            </a:graphic>
          </wp:inline>
        </w:drawing>
      </w:r>
    </w:p>
    <w:p>
      <w:pPr>
        <w:ind w:firstLine="420"/>
        <w:jc w:val="center"/>
        <w:rPr>
          <w:rFonts w:hint="eastAsia"/>
        </w:rPr>
      </w:pPr>
    </w:p>
    <w:p>
      <w:pPr>
        <w:ind w:firstLine="420"/>
        <w:jc w:val="center"/>
        <w:rPr>
          <w:sz w:val="18"/>
        </w:rPr>
      </w:pPr>
      <w:r>
        <w:rPr>
          <w:rFonts w:hint="eastAsia"/>
          <w:sz w:val="18"/>
        </w:rPr>
        <w:t>图5</w:t>
      </w:r>
    </w:p>
    <w:p>
      <w:pPr>
        <w:ind w:firstLine="420"/>
        <w:jc w:val="center"/>
        <w:rPr>
          <w:rFonts w:hint="eastAsia"/>
          <w:sz w:val="18"/>
        </w:rPr>
      </w:pPr>
      <w:r>
        <w:rPr>
          <w:sz w:val="18"/>
        </w:rPr>
        <w:drawing>
          <wp:inline distT="0" distB="0" distL="0" distR="0">
            <wp:extent cx="3662680" cy="1887855"/>
            <wp:effectExtent l="0" t="0" r="0" b="0"/>
            <wp:docPr id="6" name="图片 6" descr="C:\Users\zengh\AppData\Local\Temp\WeChat Files\3ca440a95e7f4a38ed98548e70c0b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engh\AppData\Local\Temp\WeChat Files\3ca440a95e7f4a38ed98548e70c0bc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669435" cy="1891665"/>
                    </a:xfrm>
                    <a:prstGeom prst="rect">
                      <a:avLst/>
                    </a:prstGeom>
                    <a:noFill/>
                    <a:ln>
                      <a:noFill/>
                    </a:ln>
                  </pic:spPr>
                </pic:pic>
              </a:graphicData>
            </a:graphic>
          </wp:inline>
        </w:drawing>
      </w:r>
    </w:p>
    <w:p>
      <w:pPr>
        <w:widowControl/>
        <w:jc w:val="left"/>
      </w:pPr>
      <w:r>
        <w:br w:type="page"/>
      </w:r>
    </w:p>
    <w:p>
      <w:pPr>
        <w:widowControl/>
        <w:jc w:val="center"/>
        <w:rPr>
          <w:b/>
        </w:rPr>
      </w:pPr>
      <w:r>
        <w:rPr>
          <w:rFonts w:hint="eastAsia"/>
          <w:b/>
        </w:rPr>
        <w:t>五、回归分析</w:t>
      </w:r>
    </w:p>
    <w:p>
      <w:pPr>
        <w:widowControl/>
        <w:ind w:firstLine="420"/>
        <w:jc w:val="left"/>
      </w:pPr>
      <w:r>
        <w:rPr>
          <w:rFonts w:hint="eastAsia"/>
        </w:rPr>
        <w:t>旧法久被诟病的另一点是量刑扎堆，大量</w:t>
      </w:r>
      <w:r>
        <w:t>10</w:t>
      </w:r>
      <w:r>
        <w:rPr>
          <w:rFonts w:hint="eastAsia"/>
        </w:rPr>
        <w:t>万以上的案件只能在1</w:t>
      </w:r>
      <w:r>
        <w:t>0</w:t>
      </w:r>
      <w:r>
        <w:rPr>
          <w:rFonts w:hint="eastAsia"/>
        </w:rPr>
        <w:t>年-</w:t>
      </w:r>
      <w:r>
        <w:t>15</w:t>
      </w:r>
      <w:r>
        <w:rPr>
          <w:rFonts w:hint="eastAsia"/>
        </w:rPr>
        <w:t>年的区间内量刑，新法是否对此进行了修正，我们想通过回归分析进行观察。</w:t>
      </w:r>
    </w:p>
    <w:p>
      <w:pPr>
        <w:widowControl/>
        <w:ind w:firstLine="420"/>
        <w:jc w:val="left"/>
      </w:pPr>
    </w:p>
    <w:p>
      <w:pPr>
        <w:widowControl/>
        <w:ind w:firstLine="420"/>
        <w:jc w:val="left"/>
        <w:rPr>
          <w:rFonts w:hint="eastAsia"/>
        </w:rPr>
      </w:pPr>
    </w:p>
    <w:p>
      <w:pPr>
        <w:ind w:firstLine="420"/>
        <w:jc w:val="center"/>
        <w:rPr>
          <w:b/>
          <w:sz w:val="24"/>
        </w:rPr>
      </w:pPr>
      <w:r>
        <w:rPr>
          <w:rFonts w:hint="eastAsia"/>
          <w:b/>
          <w:sz w:val="24"/>
        </w:rPr>
        <w:t>展望</w:t>
      </w:r>
    </w:p>
    <w:p>
      <w:pPr>
        <w:ind w:firstLine="420"/>
      </w:pPr>
    </w:p>
    <w:p>
      <w:pPr>
        <w:ind w:firstLine="420"/>
      </w:pPr>
      <w:r>
        <w:rPr>
          <w:rFonts w:hint="eastAsia"/>
        </w:rPr>
        <w:t>最后对我们的分析做个总结和展望。</w:t>
      </w:r>
    </w:p>
    <w:p>
      <w:pPr>
        <w:ind w:firstLine="420"/>
      </w:pPr>
      <w:r>
        <w:rPr>
          <w:rFonts w:hint="eastAsia"/>
        </w:rPr>
        <w:t>首先，比较创新的地方在于将月份这个变量纳入了研究，从而为年末爆发式审结这一现象提供了一点证据；而且通过深入探究这一现象，我们认为结案率考核的取消并没有明显改善这一现象，并建议探索其他原因；我们还观测到了2</w:t>
      </w:r>
      <w:r>
        <w:t>015</w:t>
      </w:r>
      <w:r>
        <w:rPr>
          <w:rFonts w:hint="eastAsia"/>
        </w:rPr>
        <w:t>年5月这个司法改革的关键点产生的审结量大增现象，如果对这一现象进行深入探究，或许可以为有关司法资源的研究提供一点历史知识；另外，我们发现的5月份平均刑期较低、离散程度较大的现象可以为社会学的实验研究提供一点假设。</w:t>
      </w:r>
    </w:p>
    <w:p>
      <w:pPr>
        <w:ind w:firstLine="420"/>
      </w:pPr>
      <w:r>
        <w:rPr>
          <w:rFonts w:hint="eastAsia"/>
        </w:rPr>
        <w:t>其次，我们聚焦于省份这个变量，观察了经济发展程度不同的省份在修九和解释前后判刑的地区差异，初步认为修九的出台使得受贿罪量刑的地区差异减小了。这一论断还需要更细致的研究去论证。</w:t>
      </w:r>
    </w:p>
    <w:p>
      <w:pPr>
        <w:ind w:firstLine="420"/>
      </w:pPr>
      <w:r>
        <w:rPr>
          <w:rFonts w:hint="eastAsia"/>
        </w:rPr>
        <w:t>再次，我们从总体上观察了修九前、修九后解释前、解释后的受贿罪量刑差异。发现修九和解释后受贿罪轻化，量刑扎堆问题得到部分缓解。我们还认为修九后解释前那部分量刑由于没有具体化，且为数额加情节二元标准，作为法官集体实践理性的结果，对于受贿罪的不法与责任程度的判断，有一定的参考价值。在参照这段时间量刑的前提下，我们认为解释将受贿罪过度轻刑化了。当然，我们的分析比较粗浅，并且建立在对法官集体量刑均衡程度的盲目信任上。如果可以更加深层次地挖掘中间那段时间的量刑数据，应该可以得到有实践意义的结果。</w:t>
      </w:r>
    </w:p>
    <w:p>
      <w:pPr>
        <w:ind w:firstLine="420"/>
      </w:pPr>
      <w:r>
        <w:rPr>
          <w:rFonts w:hint="eastAsia"/>
        </w:rPr>
        <w:t>最后，我们通过回归分析得出，从受贿金额对刑期的边际作用的角度来看，</w:t>
      </w:r>
      <w:r>
        <w:t>0-3</w:t>
      </w:r>
      <w:r>
        <w:rPr>
          <w:rFonts w:hint="eastAsia"/>
        </w:rPr>
        <w:t>年刑期档的改革效果显著——破除“唯数额论”和“刑期边际效应递减”；而3</w:t>
      </w:r>
      <w:r>
        <w:t>-10</w:t>
      </w:r>
      <w:r>
        <w:rPr>
          <w:rFonts w:hint="eastAsia"/>
        </w:rPr>
        <w:t>年刑期档和1</w:t>
      </w:r>
      <w:r>
        <w:t>0</w:t>
      </w:r>
      <w:r>
        <w:rPr>
          <w:rFonts w:hint="eastAsia"/>
        </w:rPr>
        <w:t>年以上的刑期档改革效果则仍存疑（似乎起到反作用？）。</w:t>
      </w:r>
    </w:p>
    <w:p>
      <w:pPr>
        <w:ind w:firstLine="420"/>
        <w:rPr>
          <w:rFonts w:hint="eastAsia"/>
        </w:rPr>
      </w:pPr>
      <w:r>
        <w:rPr>
          <w:rFonts w:hint="eastAsia"/>
        </w:rPr>
        <w:t>总的来说，我们主要是做了很多对数据库的探索性分析，得到了初步的待细致验证的结论，为以后的研究提供一些思路。谢谢老师、助教和同学的耐心聆听！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
      </w:pPr>
      <w:r>
        <w:rPr>
          <w:rStyle w:val="4"/>
        </w:rPr>
        <w:footnoteRef/>
      </w:r>
      <w:r>
        <w:t xml:space="preserve"> </w:t>
      </w:r>
      <w:r>
        <w:rPr>
          <w:rFonts w:hint="eastAsia"/>
        </w:rPr>
        <w:t>参见印波：《刑事结案效率考评指标的嬗进及反思》，载《法学》2</w:t>
      </w:r>
      <w:r>
        <w:t>020</w:t>
      </w:r>
      <w:r>
        <w:rPr>
          <w:rFonts w:hint="eastAsia"/>
        </w:rPr>
        <w:t>年第8期。</w:t>
      </w:r>
    </w:p>
  </w:footnote>
  <w:footnote w:id="1">
    <w:p>
      <w:pPr>
        <w:pStyle w:val="2"/>
      </w:pPr>
      <w:r>
        <w:rPr>
          <w:rStyle w:val="4"/>
        </w:rPr>
        <w:footnoteRef/>
      </w:r>
      <w:r>
        <w:t xml:space="preserve"> </w:t>
      </w:r>
      <w:r>
        <w:rPr>
          <w:rFonts w:hint="eastAsia"/>
        </w:rPr>
        <w:t>参见易延友：《辩诉交易应当缓行》，载《法学》2</w:t>
      </w:r>
      <w:r>
        <w:t>003</w:t>
      </w:r>
      <w:r>
        <w:rPr>
          <w:rFonts w:hint="eastAsia"/>
        </w:rPr>
        <w:t>年第1</w:t>
      </w:r>
      <w:r>
        <w:t>2</w:t>
      </w:r>
      <w:r>
        <w:rPr>
          <w:rFonts w:hint="eastAsia"/>
        </w:rPr>
        <w:t>期。</w:t>
      </w:r>
    </w:p>
  </w:footnote>
  <w:footnote w:id="2">
    <w:p>
      <w:pPr>
        <w:pStyle w:val="2"/>
      </w:pPr>
      <w:r>
        <w:rPr>
          <w:rStyle w:val="4"/>
        </w:rPr>
        <w:footnoteRef/>
      </w:r>
      <w:r>
        <w:t xml:space="preserve"> </w:t>
      </w:r>
      <w:r>
        <w:rPr>
          <w:rFonts w:hint="eastAsia"/>
        </w:rPr>
        <w:t>印波文。</w:t>
      </w:r>
    </w:p>
  </w:footnote>
  <w:footnote w:id="3">
    <w:p>
      <w:pPr>
        <w:pStyle w:val="2"/>
        <w:rPr>
          <w:rFonts w:hint="eastAsia"/>
        </w:rPr>
      </w:pPr>
      <w:r>
        <w:rPr>
          <w:rStyle w:val="4"/>
        </w:rPr>
        <w:footnoteRef/>
      </w:r>
      <w:r>
        <w:t xml:space="preserve"> </w:t>
      </w:r>
      <w:r>
        <w:rPr>
          <w:rFonts w:hint="eastAsia"/>
        </w:rPr>
        <w:t>参见张明楷：《贪污贿赂罪的司法与立法发展方向》，载《政法论坛》2</w:t>
      </w:r>
      <w:r>
        <w:t>017</w:t>
      </w:r>
      <w:r>
        <w:rPr>
          <w:rFonts w:hint="eastAsia"/>
        </w:rPr>
        <w:t>年1月。</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E73"/>
    <w:rsid w:val="000139E6"/>
    <w:rsid w:val="000234D7"/>
    <w:rsid w:val="00037E73"/>
    <w:rsid w:val="00055AFB"/>
    <w:rsid w:val="000701F2"/>
    <w:rsid w:val="00072E76"/>
    <w:rsid w:val="00085789"/>
    <w:rsid w:val="000D4D14"/>
    <w:rsid w:val="000E7A61"/>
    <w:rsid w:val="0013500B"/>
    <w:rsid w:val="001447B4"/>
    <w:rsid w:val="00150D09"/>
    <w:rsid w:val="0015614B"/>
    <w:rsid w:val="0017145C"/>
    <w:rsid w:val="0019274B"/>
    <w:rsid w:val="001B4A71"/>
    <w:rsid w:val="001F20F9"/>
    <w:rsid w:val="001F5302"/>
    <w:rsid w:val="00265574"/>
    <w:rsid w:val="00266E07"/>
    <w:rsid w:val="00292F54"/>
    <w:rsid w:val="00295621"/>
    <w:rsid w:val="002B2F1A"/>
    <w:rsid w:val="002E31D9"/>
    <w:rsid w:val="002F2A3C"/>
    <w:rsid w:val="002F39D5"/>
    <w:rsid w:val="0030089B"/>
    <w:rsid w:val="00352DD8"/>
    <w:rsid w:val="00386A98"/>
    <w:rsid w:val="003E3891"/>
    <w:rsid w:val="004102A0"/>
    <w:rsid w:val="0041214D"/>
    <w:rsid w:val="00420F11"/>
    <w:rsid w:val="00422BEC"/>
    <w:rsid w:val="004441BA"/>
    <w:rsid w:val="00456E9E"/>
    <w:rsid w:val="00475886"/>
    <w:rsid w:val="00490425"/>
    <w:rsid w:val="00495502"/>
    <w:rsid w:val="004B19CC"/>
    <w:rsid w:val="004C06D4"/>
    <w:rsid w:val="004C553B"/>
    <w:rsid w:val="004D5AD2"/>
    <w:rsid w:val="004D6C84"/>
    <w:rsid w:val="004F3082"/>
    <w:rsid w:val="00502931"/>
    <w:rsid w:val="00505202"/>
    <w:rsid w:val="00510E9F"/>
    <w:rsid w:val="00537C75"/>
    <w:rsid w:val="005447CF"/>
    <w:rsid w:val="00567BB1"/>
    <w:rsid w:val="0057289A"/>
    <w:rsid w:val="00590966"/>
    <w:rsid w:val="005B665A"/>
    <w:rsid w:val="005E44CD"/>
    <w:rsid w:val="005F3CB3"/>
    <w:rsid w:val="005F4663"/>
    <w:rsid w:val="00622435"/>
    <w:rsid w:val="00633A57"/>
    <w:rsid w:val="0064256D"/>
    <w:rsid w:val="00644993"/>
    <w:rsid w:val="0066345F"/>
    <w:rsid w:val="00687B33"/>
    <w:rsid w:val="00690519"/>
    <w:rsid w:val="006A440A"/>
    <w:rsid w:val="006F080B"/>
    <w:rsid w:val="00714F35"/>
    <w:rsid w:val="00760BE7"/>
    <w:rsid w:val="0077058B"/>
    <w:rsid w:val="00771957"/>
    <w:rsid w:val="00780797"/>
    <w:rsid w:val="00782613"/>
    <w:rsid w:val="007C0D9F"/>
    <w:rsid w:val="007C20FE"/>
    <w:rsid w:val="007E3C8D"/>
    <w:rsid w:val="007F1C92"/>
    <w:rsid w:val="007F6B6D"/>
    <w:rsid w:val="00807C6E"/>
    <w:rsid w:val="00835AB9"/>
    <w:rsid w:val="00836CC9"/>
    <w:rsid w:val="00891EAB"/>
    <w:rsid w:val="008A3D9E"/>
    <w:rsid w:val="008A49EA"/>
    <w:rsid w:val="008C0694"/>
    <w:rsid w:val="008D35CA"/>
    <w:rsid w:val="008D7D45"/>
    <w:rsid w:val="008E2C9E"/>
    <w:rsid w:val="008E4073"/>
    <w:rsid w:val="0090181C"/>
    <w:rsid w:val="009075F6"/>
    <w:rsid w:val="00911B3C"/>
    <w:rsid w:val="00943432"/>
    <w:rsid w:val="00944223"/>
    <w:rsid w:val="00944D8E"/>
    <w:rsid w:val="009602F0"/>
    <w:rsid w:val="00964E99"/>
    <w:rsid w:val="009842AC"/>
    <w:rsid w:val="009A1263"/>
    <w:rsid w:val="00A121B4"/>
    <w:rsid w:val="00A272BA"/>
    <w:rsid w:val="00A44C7F"/>
    <w:rsid w:val="00A4660A"/>
    <w:rsid w:val="00A4695E"/>
    <w:rsid w:val="00A506CF"/>
    <w:rsid w:val="00A628AA"/>
    <w:rsid w:val="00A75A31"/>
    <w:rsid w:val="00AA702A"/>
    <w:rsid w:val="00AD4FF2"/>
    <w:rsid w:val="00AE144F"/>
    <w:rsid w:val="00AF4809"/>
    <w:rsid w:val="00AF4AC9"/>
    <w:rsid w:val="00AF5E7E"/>
    <w:rsid w:val="00B11D2A"/>
    <w:rsid w:val="00B24B4B"/>
    <w:rsid w:val="00B749FD"/>
    <w:rsid w:val="00B74EA0"/>
    <w:rsid w:val="00B7541A"/>
    <w:rsid w:val="00BB0D13"/>
    <w:rsid w:val="00BB1E53"/>
    <w:rsid w:val="00BB248B"/>
    <w:rsid w:val="00BB7FBA"/>
    <w:rsid w:val="00BC3A7E"/>
    <w:rsid w:val="00BD33ED"/>
    <w:rsid w:val="00BF7424"/>
    <w:rsid w:val="00C06230"/>
    <w:rsid w:val="00C179C9"/>
    <w:rsid w:val="00C67720"/>
    <w:rsid w:val="00C72AF4"/>
    <w:rsid w:val="00C86D92"/>
    <w:rsid w:val="00C91C8B"/>
    <w:rsid w:val="00CA0C48"/>
    <w:rsid w:val="00CB451E"/>
    <w:rsid w:val="00CE75EE"/>
    <w:rsid w:val="00CF3F9B"/>
    <w:rsid w:val="00CF596D"/>
    <w:rsid w:val="00D31CBA"/>
    <w:rsid w:val="00D34C8F"/>
    <w:rsid w:val="00D44D79"/>
    <w:rsid w:val="00D71FB2"/>
    <w:rsid w:val="00D72EB4"/>
    <w:rsid w:val="00D759E8"/>
    <w:rsid w:val="00DB2EF7"/>
    <w:rsid w:val="00DD3931"/>
    <w:rsid w:val="00DE3910"/>
    <w:rsid w:val="00DE4E5A"/>
    <w:rsid w:val="00E044E3"/>
    <w:rsid w:val="00E17F77"/>
    <w:rsid w:val="00E30A4C"/>
    <w:rsid w:val="00E32A1B"/>
    <w:rsid w:val="00E459A3"/>
    <w:rsid w:val="00E5069F"/>
    <w:rsid w:val="00E55856"/>
    <w:rsid w:val="00E73345"/>
    <w:rsid w:val="00EA5630"/>
    <w:rsid w:val="00EA62D2"/>
    <w:rsid w:val="00ED4D76"/>
    <w:rsid w:val="00EF1725"/>
    <w:rsid w:val="00EF1D96"/>
    <w:rsid w:val="00EF5BE3"/>
    <w:rsid w:val="00F06094"/>
    <w:rsid w:val="00F06652"/>
    <w:rsid w:val="00F12B43"/>
    <w:rsid w:val="00F164A8"/>
    <w:rsid w:val="00F16D27"/>
    <w:rsid w:val="00F20FFB"/>
    <w:rsid w:val="00F42340"/>
    <w:rsid w:val="00F46E27"/>
    <w:rsid w:val="00F74371"/>
    <w:rsid w:val="00F77E4C"/>
    <w:rsid w:val="00F9132C"/>
    <w:rsid w:val="00F9214F"/>
    <w:rsid w:val="00FA33CF"/>
    <w:rsid w:val="00FA4BC8"/>
    <w:rsid w:val="00FA4BD5"/>
    <w:rsid w:val="00FB487D"/>
    <w:rsid w:val="00FC41FA"/>
    <w:rsid w:val="00FE0A89"/>
    <w:rsid w:val="00FE6C2F"/>
    <w:rsid w:val="753F1FFD"/>
    <w:rsid w:val="7FBCD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footnote text"/>
    <w:basedOn w:val="1"/>
    <w:link w:val="6"/>
    <w:unhideWhenUsed/>
    <w:qFormat/>
    <w:uiPriority w:val="99"/>
    <w:pPr>
      <w:snapToGrid w:val="0"/>
      <w:jc w:val="left"/>
    </w:pPr>
    <w:rPr>
      <w:sz w:val="18"/>
      <w:szCs w:val="18"/>
    </w:rPr>
  </w:style>
  <w:style w:type="character" w:styleId="4">
    <w:name w:val="footnote reference"/>
    <w:basedOn w:val="3"/>
    <w:unhideWhenUsed/>
    <w:qFormat/>
    <w:uiPriority w:val="99"/>
    <w:rPr>
      <w:vertAlign w:val="superscript"/>
    </w:rPr>
  </w:style>
  <w:style w:type="character" w:customStyle="1" w:styleId="6">
    <w:name w:val="脚注文本 字符"/>
    <w:basedOn w:val="3"/>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576</Words>
  <Characters>3287</Characters>
  <Lines>27</Lines>
  <Paragraphs>7</Paragraphs>
  <TotalTime>0</TotalTime>
  <ScaleCrop>false</ScaleCrop>
  <LinksUpToDate>false</LinksUpToDate>
  <CharactersWithSpaces>3856</CharactersWithSpaces>
  <Application>WPS Office_4.1.2.6545_F1E327BC-269C-435d-A152-05C5408002CA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2022-05-24T19:24:00Z</dcterms:created>
  <dc:creator>曾慧</dc:creator>
  <cp:lastModifiedBy>luozeming</cp:lastModifiedBy>
  <dcterms:modified xsi:type="dcterms:W3CDTF">2022-05-27T12:00:35Z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2052-4.1.2.6545</vt:lpwstr>
  </property>
</Properties>
</file>