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2" w:author="Stefanie B." w:date="2026-05-11T12:39:00Z">
        <w:r>
          <w:t xml:space="preserve">the </w:t>
        </w:r>
      </w:ins>
      <w:r>
        <w:t xml:space="preserve">rule-based logic </w:t>
      </w:r>
      <w:ins w:id="43"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4"/>
      <w:r>
        <w:t>qualification</w:t>
      </w:r>
      <w:commentRangeEnd w:id="44"/>
      <w:r>
        <w:rPr>
          <w:rStyle w:val="CommentReference"/>
          <w:sz w:val="22"/>
          <w:szCs w:val="22"/>
        </w:rPr>
        <w:commentReference w:id="44"/>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5"/>
      <w:r>
        <w:t>2022</w:t>
      </w:r>
      <w:commentRangeEnd w:id="45"/>
      <w:r>
        <w:rPr>
          <w:rStyle w:val="CommentReference"/>
          <w:sz w:val="22"/>
          <w:szCs w:val="22"/>
        </w:rPr>
        <w:commentReference w:id="45"/>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5A279901" w:rsidR="00401741" w:rsidRDefault="00000000">
      <w:r>
        <w:t xml:space="preserve">Deep learning is a specific form of machine learning that uses neural networks consisting of multiple </w:t>
      </w:r>
      <w:commentRangeStart w:id="46"/>
      <w:r>
        <w:t>layers</w:t>
      </w:r>
      <w:commentRangeEnd w:id="46"/>
      <w:r>
        <w:rPr>
          <w:rStyle w:val="CommentReference"/>
          <w:sz w:val="22"/>
          <w:szCs w:val="22"/>
        </w:rPr>
        <w:commentReference w:id="46"/>
      </w:r>
      <w:r>
        <w:t xml:space="preserve"> (</w:t>
      </w:r>
      <w:r>
        <w:rPr>
          <w:highlight w:val="white"/>
          <w:lang w:val="en-US"/>
        </w:rPr>
        <w:t>LeCun</w:t>
      </w:r>
      <w:r>
        <w:rPr>
          <w:lang w:val="en-US"/>
        </w:rPr>
        <w:t xml:space="preserve"> et al., 2015)</w:t>
      </w:r>
      <w:r>
        <w:t xml:space="preserve">. Training a deep learning model requires a large amount of data and </w:t>
      </w:r>
      <w:commentRangeStart w:id="47"/>
      <w:r>
        <w:t>computation</w:t>
      </w:r>
      <w:commentRangeEnd w:id="47"/>
      <w:r>
        <w:rPr>
          <w:rStyle w:val="CommentReference"/>
          <w:sz w:val="22"/>
          <w:szCs w:val="22"/>
        </w:rPr>
        <w:commentReference w:id="47"/>
      </w:r>
      <w:r>
        <w:t>; this has created a situation where it has only become prevalent after A</w:t>
      </w:r>
      <w:commentRangeStart w:id="48"/>
      <w:r>
        <w:t>lexNet (Krizhevsky et al., 2012), even though the concept has been around since 1958</w:t>
      </w:r>
      <w:commentRangeEnd w:id="48"/>
      <w:r>
        <w:rPr>
          <w:rStyle w:val="CommentReference"/>
          <w:sz w:val="22"/>
          <w:szCs w:val="22"/>
        </w:rPr>
        <w:commentReference w:id="48"/>
      </w:r>
      <w:r>
        <w:t xml:space="preserve">. Probably the best-known early applications of deep learning in marketing revolve around </w:t>
      </w:r>
      <w:commentRangeStart w:id="49"/>
      <w:r>
        <w:t>chatbots</w:t>
      </w:r>
      <w:commentRangeEnd w:id="49"/>
      <w:r>
        <w:rPr>
          <w:rStyle w:val="CommentReference"/>
          <w:sz w:val="22"/>
          <w:szCs w:val="22"/>
        </w:rPr>
        <w:commentReference w:id="49"/>
      </w:r>
      <w:r>
        <w:t xml:space="preserve">. After </w:t>
      </w:r>
      <w:commentRangeStart w:id="50"/>
      <w:r>
        <w:t>word2vec</w:t>
      </w:r>
      <w:commentRangeEnd w:id="50"/>
      <w:r>
        <w:rPr>
          <w:rStyle w:val="CommentReference"/>
          <w:sz w:val="22"/>
          <w:szCs w:val="22"/>
        </w:rPr>
        <w:commentReference w:id="50"/>
      </w:r>
      <w:r>
        <w:t xml:space="preserve"> (Mikolov et al., 2013), which gave a numerical representation of words, it became possible to match user questions to question-and-answer sets that were explicitly collected. This gave rise to early chatbots, which could answer </w:t>
      </w:r>
      <w:commentRangeStart w:id="51"/>
      <w:r>
        <w:t xml:space="preserve">FAQ </w:t>
      </w:r>
      <w:commentRangeEnd w:id="51"/>
      <w:r>
        <w:rPr>
          <w:rStyle w:val="CommentReference"/>
          <w:sz w:val="22"/>
          <w:szCs w:val="22"/>
        </w:rPr>
        <w:commentReference w:id="51"/>
      </w:r>
      <w:r>
        <w:t>questions (</w:t>
      </w:r>
      <w:r>
        <w:rPr>
          <w:highlight w:val="white"/>
        </w:rPr>
        <w:t>Dutta et al., 2021)</w:t>
      </w:r>
      <w:r>
        <w:t>.</w:t>
      </w:r>
    </w:p>
    <w:p w14:paraId="57B20B8C" w14:textId="77777777" w:rsidR="00401741" w:rsidRDefault="00000000">
      <w:pPr>
        <w:pStyle w:val="Heading3"/>
      </w:pPr>
      <w:bookmarkStart w:id="52" w:name="_fqeqowri1ro4" w:colFirst="0" w:colLast="0"/>
      <w:bookmarkEnd w:id="52"/>
      <w:r>
        <w:lastRenderedPageBreak/>
        <w:t>2.1.1.</w:t>
      </w:r>
      <w:r>
        <w:tab/>
        <w:t>The Rise of the LLM</w:t>
      </w:r>
    </w:p>
    <w:p w14:paraId="6471EEE5" w14:textId="4B532DE1" w:rsidR="00401741" w:rsidRDefault="00000000">
      <w:pPr>
        <w:rPr>
          <w:del w:id="53" w:author="Stefanie B." w:date="2026-05-11T12:43:00Z"/>
        </w:rPr>
      </w:pPr>
      <w:r>
        <w:t xml:space="preserve">But the real breakthrough came with the paper “Attention is All You Need” (Vaswani et al., 2016), which introduced the Transformer model (the T in </w:t>
      </w:r>
      <w:commentRangeStart w:id="54"/>
      <w:commentRangeStart w:id="55"/>
      <w:r>
        <w:t>GPT</w:t>
      </w:r>
      <w:commentRangeEnd w:id="55"/>
      <w:r>
        <w:rPr>
          <w:rStyle w:val="CommentReference"/>
          <w:sz w:val="22"/>
          <w:szCs w:val="22"/>
        </w:rPr>
        <w:commentReference w:id="55"/>
      </w:r>
      <w:commentRangeEnd w:id="54"/>
      <w:r>
        <w:rPr>
          <w:rStyle w:val="CommentReference"/>
          <w:sz w:val="22"/>
          <w:szCs w:val="22"/>
        </w:rPr>
        <w:commentReference w:id="54"/>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6"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7"/>
      <w:commentRangeStart w:id="58"/>
      <w:r>
        <w:t>2018</w:t>
      </w:r>
      <w:commentRangeEnd w:id="58"/>
      <w:r>
        <w:rPr>
          <w:rStyle w:val="CommentReference"/>
          <w:sz w:val="22"/>
          <w:szCs w:val="22"/>
        </w:rPr>
        <w:commentReference w:id="58"/>
      </w:r>
      <w:commentRangeEnd w:id="57"/>
      <w:r>
        <w:rPr>
          <w:rStyle w:val="CommentReference"/>
          <w:sz w:val="22"/>
          <w:szCs w:val="22"/>
        </w:rPr>
        <w:commentReference w:id="57"/>
      </w:r>
      <w:r>
        <w:t>). A key element here is the term “</w:t>
      </w:r>
      <w:commentRangeStart w:id="59"/>
      <w:r>
        <w:t>pretrained</w:t>
      </w:r>
      <w:commentRangeEnd w:id="59"/>
      <w:r>
        <w:rPr>
          <w:rStyle w:val="CommentReference"/>
          <w:sz w:val="22"/>
          <w:szCs w:val="22"/>
        </w:rPr>
        <w:commentReference w:id="59"/>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0"/>
      <w:r>
        <w:t>models</w:t>
      </w:r>
      <w:commentRangeEnd w:id="60"/>
      <w:r>
        <w:rPr>
          <w:rStyle w:val="CommentReference"/>
          <w:sz w:val="22"/>
          <w:szCs w:val="22"/>
        </w:rPr>
        <w:commentReference w:id="60"/>
      </w:r>
      <w:r>
        <w:t xml:space="preserve"> (</w:t>
      </w:r>
      <w:r>
        <w:rPr>
          <w:highlight w:val="white"/>
        </w:rPr>
        <w:t>Burkhardt &amp; Rieder, 2024)</w:t>
      </w:r>
      <w:r>
        <w:t xml:space="preserve">. This </w:t>
      </w:r>
      <w:commentRangeStart w:id="61"/>
      <w:ins w:id="62" w:author="Stefanie B." w:date="2026-05-11T12:44:00Z">
        <w:r>
          <w:t xml:space="preserve">development </w:t>
        </w:r>
      </w:ins>
      <w:commentRangeEnd w:id="61"/>
      <w:r>
        <w:rPr>
          <w:rStyle w:val="CommentReference"/>
          <w:sz w:val="22"/>
          <w:szCs w:val="22"/>
        </w:rPr>
        <w:commentReference w:id="61"/>
      </w:r>
      <w:r>
        <w:t>shift from up-front costs to usage-based costs makes AI much more applicable for small-scale use cases and quick experimentation (</w:t>
      </w:r>
      <w:r>
        <w:rPr>
          <w:highlight w:val="white"/>
        </w:rPr>
        <w:t xml:space="preserve">Burkhardt &amp; Rieder, </w:t>
      </w:r>
      <w:commentRangeStart w:id="63"/>
      <w:r>
        <w:rPr>
          <w:highlight w:val="white"/>
        </w:rPr>
        <w:t>2024</w:t>
      </w:r>
      <w:commentRangeEnd w:id="63"/>
      <w:r>
        <w:rPr>
          <w:rStyle w:val="CommentReference"/>
          <w:sz w:val="22"/>
          <w:szCs w:val="22"/>
          <w:highlight w:val="white"/>
        </w:rPr>
        <w:commentReference w:id="63"/>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4"/>
      <w:r>
        <w:t xml:space="preserve">text </w:t>
      </w:r>
      <w:commentRangeEnd w:id="64"/>
      <w:r>
        <w:rPr>
          <w:rStyle w:val="CommentReference"/>
          <w:sz w:val="22"/>
          <w:szCs w:val="22"/>
        </w:rPr>
        <w:commentReference w:id="6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5" w:name="_n7fdo5m5v3pp" w:colFirst="0" w:colLast="0"/>
      <w:bookmarkEnd w:id="65"/>
      <w:r>
        <w:t>2.1.2.</w:t>
      </w:r>
      <w:r>
        <w:tab/>
        <w:t>The impact of ChatGPT</w:t>
      </w:r>
    </w:p>
    <w:p w14:paraId="7551610A" w14:textId="77777777" w:rsidR="00401741" w:rsidRDefault="00000000">
      <w:r>
        <w:t xml:space="preserve">ChatGPT was the introduction of </w:t>
      </w:r>
      <w:ins w:id="66" w:author="Stefanie B." w:date="2026-05-11T12:53:00Z">
        <w:r>
          <w:t>Gen</w:t>
        </w:r>
      </w:ins>
      <w:r>
        <w:t xml:space="preserve">AI to the broader public as a simple question-and-answer machine (OpenAI, 2022). ChatGPT </w:t>
      </w:r>
      <w:ins w:id="67" w:author="Stefanie B." w:date="2026-05-11T12:53:00Z">
        <w:r>
          <w:t xml:space="preserve">can </w:t>
        </w:r>
      </w:ins>
      <w:del w:id="68"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69"/>
      <w:r>
        <w:t>2025</w:t>
      </w:r>
      <w:commentRangeEnd w:id="69"/>
      <w:r>
        <w:rPr>
          <w:rStyle w:val="CommentReference"/>
          <w:sz w:val="22"/>
          <w:szCs w:val="22"/>
        </w:rPr>
        <w:commentReference w:id="69"/>
      </w:r>
      <w:r>
        <w:t>)</w:t>
      </w:r>
      <w:ins w:id="70" w:author="Stefanie B." w:date="2026-05-11T12:53:00Z">
        <w:r>
          <w:t xml:space="preserve">. </w:t>
        </w:r>
      </w:ins>
    </w:p>
    <w:p w14:paraId="4E04B80A" w14:textId="77777777" w:rsidR="00401741" w:rsidRDefault="00000000">
      <w:pPr>
        <w:pStyle w:val="Heading3"/>
      </w:pPr>
      <w:bookmarkStart w:id="71" w:name="_7k1mujnido4y" w:colFirst="0" w:colLast="0"/>
      <w:bookmarkEnd w:id="71"/>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2"/>
      <w:r>
        <w:t>2020</w:t>
      </w:r>
      <w:commentRangeEnd w:id="72"/>
      <w:r>
        <w:rPr>
          <w:rStyle w:val="CommentReference"/>
          <w:sz w:val="22"/>
          <w:szCs w:val="22"/>
        </w:rPr>
        <w:commentReference w:id="72"/>
      </w:r>
      <w:r>
        <w:t xml:space="preserve">). This </w:t>
      </w:r>
      <w:ins w:id="73" w:author="Stefanie B." w:date="2026-05-11T12:55:00Z">
        <w:r>
          <w:t xml:space="preserve">development </w:t>
        </w:r>
      </w:ins>
      <w:r>
        <w:t xml:space="preserve">was immediately relevant for business to </w:t>
      </w:r>
      <w:ins w:id="74" w:author="Stefanie B." w:date="2026-05-11T12:54:00Z">
        <w:r>
          <w:t>put</w:t>
        </w:r>
      </w:ins>
      <w:del w:id="75" w:author="Stefanie B." w:date="2026-05-11T12:54:00Z">
        <w:r>
          <w:delText xml:space="preserve">get </w:delText>
        </w:r>
      </w:del>
      <w:ins w:id="76"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77" w:author="Stefanie B." w:date="2026-05-11T12:55:00Z">
        <w:r>
          <w:t xml:space="preserve">RAG </w:t>
        </w:r>
      </w:ins>
      <w:del w:id="78" w:author="Stefanie B." w:date="2026-05-11T12:55:00Z">
        <w:r>
          <w:delText xml:space="preserve">This </w:delText>
        </w:r>
      </w:del>
      <w:r>
        <w:t xml:space="preserve">powers the AI system with additional knowledge that typically is directly related to the posed prompt (Lewis et al., 2020; Gao et al., </w:t>
      </w:r>
      <w:commentRangeStart w:id="79"/>
      <w:commentRangeStart w:id="80"/>
      <w:r>
        <w:t>2023</w:t>
      </w:r>
      <w:commentRangeEnd w:id="80"/>
      <w:r>
        <w:rPr>
          <w:rStyle w:val="CommentReference"/>
          <w:sz w:val="22"/>
          <w:szCs w:val="22"/>
        </w:rPr>
        <w:commentReference w:id="80"/>
      </w:r>
      <w:commentRangeEnd w:id="79"/>
      <w:r>
        <w:rPr>
          <w:rStyle w:val="CommentReference"/>
          <w:sz w:val="22"/>
          <w:szCs w:val="22"/>
        </w:rPr>
        <w:commentReference w:id="79"/>
      </w:r>
      <w:r>
        <w:t>).</w:t>
      </w:r>
      <w:ins w:id="81" w:author="Stefanie B." w:date="2026-05-11T12:55:00Z">
        <w:r>
          <w:t xml:space="preserve"> </w:t>
        </w:r>
      </w:ins>
    </w:p>
    <w:p w14:paraId="170935C5" w14:textId="77777777" w:rsidR="00401741" w:rsidRDefault="00000000">
      <w:commentRangeStart w:id="82"/>
      <w:r>
        <w:t xml:space="preserve">After the ability </w:t>
      </w:r>
      <w:ins w:id="83" w:author="Stefanie B." w:date="2026-05-11T12:55:00Z">
        <w:r>
          <w:t xml:space="preserve">of AI </w:t>
        </w:r>
      </w:ins>
      <w:r>
        <w:t xml:space="preserve">to retrieve external </w:t>
      </w:r>
      <w:commentRangeStart w:id="84"/>
      <w:r>
        <w:t>context</w:t>
      </w:r>
      <w:commentRangeEnd w:id="84"/>
      <w:r>
        <w:rPr>
          <w:rStyle w:val="CommentReference"/>
          <w:sz w:val="22"/>
          <w:szCs w:val="22"/>
        </w:rPr>
        <w:commentReference w:id="84"/>
      </w:r>
      <w:r>
        <w:t>, the ability to act was a vital next step in the</w:t>
      </w:r>
      <w:commentRangeStart w:id="85"/>
      <w:r>
        <w:t xml:space="preserve"> development of agentic systems. </w:t>
      </w:r>
      <w:commentRangeEnd w:id="85"/>
      <w:r>
        <w:rPr>
          <w:rStyle w:val="CommentReference"/>
          <w:sz w:val="22"/>
          <w:szCs w:val="22"/>
        </w:rPr>
        <w:commentReference w:id="85"/>
      </w:r>
      <w:r>
        <w:t xml:space="preserve">A key conceptual step was the </w:t>
      </w:r>
      <w:commentRangeStart w:id="86"/>
      <w:r>
        <w:t>ReAct</w:t>
      </w:r>
      <w:commentRangeEnd w:id="86"/>
      <w:r>
        <w:rPr>
          <w:rStyle w:val="CommentReference"/>
          <w:sz w:val="22"/>
          <w:szCs w:val="22"/>
        </w:rPr>
        <w:commentReference w:id="86"/>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87" w:author="Stefanie B." w:date="2026-05-11T12:58:00Z">
        <w:r>
          <w:delText>I.e.,</w:delText>
        </w:r>
      </w:del>
      <w:r>
        <w:t xml:space="preserve"> </w:t>
      </w:r>
      <w:ins w:id="88" w:author="Stefanie B." w:date="2026-05-11T12:59:00Z">
        <w:r>
          <w:t>T</w:t>
        </w:r>
      </w:ins>
      <w:del w:id="89" w:author="Stefanie B." w:date="2026-05-11T12:59:00Z">
        <w:r>
          <w:delText>t</w:delText>
        </w:r>
      </w:del>
      <w:r>
        <w:t>his</w:t>
      </w:r>
      <w:ins w:id="90" w:author="Stefanie B." w:date="2026-05-11T12:59:00Z">
        <w:r>
          <w:t xml:space="preserve"> ability to act</w:t>
        </w:r>
      </w:ins>
      <w:r>
        <w:t xml:space="preserve"> results in a situation where an AI agent can work within systems at the behest of the user (Hughes et al., 2025). </w:t>
      </w:r>
      <w:commentRangeEnd w:id="82"/>
      <w:r>
        <w:rPr>
          <w:rStyle w:val="CommentReference"/>
          <w:sz w:val="22"/>
          <w:szCs w:val="22"/>
        </w:rPr>
        <w:commentReference w:id="82"/>
      </w:r>
    </w:p>
    <w:p w14:paraId="576078B1" w14:textId="77777777" w:rsidR="00401741" w:rsidRDefault="00000000">
      <w:r>
        <w:t>After the ReAct framework, many innovations, standards, and implementations that have built on this concept have improved the quality and availability of</w:t>
      </w:r>
      <w:commentRangeStart w:id="91"/>
      <w:r>
        <w:t xml:space="preserve"> AI agents. </w:t>
      </w:r>
      <w:commentRangeEnd w:id="91"/>
      <w:r>
        <w:rPr>
          <w:rStyle w:val="CommentReference"/>
          <w:sz w:val="22"/>
          <w:szCs w:val="22"/>
        </w:rPr>
        <w:commentReference w:id="91"/>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2"/>
      <w:r>
        <w:t>software</w:t>
      </w:r>
      <w:commentRangeEnd w:id="92"/>
      <w:r>
        <w:rPr>
          <w:rStyle w:val="CommentReference"/>
          <w:sz w:val="22"/>
          <w:szCs w:val="22"/>
        </w:rPr>
        <w:commentReference w:id="92"/>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3"/>
      <w:r>
        <w:t>calling</w:t>
      </w:r>
      <w:commentRangeEnd w:id="93"/>
      <w:r>
        <w:rPr>
          <w:rStyle w:val="CommentReference"/>
          <w:sz w:val="22"/>
          <w:szCs w:val="22"/>
        </w:rPr>
        <w:commentReference w:id="93"/>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4"/>
      <w:r>
        <w:t xml:space="preserve">CRM </w:t>
      </w:r>
      <w:commentRangeEnd w:id="94"/>
      <w:r>
        <w:rPr>
          <w:rStyle w:val="CommentReference"/>
          <w:sz w:val="22"/>
          <w:szCs w:val="22"/>
        </w:rPr>
        <w:commentReference w:id="94"/>
      </w:r>
      <w:r>
        <w:t xml:space="preserve">systems, and the like (Hughes et al., </w:t>
      </w:r>
      <w:commentRangeStart w:id="95"/>
      <w:r>
        <w:t>2025</w:t>
      </w:r>
      <w:commentRangeEnd w:id="95"/>
      <w:r>
        <w:rPr>
          <w:rStyle w:val="CommentReference"/>
          <w:sz w:val="22"/>
          <w:szCs w:val="22"/>
        </w:rPr>
        <w:commentReference w:id="95"/>
      </w:r>
      <w:r>
        <w:t>).</w:t>
      </w:r>
    </w:p>
    <w:p w14:paraId="4A1B922A" w14:textId="77777777" w:rsidR="00401741" w:rsidRDefault="00000000">
      <w:pPr>
        <w:pStyle w:val="Heading3"/>
      </w:pPr>
      <w:bookmarkStart w:id="96" w:name="_ub1qv02kke7k" w:colFirst="0" w:colLast="0"/>
      <w:bookmarkEnd w:id="96"/>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97"/>
      <w:r>
        <w:rPr>
          <w:highlight w:val="white"/>
        </w:rPr>
        <w:t>interprets</w:t>
      </w:r>
      <w:commentRangeEnd w:id="97"/>
      <w:r>
        <w:rPr>
          <w:rStyle w:val="CommentReference"/>
          <w:sz w:val="22"/>
          <w:szCs w:val="22"/>
          <w:highlight w:val="white"/>
        </w:rPr>
        <w:commentReference w:id="97"/>
      </w:r>
      <w:r>
        <w:rPr>
          <w:highlight w:val="white"/>
        </w:rPr>
        <w:t>.”</w:t>
      </w:r>
    </w:p>
    <w:p w14:paraId="429650DF" w14:textId="77777777" w:rsidR="00401741" w:rsidRDefault="00000000">
      <w:pPr>
        <w:pStyle w:val="Heading2"/>
        <w:rPr>
          <w:color w:val="00312A"/>
        </w:rPr>
      </w:pPr>
      <w:bookmarkStart w:id="98" w:name="_2vf6sqrz2b2s" w:colFirst="0" w:colLast="0"/>
      <w:bookmarkEnd w:id="98"/>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99"/>
      <w:r>
        <w:rPr>
          <w:color w:val="00312A"/>
        </w:rPr>
        <w:t>performance</w:t>
      </w:r>
      <w:commentRangeEnd w:id="99"/>
      <w:r>
        <w:rPr>
          <w:rStyle w:val="CommentReference"/>
          <w:color w:val="00312A"/>
          <w:sz w:val="22"/>
          <w:szCs w:val="22"/>
        </w:rPr>
        <w:commentReference w:id="99"/>
      </w:r>
      <w:r>
        <w:rPr>
          <w:color w:val="00312A"/>
        </w:rPr>
        <w:t xml:space="preserve">. The AI marketing literature shows that AI can contribute across the marketing process rather than only within </w:t>
      </w:r>
      <w:commentRangeStart w:id="100"/>
      <w:r>
        <w:rPr>
          <w:color w:val="00312A"/>
        </w:rPr>
        <w:t>communications</w:t>
      </w:r>
      <w:commentRangeEnd w:id="100"/>
      <w:r>
        <w:rPr>
          <w:rStyle w:val="CommentReference"/>
          <w:color w:val="00312A"/>
          <w:sz w:val="22"/>
          <w:szCs w:val="22"/>
        </w:rPr>
        <w:commentReference w:id="100"/>
      </w:r>
      <w:r>
        <w:rPr>
          <w:color w:val="00312A"/>
        </w:rPr>
        <w:t>.</w:t>
      </w:r>
    </w:p>
    <w:p w14:paraId="4BE96CB1" w14:textId="77777777" w:rsidR="00401741" w:rsidRDefault="00000000">
      <w:pPr>
        <w:rPr>
          <w:color w:val="00312A"/>
        </w:rPr>
      </w:pPr>
      <w:r>
        <w:rPr>
          <w:color w:val="00312A"/>
        </w:rPr>
        <w:t xml:space="preserve">Generative </w:t>
      </w:r>
      <w:commentRangeStart w:id="101"/>
      <w:r>
        <w:rPr>
          <w:color w:val="00312A"/>
        </w:rPr>
        <w:t>AI</w:t>
      </w:r>
      <w:commentRangeEnd w:id="101"/>
      <w:r>
        <w:rPr>
          <w:rStyle w:val="CommentReference"/>
          <w:color w:val="00312A"/>
          <w:sz w:val="22"/>
          <w:szCs w:val="22"/>
        </w:rPr>
        <w:commentReference w:id="101"/>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2"/>
      <w:r>
        <w:rPr>
          <w:color w:val="00312A"/>
        </w:rPr>
        <w:t>how marketing managers create value with agentic systems beyond content generation.</w:t>
      </w:r>
      <w:commentRangeEnd w:id="102"/>
      <w:r>
        <w:rPr>
          <w:rStyle w:val="CommentReference"/>
          <w:color w:val="00312A"/>
          <w:sz w:val="22"/>
          <w:szCs w:val="22"/>
        </w:rPr>
        <w:commentReference w:id="102"/>
      </w:r>
    </w:p>
    <w:p w14:paraId="54FBA4FB" w14:textId="77777777" w:rsidR="00401741" w:rsidRDefault="00000000">
      <w:pPr>
        <w:rPr>
          <w:color w:val="00312A"/>
        </w:rPr>
      </w:pPr>
      <w:commentRangeStart w:id="103"/>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4"/>
      <w:r>
        <w:rPr>
          <w:color w:val="00312A"/>
        </w:rPr>
        <w:t>productivity</w:t>
      </w:r>
      <w:commentRangeEnd w:id="104"/>
      <w:r>
        <w:rPr>
          <w:rStyle w:val="CommentReference"/>
          <w:color w:val="00312A"/>
          <w:sz w:val="22"/>
          <w:szCs w:val="22"/>
        </w:rPr>
        <w:commentReference w:id="104"/>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3"/>
      <w:r>
        <w:rPr>
          <w:rStyle w:val="CommentReference"/>
          <w:color w:val="00312A"/>
          <w:sz w:val="22"/>
          <w:szCs w:val="22"/>
        </w:rPr>
        <w:commentReference w:id="103"/>
      </w:r>
    </w:p>
    <w:p w14:paraId="58F9883D" w14:textId="77777777" w:rsidR="00401741" w:rsidRDefault="00000000">
      <w:pPr>
        <w:pStyle w:val="Heading2"/>
        <w:rPr>
          <w:color w:val="00312A"/>
        </w:rPr>
      </w:pPr>
      <w:bookmarkStart w:id="105" w:name="_z3s6q9rk0mxk" w:colFirst="0" w:colLast="0"/>
      <w:bookmarkEnd w:id="105"/>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06"/>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07"/>
      <w:r>
        <w:rPr>
          <w:color w:val="00312A"/>
        </w:rPr>
        <w:t>identity</w:t>
      </w:r>
      <w:commentRangeEnd w:id="107"/>
      <w:r>
        <w:rPr>
          <w:rStyle w:val="CommentReference"/>
          <w:color w:val="00312A"/>
          <w:sz w:val="22"/>
          <w:szCs w:val="22"/>
        </w:rPr>
        <w:commentReference w:id="107"/>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06"/>
      <w:r>
        <w:rPr>
          <w:rStyle w:val="CommentReference"/>
          <w:color w:val="00312A"/>
          <w:sz w:val="22"/>
          <w:szCs w:val="22"/>
        </w:rPr>
        <w:commentReference w:id="106"/>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08"/>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08"/>
      <w:r>
        <w:rPr>
          <w:rStyle w:val="CommentReference"/>
          <w:color w:val="00312A"/>
          <w:sz w:val="22"/>
          <w:szCs w:val="22"/>
        </w:rPr>
        <w:commentReference w:id="108"/>
      </w:r>
    </w:p>
    <w:p w14:paraId="7189F9DB" w14:textId="77777777" w:rsidR="00401741" w:rsidRDefault="00000000">
      <w:pPr>
        <w:rPr>
          <w:strike/>
          <w:color w:val="00312A"/>
        </w:rPr>
      </w:pPr>
      <w:commentRangeStart w:id="109"/>
      <w:commentRangeStart w:id="110"/>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0"/>
      <w:r>
        <w:rPr>
          <w:rStyle w:val="CommentReference"/>
          <w:strike/>
          <w:color w:val="00312A"/>
          <w:sz w:val="22"/>
          <w:szCs w:val="22"/>
        </w:rPr>
        <w:commentReference w:id="110"/>
      </w:r>
      <w:commentRangeEnd w:id="109"/>
      <w:r>
        <w:rPr>
          <w:rStyle w:val="CommentReference"/>
          <w:strike/>
          <w:color w:val="00312A"/>
          <w:sz w:val="22"/>
          <w:szCs w:val="22"/>
        </w:rPr>
        <w:commentReference w:id="109"/>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1"/>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1"/>
      <w:r>
        <w:rPr>
          <w:rStyle w:val="CommentReference"/>
          <w:color w:val="00312A"/>
          <w:sz w:val="22"/>
          <w:szCs w:val="22"/>
        </w:rPr>
        <w:commentReference w:id="111"/>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2"/>
      <w:r>
        <w:rPr>
          <w:color w:val="00312A"/>
        </w:rPr>
        <w:t>system</w:t>
      </w:r>
      <w:commentRangeEnd w:id="112"/>
      <w:r>
        <w:rPr>
          <w:rStyle w:val="CommentReference"/>
          <w:color w:val="00312A"/>
          <w:sz w:val="22"/>
          <w:szCs w:val="22"/>
        </w:rPr>
        <w:commentReference w:id="112"/>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3"/>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3"/>
      <w:r>
        <w:rPr>
          <w:rStyle w:val="CommentReference"/>
          <w:color w:val="00312A"/>
          <w:sz w:val="22"/>
          <w:szCs w:val="22"/>
        </w:rPr>
        <w:commentReference w:id="113"/>
      </w:r>
    </w:p>
    <w:p w14:paraId="742EE997" w14:textId="77777777" w:rsidR="00401741" w:rsidRDefault="00000000">
      <w:pPr>
        <w:pStyle w:val="Heading2"/>
        <w:rPr>
          <w:color w:val="00312A"/>
        </w:rPr>
      </w:pPr>
      <w:bookmarkStart w:id="114" w:name="_y36s1eehq7rd" w:colFirst="0" w:colLast="0"/>
      <w:bookmarkEnd w:id="114"/>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15"/>
      <w:r>
        <w:rPr>
          <w:color w:val="00312A"/>
        </w:rPr>
        <w:t>Marketing</w:t>
      </w:r>
      <w:commentRangeEnd w:id="115"/>
      <w:r>
        <w:rPr>
          <w:rStyle w:val="CommentReference"/>
          <w:color w:val="00312A"/>
          <w:sz w:val="22"/>
          <w:szCs w:val="22"/>
        </w:rPr>
        <w:commentReference w:id="115"/>
      </w:r>
      <w:r>
        <w:rPr>
          <w:color w:val="00312A"/>
        </w:rPr>
        <w:t xml:space="preserve"> theory treats value as a multidimensional construct. Woodside et al. (2008) emphasize that customer value includes theory, research, and practice </w:t>
      </w:r>
      <w:commentRangeStart w:id="116"/>
      <w:r>
        <w:rPr>
          <w:color w:val="00312A"/>
        </w:rPr>
        <w:t>dimensions</w:t>
      </w:r>
      <w:commentRangeEnd w:id="116"/>
      <w:r>
        <w:rPr>
          <w:rStyle w:val="CommentReference"/>
          <w:color w:val="00312A"/>
          <w:sz w:val="22"/>
          <w:szCs w:val="22"/>
        </w:rPr>
        <w:commentReference w:id="116"/>
      </w:r>
      <w:r>
        <w:rPr>
          <w:color w:val="00312A"/>
        </w:rPr>
        <w:t xml:space="preserve">, while Sidorchuk (2015) describes value as a central but contested concept in marketing theory. Almquist et al. (2016) offer a managerial framework in which customer </w:t>
      </w:r>
      <w:commentRangeStart w:id="117"/>
      <w:r>
        <w:rPr>
          <w:color w:val="00312A"/>
        </w:rPr>
        <w:t xml:space="preserve">value </w:t>
      </w:r>
      <w:commentRangeEnd w:id="117"/>
      <w:r>
        <w:rPr>
          <w:rStyle w:val="CommentReference"/>
          <w:color w:val="00312A"/>
          <w:sz w:val="22"/>
          <w:szCs w:val="22"/>
        </w:rPr>
        <w:commentReference w:id="117"/>
      </w:r>
      <w:r>
        <w:rPr>
          <w:color w:val="00312A"/>
        </w:rPr>
        <w:t>can be understood through multiple elements, ranging from functional benefits such as saving time or reducing effort to emotional and social benefits. Although this framework is practitioner-</w:t>
      </w:r>
      <w:commentRangeStart w:id="118"/>
      <w:r>
        <w:rPr>
          <w:color w:val="00312A"/>
        </w:rPr>
        <w:t>oriented</w:t>
      </w:r>
      <w:commentRangeEnd w:id="118"/>
      <w:r>
        <w:rPr>
          <w:rStyle w:val="CommentReference"/>
          <w:color w:val="00312A"/>
          <w:sz w:val="22"/>
          <w:szCs w:val="22"/>
        </w:rPr>
        <w:commentReference w:id="118"/>
      </w:r>
      <w:r>
        <w:rPr>
          <w:color w:val="00312A"/>
        </w:rPr>
        <w:t>, it is useful</w:t>
      </w:r>
      <w:commentRangeStart w:id="119"/>
      <w:r>
        <w:rPr>
          <w:color w:val="00312A"/>
        </w:rPr>
        <w:t xml:space="preserve"> as a sensitizing concept because it helps interviewees articulate what kind of value they believe AI creates.</w:t>
      </w:r>
      <w:commentRangeEnd w:id="119"/>
      <w:r>
        <w:rPr>
          <w:rStyle w:val="CommentReference"/>
          <w:color w:val="00312A"/>
          <w:sz w:val="22"/>
          <w:szCs w:val="22"/>
        </w:rPr>
        <w:commentReference w:id="119"/>
      </w:r>
    </w:p>
    <w:p w14:paraId="7036DC6C" w14:textId="77777777" w:rsidR="00401741" w:rsidRDefault="00000000">
      <w:pPr>
        <w:rPr>
          <w:color w:val="00312A"/>
        </w:rPr>
      </w:pPr>
      <w:commentRangeStart w:id="120"/>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0"/>
      <w:r>
        <w:rPr>
          <w:rStyle w:val="CommentReference"/>
          <w:color w:val="00312A"/>
          <w:sz w:val="22"/>
          <w:szCs w:val="22"/>
        </w:rPr>
        <w:commentReference w:id="120"/>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1"/>
      <w:r>
        <w:rPr>
          <w:color w:val="00312A"/>
        </w:rPr>
        <w:t xml:space="preserve">n value co-creation </w:t>
      </w:r>
      <w:commentRangeEnd w:id="121"/>
      <w:r>
        <w:rPr>
          <w:rStyle w:val="CommentReference"/>
          <w:color w:val="00312A"/>
          <w:sz w:val="22"/>
          <w:szCs w:val="22"/>
        </w:rPr>
        <w:commentReference w:id="121"/>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2"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3"/>
      <w:r>
        <w:rPr>
          <w:color w:val="00312A"/>
        </w:rPr>
        <w:t>capture</w:t>
      </w:r>
      <w:commentRangeEnd w:id="123"/>
      <w:r>
        <w:rPr>
          <w:rStyle w:val="CommentReference"/>
          <w:color w:val="00312A"/>
          <w:sz w:val="22"/>
          <w:szCs w:val="22"/>
        </w:rPr>
        <w:commentReference w:id="123"/>
      </w:r>
      <w:r>
        <w:rPr>
          <w:color w:val="00312A"/>
        </w:rPr>
        <w:t xml:space="preserve">. </w:t>
      </w:r>
      <w:commentRangeStart w:id="124"/>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4"/>
      <w:r>
        <w:rPr>
          <w:rStyle w:val="CommentReference"/>
          <w:color w:val="00312A"/>
          <w:sz w:val="22"/>
          <w:szCs w:val="22"/>
        </w:rPr>
        <w:commentReference w:id="124"/>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25"/>
      <w:r>
        <w:rPr>
          <w:color w:val="00312A"/>
        </w:rPr>
        <w:t>incorrect information, violates privacy expectations, biases decisions, reduces trust, weakens brand distinctiveness, or creates employee resistance. Generative AI may also increase content homogeneity</w:t>
      </w:r>
      <w:commentRangeEnd w:id="125"/>
      <w:r>
        <w:rPr>
          <w:rStyle w:val="CommentReference"/>
          <w:color w:val="00312A"/>
          <w:sz w:val="22"/>
          <w:szCs w:val="22"/>
        </w:rPr>
        <w:commentReference w:id="125"/>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26"/>
      <w:r>
        <w:rPr>
          <w:color w:val="00312A"/>
        </w:rPr>
        <w:t>AI</w:t>
      </w:r>
      <w:commentRangeEnd w:id="126"/>
      <w:r>
        <w:rPr>
          <w:rStyle w:val="CommentReference"/>
          <w:color w:val="00312A"/>
          <w:sz w:val="22"/>
          <w:szCs w:val="22"/>
        </w:rPr>
        <w:commentReference w:id="126"/>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27"/>
      <w:r>
        <w:rPr>
          <w:color w:val="00312A"/>
        </w:rPr>
        <w:t>differentiation</w:t>
      </w:r>
      <w:commentRangeEnd w:id="127"/>
      <w:r>
        <w:rPr>
          <w:rStyle w:val="CommentReference"/>
          <w:color w:val="00312A"/>
          <w:sz w:val="22"/>
          <w:szCs w:val="22"/>
        </w:rPr>
        <w:commentReference w:id="127"/>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28"/>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28"/>
      <w:r>
        <w:rPr>
          <w:rStyle w:val="CommentReference"/>
          <w:color w:val="00312A"/>
          <w:sz w:val="22"/>
          <w:szCs w:val="22"/>
        </w:rPr>
        <w:commentReference w:id="128"/>
      </w:r>
    </w:p>
    <w:p w14:paraId="07C9AFB7" w14:textId="77777777" w:rsidR="00401741" w:rsidRDefault="00000000">
      <w:pPr>
        <w:pStyle w:val="Heading2"/>
        <w:rPr>
          <w:color w:val="00312A"/>
        </w:rPr>
      </w:pPr>
      <w:bookmarkStart w:id="129" w:name="_cnr93e5ter7y" w:colFirst="0" w:colLast="0"/>
      <w:bookmarkEnd w:id="129"/>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0"/>
      <w:r>
        <w:rPr>
          <w:color w:val="00312A"/>
        </w:rPr>
        <w:t xml:space="preserve">socio-technical capability </w:t>
      </w:r>
      <w:commentRangeEnd w:id="130"/>
      <w:r>
        <w:rPr>
          <w:rStyle w:val="CommentReference"/>
          <w:color w:val="00312A"/>
          <w:sz w:val="22"/>
          <w:szCs w:val="22"/>
        </w:rPr>
        <w:commentReference w:id="130"/>
      </w:r>
      <w:r>
        <w:rPr>
          <w:color w:val="00312A"/>
        </w:rPr>
        <w:t>rather than as a standalone technology.</w:t>
      </w:r>
      <w:commentRangeStart w:id="131"/>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1"/>
      <w:r>
        <w:rPr>
          <w:rStyle w:val="CommentReference"/>
          <w:color w:val="00312A"/>
          <w:sz w:val="22"/>
          <w:szCs w:val="22"/>
        </w:rPr>
        <w:commentReference w:id="131"/>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2"/>
      <w:r>
        <w:rPr>
          <w:color w:val="00312A"/>
        </w:rPr>
        <w:t>value</w:t>
      </w:r>
      <w:commentRangeEnd w:id="132"/>
      <w:r>
        <w:rPr>
          <w:rStyle w:val="CommentReference"/>
          <w:color w:val="00312A"/>
          <w:sz w:val="22"/>
          <w:szCs w:val="22"/>
        </w:rPr>
        <w:commentReference w:id="132"/>
      </w:r>
      <w:r>
        <w:rPr>
          <w:color w:val="00312A"/>
        </w:rPr>
        <w:t>.</w:t>
      </w:r>
    </w:p>
    <w:p w14:paraId="2FECC5F5" w14:textId="77777777" w:rsidR="00401741" w:rsidRDefault="00000000">
      <w:pPr>
        <w:rPr>
          <w:color w:val="00312A"/>
        </w:rPr>
      </w:pPr>
      <w:commentRangeStart w:id="133"/>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3"/>
      <w:r>
        <w:rPr>
          <w:rStyle w:val="CommentReference"/>
          <w:color w:val="00312A"/>
          <w:sz w:val="22"/>
          <w:szCs w:val="22"/>
        </w:rPr>
        <w:commentReference w:id="133"/>
      </w:r>
    </w:p>
    <w:p w14:paraId="29730406" w14:textId="77777777" w:rsidR="00401741" w:rsidRDefault="00401741">
      <w:pPr>
        <w:ind w:firstLine="0"/>
      </w:pPr>
    </w:p>
    <w:p w14:paraId="3C6E209D" w14:textId="77777777" w:rsidR="00401741" w:rsidRDefault="00000000">
      <w:pPr>
        <w:pStyle w:val="Heading1"/>
        <w:ind w:firstLine="0"/>
        <w:jc w:val="left"/>
      </w:pPr>
      <w:bookmarkStart w:id="134" w:name="_squzp6x0kd2d" w:colFirst="0" w:colLast="0"/>
      <w:bookmarkEnd w:id="134"/>
      <w:r>
        <w:br w:type="page"/>
      </w:r>
    </w:p>
    <w:p w14:paraId="67E5F6FB" w14:textId="77777777" w:rsidR="00401741" w:rsidRDefault="00000000">
      <w:pPr>
        <w:pStyle w:val="Heading1"/>
      </w:pPr>
      <w:bookmarkStart w:id="135" w:name="_vuulw5cmria2" w:colFirst="0" w:colLast="0"/>
      <w:bookmarkEnd w:id="135"/>
      <w:r>
        <w:lastRenderedPageBreak/>
        <w:t>3.</w:t>
      </w:r>
      <w:r>
        <w:tab/>
      </w:r>
      <w:commentRangeStart w:id="136"/>
      <w:r>
        <w:t>Methodology</w:t>
      </w:r>
      <w:commentRangeEnd w:id="136"/>
      <w:r>
        <w:rPr>
          <w:rStyle w:val="CommentReference"/>
          <w:sz w:val="22"/>
          <w:szCs w:val="22"/>
        </w:rPr>
        <w:commentReference w:id="136"/>
      </w:r>
      <w:commentRangeStart w:id="137"/>
      <w:r>
        <w:t xml:space="preserve"> (10-12 pages)</w:t>
      </w:r>
      <w:commentRangeEnd w:id="137"/>
      <w:r>
        <w:rPr>
          <w:rStyle w:val="CommentReference"/>
          <w:sz w:val="22"/>
          <w:szCs w:val="22"/>
        </w:rPr>
        <w:commentReference w:id="137"/>
      </w:r>
    </w:p>
    <w:p w14:paraId="7C40F41D" w14:textId="77777777" w:rsidR="00401741" w:rsidRDefault="00000000">
      <w:pPr>
        <w:pStyle w:val="Heading2"/>
        <w:spacing w:before="80"/>
      </w:pPr>
      <w:bookmarkStart w:id="138" w:name="_jx9b7a6d4j0v" w:colFirst="0" w:colLast="0"/>
      <w:bookmarkEnd w:id="138"/>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39" w:name="_m0alptie2pwk" w:colFirst="0" w:colLast="0"/>
      <w:bookmarkEnd w:id="139"/>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0"/>
      <w:commentRangeStart w:id="141"/>
      <w:commentRangeStart w:id="142"/>
      <w:r>
        <w:t>TODO</w:t>
      </w:r>
      <w:commentRangeEnd w:id="142"/>
      <w:r>
        <w:rPr>
          <w:rStyle w:val="CommentReference"/>
          <w:sz w:val="22"/>
          <w:szCs w:val="22"/>
        </w:rPr>
        <w:commentReference w:id="142"/>
      </w:r>
      <w:commentRangeEnd w:id="141"/>
      <w:r>
        <w:rPr>
          <w:rStyle w:val="CommentReference"/>
          <w:sz w:val="22"/>
          <w:szCs w:val="22"/>
        </w:rPr>
        <w:commentReference w:id="141"/>
      </w:r>
      <w:commentRangeEnd w:id="140"/>
      <w:r>
        <w:rPr>
          <w:rStyle w:val="CommentReference"/>
          <w:sz w:val="22"/>
          <w:szCs w:val="22"/>
        </w:rPr>
        <w:commentReference w:id="140"/>
      </w:r>
    </w:p>
    <w:p w14:paraId="56730C29" w14:textId="77777777" w:rsidR="00401741" w:rsidRDefault="00000000">
      <w:pPr>
        <w:pStyle w:val="Heading2"/>
        <w:spacing w:before="80"/>
      </w:pPr>
      <w:bookmarkStart w:id="143" w:name="_s5mzxyxu5jog" w:colFirst="0" w:colLast="0"/>
      <w:bookmarkEnd w:id="143"/>
      <w:r>
        <w:lastRenderedPageBreak/>
        <w:t>3.3.</w:t>
      </w:r>
      <w:r>
        <w:tab/>
      </w:r>
      <w:commentRangeStart w:id="144"/>
      <w:commentRangeStart w:id="145"/>
      <w:r>
        <w:t>Intended sample and sample size</w:t>
      </w:r>
      <w:commentRangeEnd w:id="145"/>
      <w:r>
        <w:rPr>
          <w:rStyle w:val="CommentReference"/>
          <w:sz w:val="22"/>
          <w:szCs w:val="22"/>
        </w:rPr>
        <w:commentReference w:id="145"/>
      </w:r>
      <w:commentRangeEnd w:id="144"/>
      <w:r>
        <w:rPr>
          <w:rStyle w:val="CommentReference"/>
          <w:sz w:val="22"/>
          <w:szCs w:val="22"/>
        </w:rPr>
        <w:commentReference w:id="144"/>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46"/>
      <w:commentRangeStart w:id="147"/>
      <w:commentRangeStart w:id="148"/>
      <w:r>
        <w:t>sampling</w:t>
      </w:r>
      <w:commentRangeEnd w:id="148"/>
      <w:r>
        <w:rPr>
          <w:rStyle w:val="CommentReference"/>
          <w:sz w:val="22"/>
          <w:szCs w:val="22"/>
        </w:rPr>
        <w:commentReference w:id="148"/>
      </w:r>
      <w:commentRangeEnd w:id="147"/>
      <w:r>
        <w:rPr>
          <w:rStyle w:val="CommentReference"/>
          <w:sz w:val="22"/>
          <w:szCs w:val="22"/>
        </w:rPr>
        <w:commentReference w:id="147"/>
      </w:r>
      <w:commentRangeEnd w:id="146"/>
      <w:r>
        <w:rPr>
          <w:rStyle w:val="CommentReference"/>
          <w:sz w:val="22"/>
          <w:szCs w:val="22"/>
        </w:rPr>
        <w:commentReference w:id="146"/>
      </w:r>
      <w:r>
        <w:t xml:space="preserve"> (Patton, 2014) and snowball sampling (</w:t>
      </w:r>
      <w:r>
        <w:rPr>
          <w:highlight w:val="white"/>
        </w:rPr>
        <w:t>Parker et al., 2019</w:t>
      </w:r>
      <w:r>
        <w:t>) to identify interview participants is used. The sampling starts with the personal network of the researcher</w:t>
      </w:r>
      <w:commentRangeStart w:id="149"/>
      <w:commentRangeStart w:id="150"/>
      <w:r>
        <w:t>, relying mainly on LinkedIn</w:t>
      </w:r>
      <w:commentRangeEnd w:id="150"/>
      <w:r>
        <w:rPr>
          <w:rStyle w:val="CommentReference"/>
          <w:sz w:val="22"/>
          <w:szCs w:val="22"/>
        </w:rPr>
        <w:commentReference w:id="150"/>
      </w:r>
      <w:commentRangeEnd w:id="149"/>
      <w:r>
        <w:rPr>
          <w:rStyle w:val="CommentReference"/>
          <w:sz w:val="22"/>
          <w:szCs w:val="22"/>
        </w:rPr>
        <w:commentReference w:id="149"/>
      </w:r>
      <w:r>
        <w:t>; candidates were selected when their role matched the selection criteria. Candidates are selected based on their Since the sampling universe is already narrow and access might be limited, n</w:t>
      </w:r>
      <w:commentRangeStart w:id="151"/>
      <w:commentRangeStart w:id="152"/>
      <w:commentRangeStart w:id="153"/>
      <w:commentRangeStart w:id="154"/>
      <w:commentRangeStart w:id="155"/>
      <w:r>
        <w:t>o further selection criteria are applied to potential participants.</w:t>
      </w:r>
      <w:commentRangeEnd w:id="155"/>
      <w:r>
        <w:rPr>
          <w:rStyle w:val="CommentReference"/>
          <w:sz w:val="22"/>
          <w:szCs w:val="22"/>
        </w:rPr>
        <w:commentReference w:id="155"/>
      </w:r>
      <w:commentRangeEnd w:id="154"/>
      <w:r>
        <w:rPr>
          <w:rStyle w:val="CommentReference"/>
          <w:sz w:val="22"/>
          <w:szCs w:val="22"/>
        </w:rPr>
        <w:commentReference w:id="154"/>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56" w:name="_jewz4ftnfnae" w:colFirst="0" w:colLast="0"/>
      <w:bookmarkEnd w:id="156"/>
      <w:r>
        <w:t xml:space="preserve"> </w:t>
      </w:r>
    </w:p>
    <w:p w14:paraId="533F3760" w14:textId="77777777" w:rsidR="00401741" w:rsidRDefault="00000000">
      <w:pPr>
        <w:pStyle w:val="Heading2"/>
      </w:pPr>
      <w:bookmarkStart w:id="157" w:name="_kqzta5wwdy54" w:colFirst="0" w:colLast="0"/>
      <w:bookmarkEnd w:id="157"/>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58"/>
            <w:r>
              <w:rPr>
                <w:sz w:val="20"/>
                <w:szCs w:val="20"/>
              </w:rPr>
              <w:t xml:space="preserve"> scope conditions in Section 5.3</w:t>
            </w:r>
            <w:commentRangeEnd w:id="158"/>
            <w:r>
              <w:rPr>
                <w:rStyle w:val="CommentReference"/>
                <w:sz w:val="20"/>
                <w:szCs w:val="20"/>
              </w:rPr>
              <w:commentReference w:id="158"/>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59"/>
            <w:r>
              <w:rPr>
                <w:sz w:val="20"/>
                <w:szCs w:val="20"/>
              </w:rPr>
              <w:t>sampling implications appears in Section 3.2.1</w:t>
            </w:r>
            <w:commentRangeEnd w:id="159"/>
            <w:r>
              <w:rPr>
                <w:rStyle w:val="CommentReference"/>
                <w:sz w:val="20"/>
                <w:szCs w:val="20"/>
              </w:rPr>
              <w:commentReference w:id="159"/>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0" w:name="_81ng021tuy7p" w:colFirst="0" w:colLast="0"/>
      <w:bookmarkEnd w:id="160"/>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bookmarkStart w:id="161" w:name="OLE_LINK8"/>
      <w:r>
        <w:rPr>
          <w:b/>
          <w:bCs/>
        </w:rPr>
        <w:t>Table 2</w:t>
      </w:r>
    </w:p>
    <w:p w14:paraId="18084423" w14:textId="104DB9F7" w:rsidR="0059315C" w:rsidRPr="0059315C" w:rsidRDefault="00000000" w:rsidP="0059315C">
      <w:pPr>
        <w:ind w:firstLine="0"/>
        <w:rPr>
          <w:i/>
          <w:iCs/>
        </w:rPr>
      </w:pPr>
      <w:r>
        <w:rPr>
          <w:i/>
          <w:iCs/>
        </w:rPr>
        <w:t>Overview of code development</w:t>
      </w:r>
      <w:bookmarkEnd w:id="161"/>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lastRenderedPageBreak/>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62" w:name="_2wlwvpj75lya" w:colFirst="0" w:colLast="0"/>
      <w:bookmarkEnd w:id="162"/>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63" w:name="_k7eypdjcmoyh" w:colFirst="0" w:colLast="0"/>
      <w:bookmarkEnd w:id="163"/>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64" w:name="_cel1ujnps8" w:colFirst="0" w:colLast="0"/>
      <w:bookmarkEnd w:id="164"/>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65"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66" w:name="_7alih1d45osl" w:colFirst="0" w:colLast="0"/>
      <w:bookmarkEnd w:id="166"/>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67"/>
      <w:r>
        <w:t xml:space="preserve">“to get to parity in the present with what they’re saying they can do”, </w:t>
      </w:r>
      <w:commentRangeEnd w:id="167"/>
      <w:r>
        <w:rPr>
          <w:rStyle w:val="CommentReference"/>
          <w:sz w:val="22"/>
          <w:szCs w:val="22"/>
        </w:rPr>
        <w:commentReference w:id="167"/>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68" w:name="_hvgdgrm8c1y2" w:colFirst="0" w:colLast="0"/>
      <w:bookmarkEnd w:id="168"/>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69"/>
      <w:r>
        <w:t>this seems to be mostly present amongst those who have little ambition to be leading in the domain of AI</w:t>
      </w:r>
      <w:commentRangeEnd w:id="169"/>
      <w:r>
        <w:rPr>
          <w:rStyle w:val="CommentReference"/>
          <w:sz w:val="22"/>
          <w:szCs w:val="22"/>
        </w:rPr>
        <w:commentReference w:id="169"/>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70" w:name="_kdh3jovkecpb" w:colFirst="0" w:colLast="0"/>
      <w:bookmarkEnd w:id="170"/>
      <w:commentRangeStart w:id="171"/>
      <w:r>
        <w:rPr>
          <w:color w:val="000000"/>
        </w:rPr>
        <w:t>4.2</w:t>
      </w:r>
      <w:r>
        <w:rPr>
          <w:color w:val="000000"/>
        </w:rPr>
        <w:tab/>
      </w:r>
      <w:commentRangeEnd w:id="171"/>
      <w:r>
        <w:rPr>
          <w:rStyle w:val="CommentReference"/>
          <w:color w:val="000000"/>
          <w:sz w:val="22"/>
          <w:szCs w:val="22"/>
        </w:rPr>
        <w:commentReference w:id="171"/>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72"/>
      <w:r>
        <w:t>organizational ability to act quickly under uncertainty</w:t>
      </w:r>
      <w:commentRangeEnd w:id="172"/>
      <w:r>
        <w:rPr>
          <w:rStyle w:val="CommentReference"/>
          <w:sz w:val="22"/>
          <w:szCs w:val="22"/>
        </w:rPr>
        <w:commentReference w:id="172"/>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73" w:name="OLE_LINK1"/>
      <w:r>
        <w:t>capacity concerns culture</w:t>
      </w:r>
      <w:bookmarkEnd w:id="173"/>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74" w:name="OLE_LINK3"/>
      <w:r>
        <w:t>‘</w:t>
      </w:r>
      <w:bookmarkEnd w:id="174"/>
      <w:r>
        <w:t xml:space="preserve">Yeah, then I’m going to wait two years before I get space on the backlog.’” </w:t>
      </w:r>
    </w:p>
    <w:p w14:paraId="6240EB5F" w14:textId="621178B3" w:rsidR="00983B42" w:rsidRDefault="007C5AFE" w:rsidP="00983B42">
      <w:r>
        <w:t xml:space="preserve">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w:t>
      </w:r>
      <w:r>
        <w:lastRenderedPageBreak/>
        <w:t>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lastRenderedPageBreak/>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75" w:name="OLE_LINK4"/>
      <w:r>
        <w:rPr>
          <w:bCs/>
          <w:i/>
          <w:iCs/>
        </w:rPr>
        <w:t>Leadership backing</w:t>
      </w:r>
      <w:r>
        <w:t xml:space="preserve"> concerns the visible endorsement, resource authorization, and organizational protection that senior leaders provide.  </w:t>
      </w:r>
      <w:bookmarkEnd w:id="175"/>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lastRenderedPageBreak/>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76" w:name="_xw6d9a4ef7wu" w:colFirst="0" w:colLast="0"/>
      <w:bookmarkEnd w:id="176"/>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strictness of this limitation “Technology strongly defines what can and can not be done in marketing. Your MarTech stack bounds what personalization you can do”. </w:t>
      </w:r>
    </w:p>
    <w:p w14:paraId="4663BA43" w14:textId="5B8A3F7E" w:rsidR="00401741" w:rsidRDefault="00000000">
      <w:r>
        <w:t xml:space="preserve">Interviewee 2 notes lacking these capabilities as the core reason why his organization is behind in AI adoption, stating, “We are just in the first steps towards [AI] maturity, and the core reason is: the infrastructure is not yet in place, and the workload is really big.” Interviewee 10 </w:t>
      </w:r>
      <w:r>
        <w:lastRenderedPageBreak/>
        <w:t>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77" w:name="_qy9fnmmddxdy" w:colFirst="0" w:colLast="0"/>
      <w:bookmarkEnd w:id="177"/>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This can also affect AI adoption indirectly by limiting collection or exploitation of vital resources like data. Interviewee 13 describes “Companies are already afraid to use certain tools because ‘how does it look on the GDPR side?’, ‘are we allowed to track data from our 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78" w:name="_hojo1f9yxiy" w:colFirst="0" w:colLast="0"/>
      <w:bookmarkEnd w:id="178"/>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79" w:name="_iuvuby6hzug8" w:colFirst="0" w:colLast="0"/>
      <w:bookmarkEnd w:id="179"/>
      <w:r>
        <w:t>4.3.1</w:t>
      </w:r>
      <w:r>
        <w:tab/>
        <w:t>Use Cases</w:t>
      </w:r>
    </w:p>
    <w:p w14:paraId="29E9CF78" w14:textId="50077C5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lastRenderedPageBreak/>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t>Interviewee 9 describes a similar system that is focused on deploying campaigns across different cultures:</w:t>
      </w:r>
    </w:p>
    <w:p w14:paraId="6DADC2A1" w14:textId="75FDC148" w:rsidR="001C0088" w:rsidRDefault="001C0088" w:rsidP="00AB5895">
      <w:pPr>
        <w:pStyle w:val="Quote"/>
      </w:pPr>
      <w:r>
        <w:t xml:space="preserve">We have something called [redacted], which is a custom journey tool, and it's basically a large language model where you constantly build up cultural </w:t>
      </w:r>
      <w:r>
        <w:lastRenderedPageBreak/>
        <w:t>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 xml:space="preserve">“I see process steps inside workflows. If </w:t>
      </w:r>
      <w:r>
        <w:rPr>
          <w:i/>
          <w:iCs/>
        </w:rPr>
        <w:lastRenderedPageBreak/>
        <w:t>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80" w:name="_niqmcast9jsc" w:colFirst="0" w:colLast="0"/>
      <w:bookmarkEnd w:id="180"/>
      <w:r>
        <w:lastRenderedPageBreak/>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81" w:name="OLE_LINK5"/>
      <w:r>
        <w:t xml:space="preserve">[human] </w:t>
      </w:r>
      <w:bookmarkEnd w:id="181"/>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82" w:name="_d3o8hfs61axc" w:colFirst="0" w:colLast="0"/>
      <w:bookmarkEnd w:id="182"/>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83"/>
      <w:r>
        <w:t>Outcomes</w:t>
      </w:r>
      <w:commentRangeEnd w:id="183"/>
      <w:r>
        <w:rPr>
          <w:rStyle w:val="CommentReference"/>
          <w:sz w:val="22"/>
          <w:szCs w:val="22"/>
        </w:rPr>
        <w:commentReference w:id="183"/>
      </w:r>
    </w:p>
    <w:p w14:paraId="2D502457" w14:textId="77777777" w:rsidR="006F4101" w:rsidRPr="00406285"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w:t>
      </w:r>
      <w:r>
        <w:lastRenderedPageBreak/>
        <w:t xml:space="preserve">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0731535D" w14:textId="77777777" w:rsidR="006F4101" w:rsidRPr="00406285" w:rsidRDefault="006F4101" w:rsidP="006F4101">
      <w:commentRangeStart w:id="184"/>
      <w:r>
        <w:t xml:space="preserve">Notably, even for similar use cases, the stated outcomes might be different across interviewees; this might be due to the organizational aspects the managers influence or approach, other elements that affect the outcome, or even the interviewee's perception.  </w:t>
      </w:r>
      <w:commentRangeEnd w:id="184"/>
      <w:r w:rsidRPr="00406285">
        <w:rPr>
          <w:rStyle w:val="CommentReference"/>
          <w:sz w:val="22"/>
          <w:szCs w:val="22"/>
        </w:rPr>
        <w:commentReference w:id="184"/>
      </w:r>
    </w:p>
    <w:p w14:paraId="74617E84" w14:textId="2C2449D6" w:rsidR="00401741" w:rsidRPr="00406285" w:rsidRDefault="00000000" w:rsidP="006F4101">
      <w:commentRangeStart w:id="185"/>
      <w:r>
        <w:t>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commentRangeEnd w:id="185"/>
      <w:r w:rsidRPr="00406285">
        <w:rPr>
          <w:rStyle w:val="CommentReference"/>
          <w:sz w:val="22"/>
          <w:szCs w:val="22"/>
        </w:rPr>
        <w:commentReference w:id="185"/>
      </w:r>
    </w:p>
    <w:p w14:paraId="5B3F8217" w14:textId="77777777" w:rsidR="00401741" w:rsidRPr="00F9706B" w:rsidRDefault="00000000">
      <w:pPr>
        <w:pStyle w:val="Heading3"/>
      </w:pPr>
      <w:bookmarkStart w:id="186" w:name="_psp9v76zeahl" w:colFirst="0" w:colLast="0"/>
      <w:bookmarkEnd w:id="186"/>
      <w:r>
        <w:t>4.4.1</w:t>
      </w:r>
      <w:r>
        <w:tab/>
        <w:t>Benefits</w:t>
      </w:r>
    </w:p>
    <w:p w14:paraId="2E6E9B2D" w14:textId="330161D4" w:rsidR="00401741" w:rsidRPr="00F9706B" w:rsidRDefault="00000000">
      <w:r>
        <w:t xml:space="preserve">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w:t>
      </w:r>
      <w:r>
        <w:t>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w:t>
      </w:r>
      <w:r>
        <w:t xml:space="preserve"> He cautions, however, that this benefit is not a durable advantage: “it’s not a competitive advantage, certainly not in the long term […] everybody is gonna get the benefit of efficiency through AI, so it’s not really gonna be a way to distinguish yourself from your competitors.”</w:t>
      </w:r>
      <w:r>
        <w:t xml:space="preserve">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87" w:name="_vkh433kqk3oi" w:colFirst="0" w:colLast="0"/>
      <w:bookmarkEnd w:id="187"/>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88" w:name="OLE_LINK6"/>
      <w:r>
        <w:t>; things that are knowingly given up or altered as a consequence of AI adoption</w:t>
      </w:r>
      <w:bookmarkEnd w:id="188"/>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89" w:name="_i62wq5quevoe" w:colFirst="0" w:colLast="0"/>
      <w:bookmarkEnd w:id="189"/>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181BD607" w14:textId="77777777" w:rsidR="00401741" w:rsidRPr="00864F3E" w:rsidRDefault="00000000">
      <w:pPr>
        <w:pStyle w:val="Heading2"/>
        <w:rPr>
          <w:color w:val="auto"/>
        </w:rPr>
      </w:pPr>
      <w:commentRangeStart w:id="190"/>
      <w:r>
        <w:rPr>
          <w:color w:val="auto"/>
        </w:rPr>
        <w:t xml:space="preserve">4.5 </w:t>
      </w:r>
      <w:r>
        <w:rPr>
          <w:color w:val="auto"/>
        </w:rPr>
        <w:tab/>
        <w:t>Paradoxes</w:t>
      </w:r>
      <w:commentRangeEnd w:id="190"/>
      <w:r w:rsidRPr="00864F3E">
        <w:rPr>
          <w:rStyle w:val="CommentReference"/>
          <w:color w:val="auto"/>
          <w:sz w:val="22"/>
          <w:szCs w:val="22"/>
        </w:rPr>
        <w:commentReference w:id="190"/>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91"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w:t>
      </w:r>
      <w:r>
        <w:lastRenderedPageBreak/>
        <w:t xml:space="preserve">adheres to tone-of-voice and visual brand standards at scale, and notes that this agent is now in place to validate human content. </w:t>
      </w:r>
    </w:p>
    <w:p w14:paraId="1B205435" w14:textId="367B3A73" w:rsidR="00864F3E" w:rsidRDefault="00864F3E">
      <w:r>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92"/>
      <w:r>
        <w:t xml:space="preserve">Furthermore, the organizations most exposed to AI-driven brand risk are therefore also the ones with the strongest incentive to invest in AI-driven brand control. </w:t>
      </w:r>
      <w:bookmarkEnd w:id="191"/>
      <w:commentRangeEnd w:id="192"/>
      <w:r>
        <w:rPr>
          <w:rStyle w:val="CommentReference"/>
          <w:color w:val="00312A"/>
          <w:sz w:val="22"/>
          <w:szCs w:val="22"/>
        </w:rPr>
        <w:commentReference w:id="192"/>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93"/>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93"/>
      <w:r w:rsidRPr="00F2696B">
        <w:rPr>
          <w:rStyle w:val="CommentReference"/>
          <w:sz w:val="22"/>
          <w:szCs w:val="22"/>
        </w:rPr>
        <w:commentReference w:id="193"/>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1FA2B7CF" w14:textId="4B88652A" w:rsidR="00396F15" w:rsidRDefault="00000000">
      <w:pPr>
        <w:rPr>
          <w:color w:val="00312A"/>
        </w:rPr>
      </w:pPr>
      <w:r>
        <w:rPr>
          <w:color w:val="00312A"/>
        </w:rPr>
        <w:t>This study set out to understand how marketing managers create value with agentic AI. Chapter 4 analyzes the lived experience of marketing managers and those who help them implement their AI strategy, and shows how marketing managers can create value using agentic AI.</w:t>
      </w:r>
    </w:p>
    <w:p w14:paraId="1AAF66B8" w14:textId="7792666D" w:rsidR="00CE71D1" w:rsidRDefault="006A47C9" w:rsidP="006A47C9">
      <w:pPr>
        <w:rPr>
          <w:color w:val="00312A"/>
        </w:rPr>
      </w:pPr>
      <w:r>
        <w:rPr>
          <w:color w:val="00312A"/>
        </w:rPr>
        <w:t xml:space="preserve"> </w:t>
      </w:r>
      <w:bookmarkStart w:id="194" w:name="OLE_LINK2"/>
      <w:r>
        <w:rPr>
          <w:color w:val="00312A"/>
        </w:rPr>
        <w:t xml:space="preserve">Similar use cases, like creating a content generation pipeline, an analytics agent, or customer service assistance, were reported to produce different outcomes across organizations. </w:t>
      </w:r>
      <w:r>
        <w:rPr>
          <w:color w:val="00312A"/>
        </w:rPr>
        <w:lastRenderedPageBreak/>
        <w:t xml:space="preserve">That variance was attributed to organizational conditions, managerial behavior, and the configuration in which the technology was applied rather than to the underlying model. </w:t>
      </w:r>
    </w:p>
    <w:bookmarkEnd w:id="194"/>
    <w:p w14:paraId="2A783904" w14:textId="248B9A69" w:rsidR="00401741" w:rsidRDefault="00000000" w:rsidP="006A47C9">
      <w:pPr>
        <w:rPr>
          <w:i/>
          <w:iCs/>
          <w:color w:val="00312A"/>
        </w:rPr>
      </w:pPr>
      <w:r>
        <w:rPr>
          <w:color w:val="00312A"/>
        </w:rPr>
        <w:t>This chapter interprets that finding against the literature reviewed in Chapter 2. Section 5.1 develops the theoretical contributions, situating the empirical model within dynamic capabilities, value-creation, and digital-transformation theory; Section 5.2 draws out the practical implications for marketing managers; and Section 5.3 sets out the study’s limitations and the research directions they open.</w:t>
      </w:r>
    </w:p>
    <w:p w14:paraId="613019AE" w14:textId="77777777" w:rsidR="00401741" w:rsidRDefault="00000000">
      <w:pPr>
        <w:pStyle w:val="Heading2"/>
        <w:rPr>
          <w:color w:val="00312A"/>
        </w:rPr>
      </w:pPr>
      <w:bookmarkStart w:id="195" w:name="_7rbdabewznnc" w:colFirst="0" w:colLast="0"/>
      <w:bookmarkEnd w:id="195"/>
      <w:r>
        <w:rPr>
          <w:color w:val="00312A"/>
        </w:rPr>
        <w:t>5.1</w:t>
      </w:r>
      <w:r>
        <w:rPr>
          <w:color w:val="00312A"/>
        </w:rPr>
        <w:tab/>
        <w:t>Contributions to Theory</w:t>
      </w:r>
    </w:p>
    <w:p w14:paraId="7CCE79E1" w14:textId="7D519470" w:rsidR="006E2577"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(AI progression, market pressure, and supplier communication); the organizational conditions that enable or constrain action; </w:t>
      </w:r>
      <w:r>
        <w:rPr>
          <w:i/>
          <w:iCs/>
          <w:color w:val="00312A"/>
        </w:rPr>
        <w:t>steering</w:t>
      </w:r>
      <w:r>
        <w:rPr>
          <w:color w:val="00312A"/>
        </w:rPr>
        <w:t xml:space="preserve"> the organization through three managerial responses —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Running through the chain is a set of paradoxes in which the technology that generates a problem also supplies the means to manage it. The model is offered as an interpretive account of how value is constructed; its contribution lies in locating the determinants of value inside the organization rather than in the technology itself.</w:t>
      </w:r>
    </w:p>
    <w:p w14:paraId="1826AD9E" w14:textId="77777777" w:rsidR="006E2577" w:rsidRDefault="00000000">
      <w:pPr>
        <w:rPr>
          <w:color w:val="00312A"/>
        </w:rPr>
      </w:pPr>
      <w:r>
        <w:rPr>
          <w:b/>
          <w:bCs/>
          <w:color w:val="00312A"/>
        </w:rPr>
        <w:t xml:space="preserve">Extending dynamic capabilities to agentic AI in marketing. </w:t>
      </w:r>
      <w:r>
        <w:rPr>
          <w:color w:val="00312A"/>
        </w:rPr>
        <w:t xml:space="preserve">The model extends dynamic capabilities theory (Teece et al., 1997) into the specific context of agentic AI in marketing. The observing category corresponds closely to digital sensing (Ellström et al., 2021; Warner &amp; Wäger, 2019), and steering and applying together perform the seizing and reconfiguring functions through which firms renew their resource base. The study’s distinctive contribution, however, is to show where the binding constraint actually sits. Sensing was not the scarce capability: participants across roles and organizations observed the same hockey-stick </w:t>
      </w:r>
      <w:r>
        <w:rPr>
          <w:color w:val="00312A"/>
        </w:rPr>
        <w:lastRenderedPageBreak/>
        <w:t>progression (Section 4.1.1), the same competitive and consumer-driven market pressure (Section 4.1.2), and the same vendor roadmaps (Section 4.1.3). What separated organizations was the internal work of reconfiguration — building literacy, freeing data, providing clarity, and protecting experimentation. This relocates the locus of differentiation from opportunity recognition to organizational follow-through, and it gives empirical specificity, in the agentic-AI setting, to the long-standing argument that the value of a digital technology is mediated by complementary assets rather than realized automatically (Ancillai et al., 2023; Enholm et al., 2022; Holmström, 2022).</w:t>
      </w:r>
    </w:p>
    <w:p w14:paraId="1EDF4A10" w14:textId="77777777" w:rsidR="006E2577" w:rsidRDefault="00000000">
      <w:pPr>
        <w:rPr>
          <w:color w:val="00312A"/>
        </w:rPr>
      </w:pPr>
      <w:r>
        <w:rPr>
          <w:b/>
          <w:bCs/>
          <w:color w:val="00312A"/>
        </w:rPr>
        <w:t xml:space="preserve">Value as configuration-in-use rather than capability. </w:t>
      </w:r>
      <w:commentRangeStart w:id="196"/>
      <w:r>
        <w:rPr>
          <w:color w:val="00312A"/>
        </w:rPr>
        <w:t xml:space="preserve">A second contribution concerns where value resides. The dominant framing in the AI-in-marketing literature treats value as a property of a capability or a tool. The present findings suggest instead that value with agentic AI is emergent from configuration-in-use: it is produced by the complete </w:t>
      </w:r>
      <w:r>
        <w:rPr>
          <w:i/>
          <w:iCs/>
          <w:color w:val="00312A"/>
        </w:rPr>
        <w:t>harness</w:t>
      </w:r>
      <w:r>
        <w:rPr>
          <w:color w:val="00312A"/>
        </w:rPr>
        <w:t xml:space="preserve"> around the model — the data it can reach, its memory, the tools it can call, the guardrails, the prompt, and the choice of model (Sections 4.3.2 and 4.4).</w:t>
      </w:r>
      <w:commentRangeEnd w:id="196"/>
      <w:r>
        <w:rPr>
          <w:rStyle w:val="CommentReference"/>
          <w:color w:val="00312A"/>
          <w:sz w:val="22"/>
          <w:szCs w:val="22"/>
        </w:rPr>
        <w:commentReference w:id="196"/>
      </w:r>
      <w:r>
        <w:rPr>
          <w:color w:val="00312A"/>
        </w:rPr>
        <w:t xml:space="preserve"> Because outcomes for nominally identical use cases diverged with this configuration, value cannot be read off the technology; it is co-produced as organizational resources are integrated with the system in practice. This aligns the findings with value co-creation accounts in which technology actively participates in resource integration rather than serving as a passive instrument (Kaartemo &amp; Helkkula, 2018; Leone et al., 2020),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7728FC1C" w14:textId="77777777" w:rsidR="006E2577" w:rsidRDefault="00000000">
      <w:pPr>
        <w:rPr>
          <w:color w:val="00312A"/>
        </w:rPr>
      </w:pPr>
      <w:r>
        <w:rPr>
          <w:b/>
          <w:bCs/>
          <w:color w:val="00312A"/>
        </w:rPr>
        <w:t xml:space="preserve">A managerial repertoire and its navigation bias. </w:t>
      </w:r>
      <w:r>
        <w:rPr>
          <w:color w:val="00312A"/>
        </w:rPr>
        <w:t xml:space="preserve">Third, the study identifies a three-part repertoire through which managers act on organizational conditions — reshaping the condition, leveraging a favorable condition, and navigating an unfavorable one as given — and a systematic bias in how the repertoire is used. Managers reshaped conditions internal to their </w:t>
      </w:r>
      <w:r>
        <w:rPr>
          <w:color w:val="00312A"/>
        </w:rPr>
        <w:lastRenderedPageBreak/>
        <w:t xml:space="preserve">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(Cieslak &amp; Valor, 2024; Li et al., 2023) and with the organizational-capability view of AI adoption (Romeo &amp; Lacko, 2026; Weber et al., 2023), and it foregrounds a micro-foundational actor that this work has largely left implicit: the </w:t>
      </w:r>
      <w:r>
        <w:rPr>
          <w:i/>
          <w:iCs/>
          <w:color w:val="00312A"/>
        </w:rPr>
        <w:t>AI champion</w:t>
      </w:r>
      <w:r>
        <w:rPr>
          <w:color w:val="00312A"/>
        </w:rPr>
        <w:t>, whose combination of technical and business fluency allowed individuals to convert leadership backing into disproportionate organizational change (Section 4.2.2).</w:t>
      </w:r>
    </w:p>
    <w:p w14:paraId="7A5CB621" w14:textId="77777777" w:rsidR="006E2577" w:rsidRDefault="00000000">
      <w:pPr>
        <w:rPr>
          <w:color w:val="00312A"/>
        </w:rPr>
      </w:pPr>
      <w:r>
        <w:rPr>
          <w:b/>
          <w:bCs/>
          <w:color w:val="00312A"/>
        </w:rPr>
        <w:t xml:space="preserve">Value as an entangled portfolio, managed through paradox. </w:t>
      </w:r>
      <w:r>
        <w:rPr>
          <w:color w:val="00312A"/>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w:t>
      </w:r>
      <w:r>
        <w:rPr>
          <w:color w:val="00312A"/>
        </w:rPr>
        <w:lastRenderedPageBreak/>
        <w:t>organizations most exposed to AI-driven value destruction also have the strongest incentive, and the readiest means, to invest in AI-driven control.</w:t>
      </w:r>
    </w:p>
    <w:p w14:paraId="51C408D9" w14:textId="77777777" w:rsidR="006E2577" w:rsidRDefault="00000000">
      <w:pPr>
        <w:rPr>
          <w:color w:val="00312A"/>
        </w:rPr>
      </w:pPr>
      <w:r>
        <w:rPr>
          <w:b/>
          <w:bCs/>
          <w:color w:val="00312A"/>
        </w:rPr>
        <w:t xml:space="preserve">The contested category and the optics of being “agentic.” </w:t>
      </w:r>
      <w:r>
        <w:rPr>
          <w:color w:val="00312A"/>
        </w:rPr>
        <w:t>Finally, the instability of the category agentic AI is itself an analytic finding. Participants applied the term across a continuum, extending it to retrieval pipelines, conditional workflows, and well-configured assistants, and one characterized it as having become “almost a marketing term” (Section 4.1.1). Coupled with the optics-versus-reality gap, in which capability is announced before it is operational (Section 4.5.3), this suggests that agentic AI functions in practice as a boundary object performing legitimating and signaling work beyond its technical referent. For theory, this cautions against treating the construct as a stable independent variable and supports a constructivist reading in which what counts as agentic is negotiated in organizational and market discourse — a stance consistent with the grounded-theory commitments of this study (Charmaz, 2006).</w:t>
      </w:r>
    </w:p>
    <w:p w14:paraId="39B5E615" w14:textId="77777777" w:rsidR="00401741" w:rsidRDefault="00000000">
      <w:pPr>
        <w:pStyle w:val="Heading2"/>
        <w:rPr>
          <w:color w:val="00312A"/>
        </w:rPr>
      </w:pPr>
      <w:bookmarkStart w:id="197" w:name="_vqcghgtkedix" w:colFirst="0" w:colLast="0"/>
      <w:bookmarkEnd w:id="197"/>
      <w:r>
        <w:rPr>
          <w:color w:val="00312A"/>
        </w:rPr>
        <w:t>5.2</w:t>
      </w:r>
      <w:r>
        <w:rPr>
          <w:color w:val="00312A"/>
        </w:rPr>
        <w:tab/>
        <w:t>Practical implications</w:t>
      </w:r>
    </w:p>
    <w:p w14:paraId="68944638" w14:textId="77777777" w:rsidR="006E2577" w:rsidRDefault="00000000">
      <w:pPr>
        <w:rPr>
          <w:color w:val="00312A"/>
        </w:rPr>
      </w:pPr>
      <w:r>
        <w:rPr>
          <w:color w:val="00312A"/>
        </w:rPr>
        <w:t>Because value creation with agentic AI is an inside-out, managerial achievement rather than a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w:t>
      </w:r>
    </w:p>
    <w:p w14:paraId="1B56C6EF" w14:textId="77777777" w:rsidR="006E2577" w:rsidRDefault="00000000">
      <w:pPr>
        <w:rPr>
          <w:color w:val="00312A"/>
        </w:rPr>
      </w:pPr>
      <w:r>
        <w:rPr>
          <w:b/>
          <w:bCs/>
          <w:color w:val="00312A"/>
        </w:rPr>
        <w:t xml:space="preserve">Invest in the conditions, not only the tools. </w:t>
      </w:r>
      <w:r>
        <w:rPr>
          <w:color w:val="00312A"/>
        </w:rPr>
        <w:t xml:space="preserve">The most consistent obstacle to value was organizational rather than technical (Section 4.2.1): limited AI literacy, resistance to change, and an inability to think in systems. Managers should therefore treat adoption as a change programme and invest deliberately in the enabling conditions. Education works best when it is differentiated by level — leadership setting strategic horizons, middle management learning to structure and facilitate experimentation, and employees learning that agentic AI does more than write emails — and when data and tooling are made accessible enough for an </w:t>
      </w:r>
      <w:r>
        <w:rPr>
          <w:color w:val="00312A"/>
        </w:rPr>
        <w:lastRenderedPageBreak/>
        <w:t>agent to act within the organization’s systems (Section 4.2.3). Above all, managers should create protected space for experimentation, accepting that early learnings do not always produce immediate returns, because tangible value is most reliably discovered by doing rather than by planning.</w:t>
      </w:r>
    </w:p>
    <w:p w14:paraId="6B1A8A93" w14:textId="77777777" w:rsidR="006E2577" w:rsidRDefault="00000000">
      <w:pPr>
        <w:rPr>
          <w:color w:val="00312A"/>
        </w:rPr>
      </w:pPr>
      <w:r>
        <w:rPr>
          <w:b/>
          <w:bCs/>
          <w:color w:val="00312A"/>
        </w:rPr>
        <w:t xml:space="preserve">Lead the change: provide clarity, bring people along, and back your champions. </w:t>
      </w:r>
      <w:r>
        <w:rPr>
          <w:color w:val="00312A"/>
        </w:rPr>
        <w:t>Leadership behaviors were repeatedly associated with successful adoption (Section 4.2.2). Managers should state clearly where the organization is going with AI, which use cases matter, and what success looks like, because unclear direction tends to surface problems only at the execution stage. They should bring people along — making employees feel that their work still matters and showing them concretely how to use AI day to day — so as to reduce the resistance that otherwise stalls adoption. And they should identify, empower, and protect AI champions, whose visible prototypes can attract backing and scale into organization-wide initiatives. Where senior leaders absorb or centralize the cost of experimentation, they remove one of the most powerful brakes on adoption.</w:t>
      </w:r>
    </w:p>
    <w:p w14:paraId="74431BBD" w14:textId="77777777" w:rsidR="006E2577" w:rsidRDefault="00000000">
      <w:pPr>
        <w:rPr>
          <w:color w:val="00312A"/>
        </w:rPr>
      </w:pPr>
      <w:r>
        <w:rPr>
          <w:b/>
          <w:bCs/>
          <w:color w:val="00312A"/>
        </w:rPr>
        <w:t xml:space="preserve">Decide deliberately whether to follow or to differentiate. </w:t>
      </w:r>
      <w:r>
        <w:rPr>
          <w:color w:val="00312A"/>
        </w:rPr>
        <w:t>The findings imply a strategic choice between two postures. Much adoption is essentially AI hygiene — executing proven use cases efficiently to reach parity and avoid falling behind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4D8C290E" w14:textId="77777777" w:rsidR="006E2577" w:rsidRDefault="00000000">
      <w:pPr>
        <w:rPr>
          <w:color w:val="00312A"/>
        </w:rPr>
      </w:pPr>
      <w:r>
        <w:rPr>
          <w:b/>
          <w:bCs/>
          <w:color w:val="00312A"/>
        </w:rPr>
        <w:t xml:space="preserve">Start from the workflow, not the technology. </w:t>
      </w:r>
      <w:r>
        <w:rPr>
          <w:color w:val="00312A"/>
        </w:rPr>
        <w:t xml:space="preserve">Value was most reliably created when managers began from a marketing problem or workflow and inserted AI where they trusted its performance, rather than adopting AI for its own sake (Section 4.3.1). A practical </w:t>
      </w:r>
      <w:r>
        <w:rPr>
          <w:color w:val="00312A"/>
        </w:rPr>
        <w:lastRenderedPageBreak/>
        <w:t>method evident in the data is to decompose a process into its constituent steps and apply agentic AI only to the steps where it is reliable, retaining human judgment elsewhere. This lowers risk and makes the specific contribution of AI measurable.</w:t>
      </w:r>
    </w:p>
    <w:p w14:paraId="150FE09F" w14:textId="77777777" w:rsidR="006E2577" w:rsidRDefault="00000000">
      <w:pPr>
        <w:rPr>
          <w:color w:val="00312A"/>
        </w:rPr>
      </w:pPr>
      <w:r>
        <w:rPr>
          <w:b/>
          <w:bCs/>
          <w:color w:val="00312A"/>
        </w:rPr>
        <w:t xml:space="preserve">Engineer the harness, and use AI to govern AI. </w:t>
      </w:r>
      <w:r>
        <w:rPr>
          <w:color w:val="00312A"/>
        </w:rPr>
        <w:t>Because outcomes depend on configuration rather than on the model alone, managers should invest in the harness around the agent — accessible data, memory, tool access, a clear system prompt, and guardrails — and treat it as the real object of design (Section 4.3.2). The same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1D28E1C5" w14:textId="77777777" w:rsidR="006E2577" w:rsidRDefault="00000000">
      <w:pPr>
        <w:rPr>
          <w:color w:val="00312A"/>
        </w:rPr>
      </w:pPr>
      <w:r>
        <w:rPr>
          <w:b/>
          <w:bCs/>
          <w:color w:val="00312A"/>
        </w:rPr>
        <w:t xml:space="preserve">Manage the build, buy, and dependence trade-off. </w:t>
      </w:r>
      <w:r>
        <w:rPr>
          <w:color w:val="00312A"/>
        </w:rPr>
        <w:t>External experts and agencies offer a fast route around scarce internal capacity, and several managers used them precisely to avoid multi-year internal backlogs (Section 4.2.1). The findings also show the cost: externally sourced momentum is fragile, and over-reliance can leave the AI knowledge built for an organization owned by its agency. Managers should use external help to accelerate while deliberately retaining and internalizing capability, so that speed today does not become dependence tomorrow.</w:t>
      </w:r>
    </w:p>
    <w:p w14:paraId="446A0A46" w14:textId="77777777" w:rsidR="006E2577" w:rsidRDefault="00000000">
      <w:pPr>
        <w:rPr>
          <w:color w:val="00312A"/>
        </w:rPr>
      </w:pPr>
      <w:r>
        <w:rPr>
          <w:b/>
          <w:bCs/>
          <w:color w:val="00312A"/>
        </w:rPr>
        <w:t xml:space="preserve">Treat AI budgeting as a strategic act. </w:t>
      </w:r>
      <w:r>
        <w:rPr>
          <w:color w:val="00312A"/>
        </w:rPr>
        <w:t>Even in AI-forward organizations, securing budget for agentic AI remained difficult despite reported returns as high as a tenfold ROI (Section 4.4.1). Where the upside is large but uncertain and the time to return is variable, conventional business-case discipline can systematically under-fund experimentation. Centralizing or absorbing the cost of early AI work, as some leaders did, is one way to resolve this tension while signaling commitment.</w:t>
      </w:r>
    </w:p>
    <w:p w14:paraId="3318F2C0" w14:textId="77777777" w:rsidR="006E2577" w:rsidRDefault="00000000">
      <w:pPr>
        <w:rPr>
          <w:color w:val="00312A"/>
        </w:rPr>
      </w:pPr>
      <w:r>
        <w:rPr>
          <w:b/>
          <w:bCs/>
          <w:color w:val="00312A"/>
        </w:rPr>
        <w:lastRenderedPageBreak/>
        <w:t xml:space="preserve">Prepare for an agentic demand side without hollowing the talent pipeline. </w:t>
      </w:r>
      <w:r>
        <w:rPr>
          <w:color w:val="00312A"/>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Default="00000000">
      <w:pPr>
        <w:pStyle w:val="Heading2"/>
        <w:rPr>
          <w:color w:val="00312A"/>
        </w:rPr>
      </w:pPr>
      <w:bookmarkStart w:id="198" w:name="_mnyukkjx9iq" w:colFirst="0" w:colLast="0"/>
      <w:bookmarkEnd w:id="198"/>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w:t>
      </w:r>
      <w:r>
        <w:rPr>
          <w:color w:val="00312A"/>
        </w:rPr>
        <w:lastRenderedPageBreak/>
        <w:t>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199" w:name="_dd6zel2y4t5x" w:colFirst="0" w:colLast="0"/>
      <w:bookmarkEnd w:id="199"/>
      <w:r>
        <w:lastRenderedPageBreak/>
        <w:t>6.</w:t>
      </w:r>
      <w:r>
        <w:tab/>
        <w:t>Conclusion</w:t>
      </w:r>
    </w:p>
    <w:p w14:paraId="5F2588FD" w14:textId="77777777" w:rsidR="006E2577" w:rsidRDefault="00000000">
      <w:pPr>
        <w:rPr>
          <w:color w:val="00312A"/>
        </w:rPr>
      </w:pPr>
      <w:r>
        <w:rPr>
          <w:color w:val="00312A"/>
        </w:rPr>
        <w:t>This thesis asked how marketing managers create value with agentic AI. Drawing on seventeen interviews with marketing managers and AI experts, analyzed through constructivist grounded theory, it concludes that value creation with agentic AI is an inside-out, managerial accomplishment.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Default="00000000">
      <w:pPr>
        <w:rPr>
          <w:color w:val="00312A"/>
        </w:rPr>
      </w:pPr>
      <w:r>
        <w:rPr>
          <w:color w:val="00312A"/>
        </w:rPr>
        <w:t xml:space="preserve">The three subquestions structure this answer. Marketing managers </w:t>
      </w:r>
      <w:r>
        <w:rPr>
          <w:i/>
          <w:iCs/>
          <w:color w:val="00312A"/>
        </w:rPr>
        <w:t>identify and translate</w:t>
      </w:r>
      <w:r>
        <w:rPr>
          <w:color w:val="00312A"/>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Default="00000000">
      <w:pPr>
        <w:rPr>
          <w:color w:val="00312A"/>
        </w:rPr>
      </w:pPr>
      <w:r>
        <w:rPr>
          <w:color w:val="00312A"/>
        </w:rPr>
        <w:t xml:space="preserve">They </w:t>
      </w:r>
      <w:r>
        <w:rPr>
          <w:i/>
          <w:iCs/>
          <w:color w:val="00312A"/>
        </w:rPr>
        <w:t>enable adoption</w:t>
      </w:r>
      <w:r>
        <w:rPr>
          <w:color w:val="00312A"/>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Default="00000000">
      <w:pPr>
        <w:rPr>
          <w:color w:val="00312A"/>
        </w:rPr>
      </w:pPr>
      <w:r>
        <w:rPr>
          <w:color w:val="00312A"/>
        </w:rPr>
        <w:t xml:space="preserve">They </w:t>
      </w:r>
      <w:r>
        <w:rPr>
          <w:i/>
          <w:iCs/>
          <w:color w:val="00312A"/>
        </w:rPr>
        <w:t>navigate obstacles and risks</w:t>
      </w:r>
      <w:r>
        <w:rPr>
          <w:color w:val="00312A"/>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Pr>
          <w:color w:val="00312A"/>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1D89FFEF" w:rsidR="00401741" w:rsidRPr="00396066" w:rsidRDefault="00000000" w:rsidP="00396066">
      <w:pPr>
        <w:rPr>
          <w:color w:val="00312A"/>
        </w:rPr>
      </w:pPr>
      <w:r>
        <w:rPr>
          <w:color w:val="00312A"/>
        </w:rPr>
        <w:t>The contribution of this study is a grounded, process account of inside-out value creation, together with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200" w:name="_9375lqp6ztft" w:colFirst="0" w:colLast="0"/>
      <w:bookmarkEnd w:id="200"/>
    </w:p>
    <w:p w14:paraId="5BA28DFA" w14:textId="77777777" w:rsidR="00401741" w:rsidRDefault="00000000">
      <w:pPr>
        <w:pStyle w:val="Heading1"/>
        <w:rPr>
          <w:color w:val="222222"/>
          <w:highlight w:val="white"/>
        </w:rPr>
      </w:pPr>
      <w:bookmarkStart w:id="201" w:name="_kgmnd1ymad1c" w:colFirst="0" w:colLast="0"/>
      <w:bookmarkEnd w:id="201"/>
      <w:r>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lastRenderedPageBreak/>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2"/>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2"/>
      <w:r>
        <w:rPr>
          <w:rStyle w:val="CommentReference"/>
          <w:strike/>
          <w:sz w:val="20"/>
          <w:szCs w:val="20"/>
          <w:highlight w:val="white"/>
        </w:rPr>
        <w:commentReference w:id="202"/>
      </w:r>
    </w:p>
    <w:p w14:paraId="3A3835CB" w14:textId="77777777" w:rsidR="00401741" w:rsidRDefault="00000000">
      <w:pPr>
        <w:ind w:left="720" w:hanging="720"/>
        <w:rPr>
          <w:strike/>
          <w:sz w:val="20"/>
          <w:szCs w:val="20"/>
          <w:highlight w:val="white"/>
        </w:rPr>
      </w:pPr>
      <w:commentRangeStart w:id="203"/>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3"/>
      <w:r>
        <w:rPr>
          <w:rStyle w:val="CommentReference"/>
          <w:strike/>
          <w:sz w:val="20"/>
          <w:szCs w:val="20"/>
          <w:highlight w:val="white"/>
        </w:rPr>
        <w:commentReference w:id="203"/>
      </w:r>
    </w:p>
    <w:p w14:paraId="5F7CA868" w14:textId="77777777" w:rsidR="006E2577" w:rsidRDefault="00000000">
      <w:pPr>
        <w:spacing w:line="360" w:lineRule="auto"/>
        <w:ind w:left="720" w:hanging="720"/>
        <w:rPr>
          <w:ins w:id="204" w:author="Claude" w:date="2026-06-06T00:00:00Z"/>
          <w:highlight w:val="white"/>
        </w:rPr>
      </w:pPr>
      <w:ins w:id="205" w:author="Claude" w:date="2026-06-06T00:00:00Z">
        <w:r>
          <w:rPr>
            <w:highlight w:val="white"/>
          </w:rPr>
          <w:t xml:space="preserve">Cieslak, V., &amp; Valor, C. (2024). Moving beyond conventional resistance and resistors: An integrative review of employee resistance to digital transformation. </w:t>
        </w:r>
        <w:r>
          <w:rPr>
            <w:i/>
            <w:iCs/>
            <w:highlight w:val="white"/>
          </w:rPr>
          <w:t>Cogent Business &amp; Management</w:t>
        </w:r>
        <w:r>
          <w:rPr>
            <w:highlight w:val="white"/>
          </w:rPr>
          <w:t xml:space="preserve">, </w:t>
        </w:r>
        <w:r>
          <w:rPr>
            <w:i/>
            <w:iCs/>
            <w:highlight w:val="white"/>
          </w:rPr>
          <w:t>12</w:t>
        </w:r>
        <w:r>
          <w:rPr>
            <w:highlight w:val="white"/>
          </w:rPr>
          <w:t>(1), 2442550. https://doi.org/10.1080/23311975.2024.2442550</w:t>
        </w:r>
      </w:ins>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 xml:space="preserve">Proceedings of the 2019 conference of the North American chapter of the association for computational </w:t>
      </w:r>
      <w:r>
        <w:rPr>
          <w:i/>
          <w:iCs/>
          <w:highlight w:val="white"/>
        </w:rPr>
        <w:lastRenderedPageBreak/>
        <w:t>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06"/>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06"/>
      <w:r>
        <w:rPr>
          <w:rStyle w:val="CommentReference"/>
          <w:strike/>
          <w:sz w:val="22"/>
          <w:szCs w:val="22"/>
        </w:rPr>
        <w:commentReference w:id="206"/>
      </w:r>
    </w:p>
    <w:p w14:paraId="295CDCC9" w14:textId="77777777" w:rsidR="00401741" w:rsidRDefault="00000000">
      <w:pPr>
        <w:ind w:left="720" w:hanging="720"/>
      </w:pPr>
      <w:r>
        <w:rPr>
          <w:highlight w:val="white"/>
        </w:rPr>
        <w:lastRenderedPageBreak/>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207" w:author="Claude" w:date="2026-06-06T00:00:00Z"/>
          <w:highlight w:val="white"/>
        </w:rPr>
      </w:pPr>
      <w:ins w:id="208"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Default="00000000">
      <w:pPr>
        <w:ind w:left="720" w:hanging="720"/>
        <w:rPr>
          <w:highlight w:val="white"/>
        </w:rPr>
      </w:pPr>
      <w:r>
        <w:rPr>
          <w:highlight w:val="white"/>
          <w:lang w:val="en-US"/>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lastRenderedPageBreak/>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9"/>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9"/>
      <w:r>
        <w:rPr>
          <w:rStyle w:val="CommentReference"/>
          <w:strike/>
          <w:sz w:val="22"/>
          <w:szCs w:val="22"/>
          <w:highlight w:val="white"/>
        </w:rPr>
        <w:commentReference w:id="209"/>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0"/>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0"/>
      <w:r>
        <w:rPr>
          <w:rStyle w:val="CommentReference"/>
          <w:strike/>
          <w:sz w:val="22"/>
          <w:szCs w:val="22"/>
          <w:highlight w:val="white"/>
        </w:rPr>
        <w:commentReference w:id="210"/>
      </w:r>
    </w:p>
    <w:p w14:paraId="793D775A" w14:textId="77777777" w:rsidR="006E2577" w:rsidRDefault="00000000">
      <w:pPr>
        <w:spacing w:line="360" w:lineRule="auto"/>
        <w:ind w:left="720" w:hanging="720"/>
        <w:rPr>
          <w:ins w:id="211" w:author="Claude" w:date="2026-06-06T00:00:00Z"/>
          <w:highlight w:val="white"/>
        </w:rPr>
      </w:pPr>
      <w:ins w:id="212" w:author="Claude" w:date="2026-06-06T00:00:00Z">
        <w:r>
          <w:rPr>
            <w:highlight w:val="white"/>
          </w:rPr>
          <w:lastRenderedPageBreak/>
          <w:t xml:space="preserve">Ritala, P., Aaltonen, P., Ruokonen, M., &amp; Nemeh, A. (2024). 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13" w:author="Claude" w:date="2026-06-06T00:00:00Z"/>
          <w:highlight w:val="white"/>
          <w:lang w:val="de-DE"/>
        </w:rPr>
      </w:pPr>
      <w:ins w:id="214"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5"/>
      <w:r>
        <w:rPr>
          <w:strike/>
          <w:lang w:val="it-IT"/>
        </w:rPr>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15"/>
      <w:r>
        <w:rPr>
          <w:rStyle w:val="CommentReference"/>
          <w:strike/>
          <w:sz w:val="22"/>
          <w:szCs w:val="22"/>
        </w:rPr>
        <w:commentReference w:id="21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000000">
      <w:pPr>
        <w:spacing w:line="360" w:lineRule="auto"/>
        <w:ind w:left="720" w:hanging="720"/>
        <w:rPr>
          <w:ins w:id="216" w:author="Claude" w:date="2026-06-06T00:00:00Z"/>
          <w:highlight w:val="white"/>
        </w:rPr>
      </w:pPr>
      <w:ins w:id="217" w:author="Claude" w:date="2026-06-06T00:00:00Z">
        <w:r>
          <w:rPr>
            <w:highlight w:val="white"/>
          </w:rPr>
          <w:lastRenderedPageBreak/>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8" w:name="_icpp6ljm25yc" w:colFirst="0" w:colLast="0"/>
      <w:bookmarkEnd w:id="218"/>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9" w:name="_yaxctkjupl5f" w:colFirst="0" w:colLast="0"/>
      <w:bookmarkEnd w:id="219"/>
      <w:r>
        <w:t>A.1.</w:t>
      </w:r>
      <w:r>
        <w:tab/>
        <w:t>Interview Guide</w:t>
      </w:r>
    </w:p>
    <w:p w14:paraId="10752A95" w14:textId="77777777" w:rsidR="00401741" w:rsidRDefault="00000000">
      <w:pPr>
        <w:pStyle w:val="Heading3"/>
      </w:pPr>
      <w:bookmarkStart w:id="220" w:name="_fso8dir40043" w:colFirst="0" w:colLast="0"/>
      <w:bookmarkEnd w:id="220"/>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21" w:name="_xu7tl6fyia16" w:colFirst="0" w:colLast="0"/>
      <w:bookmarkEnd w:id="221"/>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2" w:name="_uslcrode5spj" w:colFirst="0" w:colLast="0"/>
      <w:bookmarkEnd w:id="222"/>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3" w:name="_4i48gt7nuy87" w:colFirst="0" w:colLast="0"/>
      <w:bookmarkEnd w:id="223"/>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4" w:name="_i4eri4z2mseg" w:colFirst="0" w:colLast="0"/>
      <w:bookmarkEnd w:id="224"/>
    </w:p>
    <w:p w14:paraId="7396CC0C" w14:textId="77777777" w:rsidR="00401741" w:rsidRDefault="00000000">
      <w:pPr>
        <w:pStyle w:val="Heading1"/>
      </w:pPr>
      <w:bookmarkStart w:id="225" w:name="_n4q94a2ei39t" w:colFirst="0" w:colLast="0"/>
      <w:bookmarkEnd w:id="225"/>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6" w:name="_z0nzv114icat" w:colFirst="0" w:colLast="0"/>
      <w:bookmarkEnd w:id="226"/>
      <w:r>
        <w:br w:type="page"/>
      </w:r>
    </w:p>
    <w:p w14:paraId="4AB19BF1" w14:textId="77777777" w:rsidR="00401741" w:rsidRDefault="00000000">
      <w:pPr>
        <w:pStyle w:val="Heading1"/>
      </w:pPr>
      <w:bookmarkStart w:id="227" w:name="_8iomnw571gh6" w:colFirst="0" w:colLast="0"/>
      <w:bookmarkEnd w:id="227"/>
      <w:r>
        <w:lastRenderedPageBreak/>
        <w:t>Appendix D. Supporting Quotes</w:t>
      </w:r>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8" w:name="_a7k3h3b6oqi2" w:colFirst="0" w:colLast="0"/>
      <w:bookmarkEnd w:id="228"/>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6"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7"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1"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5"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4"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8"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7"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9"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0"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1"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69"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2"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0"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79"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4"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5"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6"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2"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1"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2"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3"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4"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95"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97"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99"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0"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1"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2"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4"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3"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7"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6"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08"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0"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09"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1"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2"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3"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1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1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1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18"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19"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0"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1"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3"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4"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25"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26"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27"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28"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0"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1"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2"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3"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36"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37"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2"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1"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0"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45"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4"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48"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47"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46"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0"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49"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55"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4"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3"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2"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1"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58"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59"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7"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69"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71"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72"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83"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84" w:author="Luttik, Daan" w:date="2026-06-06T20:05:00Z" w:initials="DL">
    <w:p w14:paraId="6A879807" w14:textId="77777777" w:rsidR="006F4101" w:rsidRDefault="006F4101" w:rsidP="006F4101">
      <w:pPr>
        <w:pStyle w:val="CommentText"/>
        <w:ind w:firstLine="0"/>
      </w:pPr>
      <w:r>
        <w:rPr>
          <w:rStyle w:val="CommentReference"/>
        </w:rPr>
        <w:annotationRef/>
      </w:r>
      <w:r>
        <w:t>Unclear if I should move this to the discussion...</w:t>
      </w:r>
    </w:p>
  </w:comment>
  <w:comment w:id="185" w:author="Luttik, Daan" w:date="2026-06-06T20:04:00Z" w:initials="DL">
    <w:p w14:paraId="0A57C83E" w14:textId="77777777" w:rsidR="006F4101" w:rsidRDefault="006F4101" w:rsidP="006F4101">
      <w:pPr>
        <w:pStyle w:val="CommentText"/>
        <w:ind w:firstLine="0"/>
      </w:pPr>
      <w:r>
        <w:rPr>
          <w:rStyle w:val="CommentReference"/>
        </w:rPr>
        <w:annotationRef/>
      </w:r>
      <w:r>
        <w:t>Probably should move this to the discussion...</w:t>
      </w:r>
    </w:p>
  </w:comment>
  <w:comment w:id="190"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92"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3"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96"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202"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3"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6"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9"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0"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0"/>
  <w15:commentEx w15:paraId="0DA1D061" w15:done="0"/>
  <w15:commentEx w15:paraId="13C3C6DF" w15:done="1"/>
  <w15:commentEx w15:paraId="58B1243D" w15:done="1"/>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6A879807" w15:done="0"/>
  <w15:commentEx w15:paraId="0A57C83E" w15:done="0"/>
  <w15:commentEx w15:paraId="2F6D59CB" w15:done="0"/>
  <w15:commentEx w15:paraId="2EFAA959" w15:done="0"/>
  <w15:commentEx w15:paraId="1A01B2D5"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0935EDF7" w16cex:dateUtc="2026-06-06T18:05:00Z"/>
  <w16cex:commentExtensible w16cex:durableId="5F42ABFC" w16cex:dateUtc="2026-06-06T18:04: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6A879807" w16cid:durableId="0935EDF7"/>
  <w16cid:commentId w16cid:paraId="0A57C83E" w16cid:durableId="5F42ABFC"/>
  <w16cid:commentId w16cid:paraId="2F6D59CB" w16cid:durableId="3DCB5162"/>
  <w16cid:commentId w16cid:paraId="2EFAA959" w16cid:durableId="73DA34DA"/>
  <w16cid:commentId w16cid:paraId="1A01B2D5" w16cid:durableId="37A8CDDB"/>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CB45" w14:textId="77777777" w:rsidR="007D533F" w:rsidRDefault="007D533F">
      <w:pPr>
        <w:spacing w:line="240" w:lineRule="auto"/>
      </w:pPr>
      <w:r>
        <w:separator/>
      </w:r>
    </w:p>
  </w:endnote>
  <w:endnote w:type="continuationSeparator" w:id="0">
    <w:p w14:paraId="720D916A" w14:textId="77777777" w:rsidR="007D533F" w:rsidRDefault="007D5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455D03F-20B2-433E-9F27-60D4937FDF26}"/>
    <w:embedBold r:id="rId2" w:fontKey="{F5E152AB-E64F-411B-BEC0-7031B41AB2C6}"/>
    <w:embedItalic r:id="rId3" w:fontKey="{21640050-C5EE-4357-967A-B1FBEA5DD7BB}"/>
    <w:embedBoldItalic r:id="rId4" w:fontKey="{A5B9C0E6-3902-474C-AFC8-19B29E039A4E}"/>
  </w:font>
  <w:font w:name="EB Garamond SemiBold">
    <w:charset w:val="00"/>
    <w:family w:val="auto"/>
    <w:pitch w:val="variable"/>
    <w:sig w:usb0="E00002FF" w:usb1="02000413" w:usb2="00000000" w:usb3="00000000" w:csb0="0000019F" w:csb1="00000000"/>
    <w:embedRegular r:id="rId5" w:fontKey="{AE56F566-9D04-49A0-80C9-4EBF6EC62E8C}"/>
  </w:font>
  <w:font w:name="EB Garamond Medium">
    <w:charset w:val="00"/>
    <w:family w:val="auto"/>
    <w:pitch w:val="variable"/>
    <w:sig w:usb0="E00002FF" w:usb1="02000413" w:usb2="00000000" w:usb3="00000000" w:csb0="0000019F" w:csb1="00000000"/>
    <w:embedRegular r:id="rId6" w:fontKey="{EA711911-3483-44A6-9E78-11583A03D446}"/>
  </w:font>
  <w:font w:name="Segoe UI">
    <w:panose1 w:val="020B0502040204020203"/>
    <w:charset w:val="00"/>
    <w:family w:val="swiss"/>
    <w:pitch w:val="variable"/>
    <w:sig w:usb0="E4002EFF" w:usb1="C000E47F" w:usb2="00000009" w:usb3="00000000" w:csb0="000001FF" w:csb1="00000000"/>
    <w:embedRegular r:id="rId7" w:fontKey="{4344F071-13D7-4061-A115-07A5527731EF}"/>
    <w:embedBold r:id="rId8" w:fontKey="{436AE737-EF1F-44EA-95AE-ECD3C99DA1AA}"/>
  </w:font>
  <w:font w:name="Cardo">
    <w:charset w:val="00"/>
    <w:family w:val="auto"/>
    <w:pitch w:val="default"/>
    <w:embedRegular r:id="rId9" w:fontKey="{B15D2EC4-7AC3-4719-B496-731FB08BEEFA}"/>
  </w:font>
  <w:font w:name="Calibri">
    <w:panose1 w:val="020F0502020204030204"/>
    <w:charset w:val="00"/>
    <w:family w:val="swiss"/>
    <w:pitch w:val="variable"/>
    <w:sig w:usb0="E4002EFF" w:usb1="C200247B" w:usb2="00000009" w:usb3="00000000" w:csb0="000001FF" w:csb1="00000000"/>
    <w:embedRegular r:id="rId10" w:fontKey="{6C79CF41-6651-49A2-80B5-8AA766CAD5D2}"/>
  </w:font>
  <w:font w:name="Cambria">
    <w:panose1 w:val="02040503050406030204"/>
    <w:charset w:val="00"/>
    <w:family w:val="roman"/>
    <w:pitch w:val="variable"/>
    <w:sig w:usb0="E00006FF" w:usb1="420024FF" w:usb2="02000000" w:usb3="00000000" w:csb0="0000019F" w:csb1="00000000"/>
    <w:embedRegular r:id="rId11" w:fontKey="{CB523270-7F50-4E5C-BFAD-DA6916545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25D2E" w14:textId="77777777" w:rsidR="007D533F" w:rsidRDefault="007D533F">
      <w:pPr>
        <w:spacing w:line="240" w:lineRule="auto"/>
      </w:pPr>
      <w:r>
        <w:separator/>
      </w:r>
    </w:p>
  </w:footnote>
  <w:footnote w:type="continuationSeparator" w:id="0">
    <w:p w14:paraId="1B05D263" w14:textId="77777777" w:rsidR="007D533F" w:rsidRDefault="007D533F">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462C"/>
    <w:rsid w:val="000900D1"/>
    <w:rsid w:val="000D33B2"/>
    <w:rsid w:val="000E6B85"/>
    <w:rsid w:val="00117F5C"/>
    <w:rsid w:val="0012657A"/>
    <w:rsid w:val="00160104"/>
    <w:rsid w:val="00164FB9"/>
    <w:rsid w:val="0019308A"/>
    <w:rsid w:val="00197894"/>
    <w:rsid w:val="001C0088"/>
    <w:rsid w:val="001C0E34"/>
    <w:rsid w:val="001C595F"/>
    <w:rsid w:val="001C79B1"/>
    <w:rsid w:val="001E31FC"/>
    <w:rsid w:val="001E7E38"/>
    <w:rsid w:val="001F1BBD"/>
    <w:rsid w:val="002002AD"/>
    <w:rsid w:val="002128D4"/>
    <w:rsid w:val="00212B99"/>
    <w:rsid w:val="00216F33"/>
    <w:rsid w:val="0022390F"/>
    <w:rsid w:val="00236A17"/>
    <w:rsid w:val="00246FE8"/>
    <w:rsid w:val="002660AA"/>
    <w:rsid w:val="00282FBD"/>
    <w:rsid w:val="00287922"/>
    <w:rsid w:val="002940E3"/>
    <w:rsid w:val="002A58E8"/>
    <w:rsid w:val="002B5E5E"/>
    <w:rsid w:val="002C13D1"/>
    <w:rsid w:val="002D4619"/>
    <w:rsid w:val="002E66F3"/>
    <w:rsid w:val="003119AA"/>
    <w:rsid w:val="003210BF"/>
    <w:rsid w:val="00326636"/>
    <w:rsid w:val="00326A4A"/>
    <w:rsid w:val="00330A78"/>
    <w:rsid w:val="00332258"/>
    <w:rsid w:val="003370C8"/>
    <w:rsid w:val="00341565"/>
    <w:rsid w:val="00342530"/>
    <w:rsid w:val="00343798"/>
    <w:rsid w:val="00343FC7"/>
    <w:rsid w:val="00344144"/>
    <w:rsid w:val="003600C1"/>
    <w:rsid w:val="00363878"/>
    <w:rsid w:val="00376567"/>
    <w:rsid w:val="00380EBF"/>
    <w:rsid w:val="00396066"/>
    <w:rsid w:val="00396F15"/>
    <w:rsid w:val="003B08C8"/>
    <w:rsid w:val="003B7C04"/>
    <w:rsid w:val="003C58DC"/>
    <w:rsid w:val="003D3C88"/>
    <w:rsid w:val="003E5F14"/>
    <w:rsid w:val="00401741"/>
    <w:rsid w:val="00405433"/>
    <w:rsid w:val="00405B97"/>
    <w:rsid w:val="00406285"/>
    <w:rsid w:val="00432CAE"/>
    <w:rsid w:val="0043656F"/>
    <w:rsid w:val="00441064"/>
    <w:rsid w:val="00444E94"/>
    <w:rsid w:val="00445258"/>
    <w:rsid w:val="004515FE"/>
    <w:rsid w:val="00462B1A"/>
    <w:rsid w:val="004638BF"/>
    <w:rsid w:val="00464760"/>
    <w:rsid w:val="004756DD"/>
    <w:rsid w:val="00485E33"/>
    <w:rsid w:val="00494D0B"/>
    <w:rsid w:val="004951D2"/>
    <w:rsid w:val="004D4576"/>
    <w:rsid w:val="004F1AA8"/>
    <w:rsid w:val="00500E64"/>
    <w:rsid w:val="00501595"/>
    <w:rsid w:val="00501D6C"/>
    <w:rsid w:val="00516EED"/>
    <w:rsid w:val="005365C8"/>
    <w:rsid w:val="00542D46"/>
    <w:rsid w:val="00545C1C"/>
    <w:rsid w:val="00545E45"/>
    <w:rsid w:val="00551A0C"/>
    <w:rsid w:val="00557F47"/>
    <w:rsid w:val="00560D44"/>
    <w:rsid w:val="00582337"/>
    <w:rsid w:val="005846F5"/>
    <w:rsid w:val="00587D7C"/>
    <w:rsid w:val="00591258"/>
    <w:rsid w:val="00592BDE"/>
    <w:rsid w:val="0059315C"/>
    <w:rsid w:val="005A4BAD"/>
    <w:rsid w:val="005B6108"/>
    <w:rsid w:val="005C55FC"/>
    <w:rsid w:val="005F0FB6"/>
    <w:rsid w:val="00606BD5"/>
    <w:rsid w:val="00611F20"/>
    <w:rsid w:val="00637EA7"/>
    <w:rsid w:val="00652B3F"/>
    <w:rsid w:val="0066236E"/>
    <w:rsid w:val="00664D2B"/>
    <w:rsid w:val="00685F05"/>
    <w:rsid w:val="00696CD7"/>
    <w:rsid w:val="006A47C9"/>
    <w:rsid w:val="006C140F"/>
    <w:rsid w:val="006C6062"/>
    <w:rsid w:val="006E2577"/>
    <w:rsid w:val="006F4101"/>
    <w:rsid w:val="0071032E"/>
    <w:rsid w:val="0072754C"/>
    <w:rsid w:val="007336B7"/>
    <w:rsid w:val="0074556E"/>
    <w:rsid w:val="00754F9D"/>
    <w:rsid w:val="00757497"/>
    <w:rsid w:val="007738BF"/>
    <w:rsid w:val="007A4571"/>
    <w:rsid w:val="007C5AFE"/>
    <w:rsid w:val="007D533F"/>
    <w:rsid w:val="007D5970"/>
    <w:rsid w:val="007E1665"/>
    <w:rsid w:val="00800E71"/>
    <w:rsid w:val="00824F76"/>
    <w:rsid w:val="008341B7"/>
    <w:rsid w:val="00842EEA"/>
    <w:rsid w:val="00850F75"/>
    <w:rsid w:val="008632C5"/>
    <w:rsid w:val="00864F3E"/>
    <w:rsid w:val="00872655"/>
    <w:rsid w:val="0087346B"/>
    <w:rsid w:val="008903B6"/>
    <w:rsid w:val="008927A5"/>
    <w:rsid w:val="0089648C"/>
    <w:rsid w:val="00896C29"/>
    <w:rsid w:val="008A7B31"/>
    <w:rsid w:val="008B5BF3"/>
    <w:rsid w:val="008B7CBE"/>
    <w:rsid w:val="008E1D68"/>
    <w:rsid w:val="008F107B"/>
    <w:rsid w:val="008F538E"/>
    <w:rsid w:val="00924A3C"/>
    <w:rsid w:val="009250B0"/>
    <w:rsid w:val="009267BF"/>
    <w:rsid w:val="00927175"/>
    <w:rsid w:val="00935832"/>
    <w:rsid w:val="00940849"/>
    <w:rsid w:val="00943084"/>
    <w:rsid w:val="009505B0"/>
    <w:rsid w:val="00960F07"/>
    <w:rsid w:val="0097292D"/>
    <w:rsid w:val="00974539"/>
    <w:rsid w:val="00981EAD"/>
    <w:rsid w:val="00983B42"/>
    <w:rsid w:val="00985546"/>
    <w:rsid w:val="00991EA0"/>
    <w:rsid w:val="00993889"/>
    <w:rsid w:val="009A0CDC"/>
    <w:rsid w:val="009E1EE4"/>
    <w:rsid w:val="009E5E88"/>
    <w:rsid w:val="00A0641D"/>
    <w:rsid w:val="00A1391D"/>
    <w:rsid w:val="00A21701"/>
    <w:rsid w:val="00A465FF"/>
    <w:rsid w:val="00A51264"/>
    <w:rsid w:val="00A5154E"/>
    <w:rsid w:val="00A67943"/>
    <w:rsid w:val="00A7239D"/>
    <w:rsid w:val="00A83E78"/>
    <w:rsid w:val="00AA5558"/>
    <w:rsid w:val="00AB584C"/>
    <w:rsid w:val="00AB5895"/>
    <w:rsid w:val="00AC12A9"/>
    <w:rsid w:val="00AC2F05"/>
    <w:rsid w:val="00AD6FDD"/>
    <w:rsid w:val="00AE65D3"/>
    <w:rsid w:val="00AF3177"/>
    <w:rsid w:val="00B149D8"/>
    <w:rsid w:val="00B47AAF"/>
    <w:rsid w:val="00B50D1F"/>
    <w:rsid w:val="00B64A37"/>
    <w:rsid w:val="00B64A72"/>
    <w:rsid w:val="00B87008"/>
    <w:rsid w:val="00B92841"/>
    <w:rsid w:val="00B928A9"/>
    <w:rsid w:val="00BB6A09"/>
    <w:rsid w:val="00BD693C"/>
    <w:rsid w:val="00BF68AF"/>
    <w:rsid w:val="00C016E4"/>
    <w:rsid w:val="00C16581"/>
    <w:rsid w:val="00C2043D"/>
    <w:rsid w:val="00C31A3B"/>
    <w:rsid w:val="00C33013"/>
    <w:rsid w:val="00C37340"/>
    <w:rsid w:val="00C4676C"/>
    <w:rsid w:val="00C46AF7"/>
    <w:rsid w:val="00CA611F"/>
    <w:rsid w:val="00CB1B7C"/>
    <w:rsid w:val="00CB4C7D"/>
    <w:rsid w:val="00CB6AD2"/>
    <w:rsid w:val="00CC2CA4"/>
    <w:rsid w:val="00CC65FE"/>
    <w:rsid w:val="00CD47EB"/>
    <w:rsid w:val="00CD79F9"/>
    <w:rsid w:val="00CE71D1"/>
    <w:rsid w:val="00D0074F"/>
    <w:rsid w:val="00D0792E"/>
    <w:rsid w:val="00D4793F"/>
    <w:rsid w:val="00D54526"/>
    <w:rsid w:val="00D81157"/>
    <w:rsid w:val="00DA220B"/>
    <w:rsid w:val="00DA407F"/>
    <w:rsid w:val="00DA6386"/>
    <w:rsid w:val="00DB368A"/>
    <w:rsid w:val="00DB3D5B"/>
    <w:rsid w:val="00DC24D4"/>
    <w:rsid w:val="00DD1D41"/>
    <w:rsid w:val="00DD3A03"/>
    <w:rsid w:val="00E10270"/>
    <w:rsid w:val="00E26B0B"/>
    <w:rsid w:val="00E370E5"/>
    <w:rsid w:val="00E442A2"/>
    <w:rsid w:val="00E44EA4"/>
    <w:rsid w:val="00E84660"/>
    <w:rsid w:val="00EB4E8E"/>
    <w:rsid w:val="00EB7CDD"/>
    <w:rsid w:val="00EE2059"/>
    <w:rsid w:val="00EE60F5"/>
    <w:rsid w:val="00EF0188"/>
    <w:rsid w:val="00F002CA"/>
    <w:rsid w:val="00F2649A"/>
    <w:rsid w:val="00F2696B"/>
    <w:rsid w:val="00F535D8"/>
    <w:rsid w:val="00F566FE"/>
    <w:rsid w:val="00F56FF9"/>
    <w:rsid w:val="00F672A4"/>
    <w:rsid w:val="00F74A04"/>
    <w:rsid w:val="00F75BE0"/>
    <w:rsid w:val="00F77903"/>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20487</Words>
  <Characters>112679</Characters>
  <Application>Microsoft Office Word</Application>
  <DocSecurity>0</DocSecurity>
  <Lines>938</Lines>
  <Paragraphs>265</Paragraphs>
  <ScaleCrop>false</ScaleCrop>
  <Company/>
  <LinksUpToDate>false</LinksUpToDate>
  <CharactersWithSpaces>132901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203</cp:revision>
  <dcterms:created xsi:type="dcterms:W3CDTF">2026-06-01T19:34:00Z</dcterms:created>
  <dcterms:modified xsi:type="dcterms:W3CDTF">2026-06-07T09:06:00Z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