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rsidR="009267BF">
        <w:tab/>
      </w:r>
      <w:r>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rsidR="009267BF">
        <w:tab/>
      </w:r>
      <w:r>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7F45C169" w14:textId="0026AEB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strategic direction and leadership</w:t>
      </w:r>
      <w:r w:rsidR="001E31FC">
        <w:t>, providing strategic direction, support, and guidance</w:t>
      </w:r>
      <w:r>
        <w:t>; and (4) governance and organizational friction, including legal</w:t>
      </w:r>
      <w:r w:rsidR="001E31FC">
        <w:t xml:space="preserve"> and </w:t>
      </w:r>
      <w:r>
        <w:t xml:space="preserve">compliance gatekeeping, politics, and </w:t>
      </w:r>
      <w:r w:rsidR="001E31FC">
        <w:t xml:space="preserve">working in </w:t>
      </w:r>
      <w:r>
        <w:t>silos.</w:t>
      </w:r>
    </w:p>
    <w:p w14:paraId="1AAA2D76" w14:textId="77777777" w:rsidR="003E5F14" w:rsidRDefault="008632C5" w:rsidP="00326636">
      <w:r w:rsidRPr="008632C5">
        <w:t>Managers respond to internal conditions in three distinct ways.</w:t>
      </w:r>
      <w:r w:rsidR="00405B97">
        <w:t xml:space="preserve"> </w:t>
      </w:r>
      <w:r w:rsidRPr="00405B97">
        <w:rPr>
          <w:i/>
          <w:iCs/>
        </w:rPr>
        <w:t>Leveraging</w:t>
      </w:r>
      <w:r w:rsidRPr="008632C5">
        <w:t xml:space="preserve"> is the use of a favorable condition to amplify the organization's ability to adopt and create value with agentic AI. </w:t>
      </w:r>
      <w:r w:rsidRPr="00405B97">
        <w:rPr>
          <w:i/>
          <w:iCs/>
        </w:rPr>
        <w:t>Navigating</w:t>
      </w:r>
      <w:r w:rsidRPr="008632C5">
        <w:t xml:space="preserve"> is adapting the way agentic AI is adopted to fit the existing constraints, typically (though not necessarily) accepting them as given. </w:t>
      </w:r>
      <w:r w:rsidRPr="00405B97">
        <w:rPr>
          <w:i/>
          <w:iCs/>
        </w:rPr>
        <w:t>Reshaping</w:t>
      </w:r>
      <w:r w:rsidRPr="008632C5">
        <w:t xml:space="preserve"> is actively working to change the condition itself. </w:t>
      </w:r>
    </w:p>
    <w:p w14:paraId="05C933DA" w14:textId="3DCEE7AF" w:rsidR="008632C5" w:rsidRDefault="003E5F14" w:rsidP="00326636">
      <w:pPr>
        <w:rPr>
          <w:i/>
          <w:iCs/>
        </w:rPr>
      </w:pPr>
      <w:r>
        <w:t xml:space="preserve">While never mentioned explicitly, the researchers observed </w:t>
      </w:r>
      <w:r w:rsidR="008632C5" w:rsidRPr="008632C5">
        <w:t>that managers</w:t>
      </w:r>
      <w:r>
        <w:t>, when faced with unfavorable conditions (especially when the unfavorable condition stems from outside of their team),</w:t>
      </w:r>
      <w:r w:rsidR="008632C5" w:rsidRPr="008632C5">
        <w:t xml:space="preserve"> </w:t>
      </w:r>
      <w:r>
        <w:t>seem to default</w:t>
      </w:r>
      <w:r w:rsidR="008632C5" w:rsidRPr="008632C5">
        <w:t xml:space="preserve"> to navigation</w:t>
      </w:r>
      <w:r>
        <w:t>. Managers seem to view these conditions as fixed rather than</w:t>
      </w:r>
      <w:r w:rsidR="008632C5" w:rsidRPr="008632C5">
        <w:t xml:space="preserve"> as variables open to active redesign.</w:t>
      </w:r>
    </w:p>
    <w:p w14:paraId="2651EA75" w14:textId="5A70451E" w:rsidR="003B7C04" w:rsidRDefault="003E5F14">
      <w:r>
        <w:t xml:space="preserve">We also note explicit </w:t>
      </w:r>
      <w:r w:rsidRPr="003E5F14">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lastRenderedPageBreak/>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w:t>
      </w:r>
      <w:r w:rsidR="002940E3">
        <w:t xml:space="preserve">the employees’ openness to new ways of working, </w:t>
      </w:r>
      <w:r>
        <w:t>the level of AI understanding</w:t>
      </w:r>
      <w:r w:rsidR="002940E3">
        <w:t xml:space="preserve"> (typically referred to as AI literacy)</w:t>
      </w:r>
      <w:r>
        <w:t xml:space="preserve"> within the organization</w:t>
      </w:r>
      <w:r w:rsidR="002940E3">
        <w:t xml:space="preserve">, </w:t>
      </w:r>
      <w:r>
        <w:t xml:space="preserve">and the </w:t>
      </w:r>
      <w:commentRangeStart w:id="185"/>
      <w:r>
        <w:t>organizational ability to act quickly</w:t>
      </w:r>
      <w:r w:rsidR="002940E3">
        <w:t xml:space="preserve"> under </w:t>
      </w:r>
      <w:r>
        <w:t>uncertainty</w:t>
      </w:r>
      <w:commentRangeEnd w:id="185"/>
      <w:r w:rsidR="002940E3">
        <w:rPr>
          <w:rStyle w:val="CommentReference"/>
          <w:sz w:val="22"/>
          <w:szCs w:val="22"/>
        </w:rPr>
        <w:commentReference w:id="185"/>
      </w:r>
      <w:r>
        <w:t>.</w:t>
      </w:r>
    </w:p>
    <w:p w14:paraId="27AC1201" w14:textId="293919B3" w:rsidR="00401741" w:rsidRDefault="00000000">
      <w:r>
        <w:t xml:space="preserve">Resistance emerged as </w:t>
      </w:r>
      <w:r w:rsidR="002940E3">
        <w:t>a</w:t>
      </w:r>
      <w:r>
        <w:t xml:space="preserve">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w:t>
      </w:r>
      <w:r w:rsidR="00FF706E">
        <w:t>, and it works well, and they know it, and they’re comfortable.</w:t>
      </w:r>
      <w:r w:rsidR="002940E3">
        <w:t xml:space="preserve"> […] </w:t>
      </w:r>
      <w:r>
        <w:t>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rsidRPr="00AC12A9">
        <w:t>“T</w:t>
      </w:r>
      <w:r>
        <w:t>hey</w:t>
      </w:r>
      <w:r w:rsidRPr="00AC12A9">
        <w:t xml:space="preserve"> were very skeptical. Uh, “Oh, I need to learn a new thing while running my business.” Well, if you learn these new things, you can do ten times, ten times besides the things that you do. Uh, so got a lot of pushback there.</w:t>
      </w:r>
    </w:p>
    <w:p w14:paraId="15A18834" w14:textId="4E70C019" w:rsidR="00401741" w:rsidRDefault="00000000">
      <w:r>
        <w:t xml:space="preserve">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w:t>
      </w:r>
      <w:r w:rsidR="00DB368A">
        <w:t>[</w:t>
      </w:r>
      <w:r>
        <w:t>…</w:t>
      </w:r>
      <w:r w:rsidR="00DB368A">
        <w:t>]</w:t>
      </w:r>
      <w:r>
        <w:t xml:space="preserve"> they don’t understand what processes they are doing right now that take time and money.” This </w:t>
      </w:r>
      <w:r>
        <w:lastRenderedPageBreak/>
        <w:t>inability to think in systems (seeing how data, tools, and processes interact)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7EB33DE" w14:textId="77777777" w:rsidR="0012657A" w:rsidRDefault="00000000">
      <w:r>
        <w:t>A fourth dimension of organizational capacity concerns culture: the pace of innovation and tolerance for failure within the organization. Where an innovation culture is present, managers leverage it directly to accelerate both education and experimentation. Interviewee 7 described this enabling condition: “A culture of innovation</w:t>
      </w:r>
      <w:r w:rsidR="0012657A">
        <w:t xml:space="preserve"> is</w:t>
      </w:r>
      <w:r>
        <w:t xml:space="preserve"> forgiving. When you pioneer, you break things fast.” </w:t>
      </w:r>
    </w:p>
    <w:p w14:paraId="65FCC2DA" w14:textId="08C4FB5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w:t>
      </w:r>
    </w:p>
    <w:p w14:paraId="1C0A896E" w14:textId="490CC235" w:rsidR="003B7C04" w:rsidRPr="00545E45" w:rsidRDefault="00000000">
      <w:pPr>
        <w:rPr>
          <w:bCs/>
        </w:rPr>
      </w:pPr>
      <w:r>
        <w:rPr>
          <w:b/>
        </w:rPr>
        <w:t xml:space="preserve">Educating and training </w:t>
      </w:r>
      <w:r w:rsidRPr="00545E45">
        <w:rPr>
          <w:bCs/>
        </w:rPr>
        <w:t>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While education primarily targets the understanding deficit, it also reduces resistance by demystifying AI: employees who understand what AI can and cannot do are less fearful of it. However, education alone is insufficient to sustain change. Interviewee 17 observed a common pattern in her training work: “After two or three trainings companies basically stop, because then they go back to what they started with.” Sustained capacity-building requires not just initial education but ongoing structural embedding of learning.</w:t>
      </w:r>
    </w:p>
    <w:p w14:paraId="5B4704B2" w14:textId="639D3A52" w:rsidR="003B7C04" w:rsidRDefault="00000000">
      <w:r>
        <w:rPr>
          <w:b/>
        </w:rPr>
        <w:lastRenderedPageBreak/>
        <w:t xml:space="preserve">Experimenting with AI </w:t>
      </w:r>
      <w:r w:rsidRPr="00545E45">
        <w:rPr>
          <w:bCs/>
        </w:rPr>
        <w:t>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13 described enabling this at the team level: “Provide freedom to experiment and don’t set this atmosphere of fear that AI is going to replace you.”</w:t>
      </w:r>
    </w:p>
    <w:p w14:paraId="6240EB5F" w14:textId="77777777" w:rsidR="00983B42" w:rsidRDefault="00DB368A" w:rsidP="00983B42">
      <w:r>
        <w:rPr>
          <w:b/>
          <w:bCs/>
        </w:rPr>
        <w:t xml:space="preserve">External experts </w:t>
      </w:r>
      <w:r w:rsidR="00000000">
        <w:t xml:space="preserve">A third pattern is less visible but analytically important: some managers navigate around organizational capacity constraints rather than reshaping them. When internal literacy is too low or resistance too entrenched to address in the short term, managers route AI initiatives through external experts, agencies, or low-code tooling that reduces the literacy bar. </w:t>
      </w:r>
      <w:r w:rsidR="00000000">
        <w:t>This bypasses the bottleneck without fixing it, a pragmatic short-term strategy that can stall long-term capability development if it becomes the default. Interviewee 6 described this pattern: “Another one is actually using experts externally, because if we would’ve waited for people internally, I think it would’ve been a major blocker.”</w:t>
      </w:r>
    </w:p>
    <w:p w14:paraId="0ACBD283" w14:textId="062346C4" w:rsidR="00F56FF9" w:rsidRDefault="00F56FF9" w:rsidP="00983B42">
      <w:pPr>
        <w:pStyle w:val="Heading3"/>
      </w:pPr>
      <w:r>
        <w:t>4.2.</w:t>
      </w:r>
      <w:r w:rsidR="00A0641D">
        <w:t>2</w:t>
      </w:r>
      <w:r w:rsidR="00EE2059">
        <w:tab/>
      </w:r>
      <w:r>
        <w:t>Strategic direction &amp; leadership</w:t>
      </w:r>
    </w:p>
    <w:p w14:paraId="4857A2E3" w14:textId="77777777" w:rsidR="00F56FF9" w:rsidRDefault="00F56FF9" w:rsidP="00F56FF9">
      <w:r>
        <w:t xml:space="preserve">The conditions that make strategic direction necessary are broadly consistent across the data. Organizations frequently approach agentic AI without a clear rationale: they want AI because others are using it, not because they have identified a problem it can solve. Interviewee 1 described this pattern: “There will be a lot of clients and companies that want AI, but they won’t know why, outside of the fact that someone tells them they should.” Interviewee 17 noted a related pattern: organizations think in tools rather than business objectives, seeking applications before establishing what they need to achieve. The consequence is that even when AI is deployed, it generates activity without direction. Interviewee 10 observed that when </w:t>
      </w:r>
      <w:r>
        <w:lastRenderedPageBreak/>
        <w:t>organizations give employees time for AI experimentation, they attach no goals, so potential and initiative are both lost.</w:t>
      </w:r>
    </w:p>
    <w:p w14:paraId="6510BA40" w14:textId="77777777" w:rsidR="00F56FF9" w:rsidRDefault="00F56FF9" w:rsidP="00F56FF9">
      <w:r>
        <w:t>A third cluster of conditions concerns strategic direction and leadership, covering the organizational structures and behaviors that orient AI adoption toward meaningful goals. Where section 4.2.1 described the people-level capacity to change, this section describes the organizational-level direction that makes change purposeful. The data surfaces four related dynamics: the role of providing clarity, the impact of individual AI champions, the importance of leadership backing, and the process of bringing people along.</w:t>
      </w:r>
    </w:p>
    <w:p w14:paraId="4DC616A5" w14:textId="77777777" w:rsidR="00F56FF9" w:rsidRDefault="00F56FF9" w:rsidP="00F56FF9">
      <w:r>
        <w:t>Providing clarity, that is, naming where the organization is going with AI, which use cases matter, and what success looks like, emerged as the most broadly distributed enabling behavior in this section. Unlike championing, which is driven by individuals, or leadership backing, which is top-down, providing clarity is a managerial act that can happen at any organizational level. Its cross-condition effect is significant: clarity directly reduces the resistance and paralysis described in section 4.2.1, because employees who understand the direction and purpose of AI adoption are less likely to resist or stall. Interviewee 6 captured the essential move: “This is the vision. This is where we’re going. Help me get there.” Interviewee 1 noted the downstream consequence of its absence: “If you don’t have clarity, jumping into execution will only surface a lot of problems.”</w:t>
      </w:r>
    </w:p>
    <w:p w14:paraId="435F9946" w14:textId="77777777" w:rsidR="00F56FF9" w:rsidRDefault="00F56FF9" w:rsidP="00F56FF9">
      <w:r>
        <w:t>Individual AI champions emerged as a disproportionately influential factor. An AI champion is a person who, often without formal mandate, drives AI initiatives forward through personal initiative, visible results, and internal advocacy. Interviewee 9 described a vivid example from her organization:</w:t>
      </w:r>
    </w:p>
    <w:p w14:paraId="4587EA65" w14:textId="77777777" w:rsidR="00F56FF9" w:rsidRDefault="00F56FF9" w:rsidP="00F56FF9">
      <w:pPr>
        <w:pStyle w:val="Quote"/>
        <w:ind w:left="720"/>
      </w:pPr>
      <w:r>
        <w:t>“[An AI platfrom] was created originally by … our [role] director that dabbles in development, and he created it, and it has blown up, and so now there’s millions of dollars of funding.”</w:t>
      </w:r>
    </w:p>
    <w:p w14:paraId="0A3807FA" w14:textId="77777777" w:rsidR="00F56FF9" w:rsidRDefault="00F56FF9" w:rsidP="00F56FF9">
      <w:r>
        <w:lastRenderedPageBreak/>
        <w:t>A single individual’s initiative, when it produces visible results, can unlock significant organizational investment. Interviewee 6 described her own approach: “I hear a lot of other companies where the board is afraid or legal is holding it back … Sorry, but you’d have to believe me on my blue eyes because I’m going to make this happen.”</w:t>
      </w:r>
    </w:p>
    <w:p w14:paraId="2296A8C9" w14:textId="77777777" w:rsidR="00F56FF9" w:rsidRDefault="00F56FF9" w:rsidP="00F56FF9">
      <w:r>
        <w:t>Leadership backing refers to the visible endorsement, resource authorization, and organizational protection that senior leaders provide for AI initiatives. It amplifies the champion effect. Without visible endorsement from leadership, AI initiatives tend to stall at the pilot stage. Interviewee 4 noted that the current moment requires leaders to help employees make sense of change: “People are drinking from a fire hose. They need to have that leadership that tells them their importance, they’re part of the team, and their work matters.” Interviewee 17 identified three conditions that must align for AI adoption to succeed: “Leadership wants us to work with AI. But can employees do that too? Do they do it and do they want to? Those are basically three things. And when those three things align with each other, you get a fantastic AI implementation.”</w:t>
      </w:r>
    </w:p>
    <w:p w14:paraId="08D5EBE2" w14:textId="77777777" w:rsidR="00F56FF9" w:rsidRDefault="00F56FF9" w:rsidP="00F56FF9">
      <w:r>
        <w:rPr>
          <w:i/>
        </w:rPr>
        <w:t>Bringing people along</w:t>
      </w:r>
      <w:r>
        <w:t xml:space="preserve"> refers to the managerial process of building alignment, managing resistance, and developing shared commitment to AI adoption within the organization.</w:t>
      </w:r>
    </w:p>
    <w:p w14:paraId="11C6EDCF" w14:textId="77777777" w:rsidR="00F56FF9" w:rsidRDefault="00F56FF9" w:rsidP="00F56FF9">
      <w:r>
        <w:t>The process of bringing people along, understood as change management at the team and organizational level, was one of the most consistently documented behaviors in this block. Interviewee 14 framed the scale of the challenge: “Thirty percent of all AI trajectories is just technology; sixty to seventy percent is actually us as humans or as an organization.” Interviewee 13 described a practical approach: using lighthouse projects as demonstration cases that make the value of AI tangible to skeptical colleagues. “Show them the first one that can be automated or made a lot quicker … then, well, then often they understand much better what the use cases would be.”</w:t>
      </w:r>
    </w:p>
    <w:p w14:paraId="47F13004" w14:textId="77777777" w:rsidR="00F56FF9" w:rsidRDefault="00F56FF9"/>
    <w:p w14:paraId="423C8265" w14:textId="56D0A2BA" w:rsidR="00401741" w:rsidRPr="00591258" w:rsidRDefault="00000000" w:rsidP="00591258">
      <w:pPr>
        <w:pStyle w:val="Heading3"/>
        <w:rPr>
          <w:color w:val="24292E"/>
        </w:rPr>
      </w:pPr>
      <w:bookmarkStart w:id="186" w:name="_xw6d9a4ef7wu" w:colFirst="0" w:colLast="0"/>
      <w:bookmarkEnd w:id="186"/>
      <w:r>
        <w:lastRenderedPageBreak/>
        <w:t>4.2.</w:t>
      </w:r>
      <w:r w:rsidR="00A0641D">
        <w:t>3</w:t>
      </w:r>
      <w:r>
        <w:tab/>
        <w:t>Technical resources</w:t>
      </w:r>
    </w:p>
    <w:p w14:paraId="26633136" w14:textId="4B397CE7" w:rsidR="00401741" w:rsidRDefault="00000000">
      <w:r>
        <w:t>A second cluster of internal conditions concerns the availability of enabling resources: the data, tools, technical infrastructure</w:t>
      </w:r>
      <w:r w:rsidR="00B928A9">
        <w:t xml:space="preserve">, and the technical talent </w:t>
      </w:r>
      <w:r>
        <w:t xml:space="preserve">that make AI implementation feasible. </w:t>
      </w:r>
      <w:r w:rsidR="00B928A9">
        <w:t>Especially having</w:t>
      </w:r>
      <w:r>
        <w:t xml:space="preserve"> data and tools available and accessible emerged as a critical enabler.</w:t>
      </w:r>
    </w:p>
    <w:p w14:paraId="4663BA43" w14:textId="4CC5EB61" w:rsidR="00401741" w:rsidRDefault="00000000">
      <w:r w:rsidRPr="007336B7">
        <w:rPr>
          <w:i/>
          <w:iCs/>
        </w:rPr>
        <w:t>Data infrastructure</w:t>
      </w:r>
      <w:r>
        <w:t xml:space="preserv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operational demands. Without a robust and accessible data layer, AI systems cannot be reliably built or deployed.</w:t>
      </w:r>
    </w:p>
    <w:p w14:paraId="7AED676A" w14:textId="46006375" w:rsidR="00401741" w:rsidRDefault="007336B7">
      <w:r w:rsidRPr="008927A5">
        <w:t>A lack of</w:t>
      </w:r>
      <w:r>
        <w:rPr>
          <w:i/>
          <w:iCs/>
        </w:rPr>
        <w:t xml:space="preserve"> s</w:t>
      </w:r>
      <w:r w:rsidRPr="007336B7">
        <w:rPr>
          <w:i/>
          <w:iCs/>
        </w:rPr>
        <w:t>ystems thinking</w:t>
      </w:r>
      <w:r>
        <w:rPr>
          <w:b/>
          <w:bCs/>
        </w:rPr>
        <w:t xml:space="preserve"> </w:t>
      </w:r>
      <w:r>
        <w:t xml:space="preserve">surfaced as </w:t>
      </w:r>
      <w:r w:rsidR="008927A5">
        <w:t>a</w:t>
      </w:r>
      <w:r>
        <w:t xml:space="preserve"> </w:t>
      </w:r>
      <w:r w:rsidR="008927A5">
        <w:t>frequent</w:t>
      </w:r>
      <w:r w:rsidR="00000000">
        <w:t xml:space="preserve"> </w:t>
      </w:r>
      <w:r>
        <w:t xml:space="preserve">constraint. </w:t>
      </w:r>
      <w:r w:rsidR="008927A5">
        <w:t xml:space="preserve">This includes the ability to observe how the process works and how data and the system's components interact.  </w:t>
      </w:r>
      <w:r w:rsidR="00000000">
        <w:t xml:space="preserve"> Interviewee 13 described this as the root cause behind many apparent AI failures:</w:t>
      </w:r>
    </w:p>
    <w:p w14:paraId="00A54DDD" w14:textId="77777777" w:rsidR="00401741" w:rsidRDefault="00000000">
      <w:pPr>
        <w:pStyle w:val="Quote"/>
        <w:ind w:left="720"/>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77777777" w:rsidR="008927A5" w:rsidRDefault="00000000">
      <w:r>
        <w:t xml:space="preserve">The problem is not data access per se, but the analytical capacity to know what data is needed, in what form, and for what purpose. </w:t>
      </w:r>
      <w:r w:rsidR="008927A5">
        <w:t>Interviewee 1 noted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lastRenderedPageBreak/>
        <w:t xml:space="preserve">Interviewee 1 </w:t>
      </w:r>
      <w:r w:rsidR="00343FC7">
        <w:t xml:space="preserve">added to this </w:t>
      </w:r>
      <w:r>
        <w:t>that this type of deep process knowledge (a feel for system logic) is precisely what is hardest to augment with AI, because it requires a level of structured thinking that many teams have not yet developed.</w:t>
      </w:r>
      <w:r w:rsidR="00117F5C" w:rsidRPr="00117F5C">
        <w:t xml:space="preserve"> </w:t>
      </w:r>
    </w:p>
    <w:p w14:paraId="37B17FEF" w14:textId="77777777" w:rsidR="00C46AF7" w:rsidRDefault="00343FC7" w:rsidP="00C37340">
      <w:r>
        <w:rPr>
          <w:b/>
          <w:bCs/>
        </w:rPr>
        <w:t xml:space="preserve">Manager responses. </w:t>
      </w:r>
      <w:r w:rsidR="00000000">
        <w:t xml:space="preserve">Managers respond to resource conditions in three patterns: leveraging available infrastructure to build and deploy fast; navigating gaps through external partnerships and workarounds; and reshaping the foundation through deliberate data-infrastructure investment. </w:t>
      </w:r>
    </w:p>
    <w:p w14:paraId="6C40EB15" w14:textId="1425266B" w:rsidR="003B7C04" w:rsidRDefault="00000000">
      <w:r>
        <w:t>Interviewee 16 illustrated the reshaping pattern</w:t>
      </w:r>
      <w:r w:rsidR="000641A9">
        <w:t>.</w:t>
      </w:r>
      <w:r>
        <w:t xml:space="preserve"> </w:t>
      </w:r>
      <w:r w:rsidR="000641A9">
        <w:t>He described</w:t>
      </w:r>
      <w:r>
        <w:t xml:space="preserve"> a two-year </w:t>
      </w:r>
      <w:r w:rsidR="000641A9">
        <w:t>program</w:t>
      </w:r>
      <w:r>
        <w:t xml:space="preserve"> he </w:t>
      </w:r>
      <w:r w:rsidR="000641A9">
        <w:t>focused on providing clarity regarding the data and processes in use</w:t>
      </w:r>
      <w:r>
        <w:t>: “I started with a track on data governance, basically describing our business definitions and the technical lineage of our digital data landscape.” The same resource base can function as either an accelerator or a bottleneck depending on whether the organizational capacity described in section 4.2.1 is in place to use it.</w:t>
      </w:r>
    </w:p>
    <w:p w14:paraId="59FB54AB" w14:textId="77777777" w:rsidR="00FC6A82" w:rsidRDefault="00000000">
      <w:r>
        <w:t xml:space="preserve">Where these foundational resources are available, they become powerful enablers. Interviewee 4 described his own setup: “I connected an MCP to their Google Analytics and Google Search Console. So I have direct access to that data source in my cloud, and I can run cron jobs and have an agent run reports.” </w:t>
      </w:r>
    </w:p>
    <w:p w14:paraId="4757A26D" w14:textId="56CB8D5F" w:rsidR="00401741" w:rsidRDefault="00000000">
      <w:r>
        <w:t>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6C601742" w14:textId="77777777" w:rsidR="003B7C04" w:rsidRDefault="00000000">
      <w:pPr>
        <w:pStyle w:val="Heading3"/>
      </w:pPr>
      <w:bookmarkStart w:id="187" w:name="_qy9fnmmddxdy" w:colFirst="0" w:colLast="0"/>
      <w:bookmarkEnd w:id="187"/>
      <w:r>
        <w:t>4.2.4</w:t>
      </w:r>
      <w:r>
        <w:tab/>
        <w:t>Governance &amp; organizational friction</w:t>
      </w:r>
    </w:p>
    <w:p w14:paraId="3D693297" w14:textId="77777777" w:rsidR="003B7C04" w:rsidRDefault="00000000">
      <w:r>
        <w:t xml:space="preserve">A fourth cluster of conditions concerns governance and organizational friction, covering the IT/legal/compliance gatekeeping, procurement processes, politics, and silos that impede AI adoption. Unlike the conditions in sections 4.2.1 to 4.2.3, which managers actively reshape, governance friction is predominantly navigated: unfavorable governance structures are treated </w:t>
      </w:r>
      <w:r>
        <w:lastRenderedPageBreak/>
        <w:t>as fixed features of the environment to be worked around rather than changed. This tendency is itself a finding: reshaping governance (actually changing the structures rather than routing around them) is rare in the data. Governance friction appears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pStyle w:val="Quote"/>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07C6AF30" w14:textId="77777777" w:rsidR="003B7C04" w:rsidRDefault="00000000">
      <w:r>
        <w:t>Taken together, the four conditions described in sections 4.2.1 to 4.2.4 represent the organizational substrate on which AI value creation depends. They are not independent: poor direction amplifies capacity problems; resource gaps deepen paralysis; governance friction compounds both. The behaviors documented across these sections: educating, experimenting, providing clarity, bringing people along, leveraging resources, navigating friction. These behaviors address multiple conditions simultaneously and in rough sequence. Organizations that neglect any one dimension tend to find that the others stall. This pattern surfaces most acutely in section 4.5.3: organizations that invest only in experimentation without clarity or education tend to generate pilots that do not scale.</w:t>
      </w:r>
    </w:p>
    <w:p w14:paraId="177D50D1" w14:textId="77777777" w:rsidR="00401741" w:rsidRDefault="00000000">
      <w:pPr>
        <w:pStyle w:val="Heading2"/>
        <w:rPr>
          <w:color w:val="00312A"/>
        </w:rPr>
      </w:pPr>
      <w:bookmarkStart w:id="188" w:name="_hojo1f9yxiy" w:colFirst="0" w:colLast="0"/>
      <w:bookmarkEnd w:id="188"/>
      <w:r>
        <w:rPr>
          <w:color w:val="00312A"/>
        </w:rPr>
        <w:lastRenderedPageBreak/>
        <w:t>4.3</w:t>
      </w:r>
      <w:r>
        <w:rPr>
          <w:color w:val="00312A"/>
        </w:rPr>
        <w:tab/>
        <w:t>Applying AI</w:t>
      </w:r>
    </w:p>
    <w:p w14:paraId="3D922031" w14:textId="77777777" w:rsidR="00401741" w:rsidRDefault="00000000">
      <w:pPr>
        <w:pStyle w:val="Heading3"/>
        <w:rPr>
          <w:color w:val="00312A"/>
        </w:rPr>
      </w:pPr>
      <w:bookmarkStart w:id="189" w:name="_iuvuby6hzug8" w:colFirst="0" w:colLast="0"/>
      <w:bookmarkEnd w:id="189"/>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t>Generic and personal-productivity use cases</w:t>
      </w:r>
    </w:p>
    <w:p w14:paraId="7D923BCF" w14:textId="77777777" w:rsidR="00401741" w:rsidRDefault="00000000">
      <w:pPr>
        <w:rPr>
          <w:color w:val="00312A"/>
        </w:rPr>
      </w:pPr>
      <w:r>
        <w:rPr>
          <w:color w:val="00312A"/>
        </w:rP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t xml:space="preserve">Content creation and campaign management are the most visible use cases to outside observers but, by participants’ own accounts, among the least transformative. The dominant pattern is augmenting existing copywriting, briefing, and creative workflows rather than </w:t>
      </w:r>
      <w:r>
        <w:rPr>
          <w:color w:val="00312A"/>
        </w:rPr>
        <w:lastRenderedPageBreak/>
        <w:t>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t>Customer-facing agents</w:t>
      </w:r>
    </w:p>
    <w:p w14:paraId="18651C01" w14:textId="77777777" w:rsidR="00401741" w:rsidRDefault="00000000">
      <w:pPr>
        <w:rPr>
          <w:color w:val="00312A"/>
        </w:rPr>
      </w:pPr>
      <w:r>
        <w:rPr>
          <w:color w:val="00312A"/>
        </w:rP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lastRenderedPageBreak/>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lastRenderedPageBreak/>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0" w:name="_niqmcast9jsc" w:colFirst="0" w:colLast="0"/>
      <w:bookmarkEnd w:id="190"/>
      <w:r>
        <w:rPr>
          <w:color w:val="00312A"/>
        </w:rPr>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t>
      </w:r>
      <w:r>
        <w:rPr>
          <w:color w:val="00312A"/>
        </w:rPr>
        <w:lastRenderedPageBreak/>
        <w:t>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1" w:name="_d3o8hfs61axc" w:colFirst="0" w:colLast="0"/>
      <w:bookmarkEnd w:id="191"/>
      <w:r>
        <w:rPr>
          <w:color w:val="00312A"/>
        </w:rPr>
        <w:lastRenderedPageBreak/>
        <w:t>4.4</w:t>
      </w:r>
      <w:r>
        <w:rPr>
          <w:color w:val="00312A"/>
        </w:rPr>
        <w:tab/>
        <w:t xml:space="preserve">Value </w:t>
      </w:r>
      <w:commentRangeStart w:id="192"/>
      <w:r>
        <w:rPr>
          <w:color w:val="00312A"/>
        </w:rPr>
        <w:t>Outcomes</w:t>
      </w:r>
      <w:commentRangeEnd w:id="192"/>
      <w:r>
        <w:rPr>
          <w:rStyle w:val="CommentReference"/>
          <w:color w:val="00312A"/>
          <w:sz w:val="22"/>
          <w:szCs w:val="22"/>
        </w:rPr>
        <w:commentReference w:id="192"/>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193" w:name="_psp9v76zeahl" w:colFirst="0" w:colLast="0"/>
      <w:bookmarkEnd w:id="193"/>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lastRenderedPageBreak/>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lastRenderedPageBreak/>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194" w:name="_vkh433kqk3oi" w:colFirst="0" w:colLast="0"/>
      <w:bookmarkEnd w:id="194"/>
      <w:r>
        <w:rPr>
          <w:color w:val="00312A"/>
        </w:rPr>
        <w:t>4.4.2</w:t>
      </w:r>
      <w:r>
        <w:rPr>
          <w:color w:val="00312A"/>
        </w:rPr>
        <w:tab/>
        <w:t>Sacrifices</w:t>
      </w:r>
    </w:p>
    <w:p w14:paraId="6E9D21B7" w14:textId="77777777" w:rsidR="00401741"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lastRenderedPageBreak/>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195" w:name="_i62wq5quevoe" w:colFirst="0" w:colLast="0"/>
      <w:bookmarkEnd w:id="195"/>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w:t>
      </w:r>
      <w:r>
        <w:rPr>
          <w:color w:val="00312A"/>
        </w:rPr>
        <w:lastRenderedPageBreak/>
        <w:t>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t>— Interviewee 13</w:t>
      </w:r>
    </w:p>
    <w:p w14:paraId="6AAA08AD" w14:textId="77777777" w:rsidR="00401741" w:rsidRDefault="00000000">
      <w:pPr>
        <w:rPr>
          <w:color w:val="00312A"/>
        </w:rPr>
      </w:pPr>
      <w:r>
        <w:rPr>
          <w:color w:val="00312A"/>
        </w:rP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 xml:space="preserve">Running through the data, a recurring structural pattern emerges: the same capability that creates a risk also provides the means to address it. Agentic AI threatens brand coherence, and agentic AI is deployed to enforce brand guidelines. Hallucinations undermine output </w:t>
      </w:r>
      <w:r>
        <w:rPr>
          <w:color w:val="00312A"/>
        </w:rPr>
        <w:lastRenderedPageBreak/>
        <w:t>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t>4.5.1</w:t>
      </w:r>
      <w:r>
        <w:rPr>
          <w:color w:val="00312A"/>
        </w:rPr>
        <w:tab/>
        <w:t>Branding Paradox</w:t>
      </w:r>
    </w:p>
    <w:p w14:paraId="381628DA" w14:textId="77777777" w:rsidR="00401741"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w:t>
      </w:r>
      <w:r>
        <w:rPr>
          <w:color w:val="00312A"/>
        </w:rPr>
        <w:lastRenderedPageBreak/>
        <w:t>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 xml:space="preserve">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w:t>
      </w:r>
      <w:r>
        <w:rPr>
          <w:color w:val="00312A"/>
        </w:rPr>
        <w:lastRenderedPageBreak/>
        <w:t>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 xml:space="preserve">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t>
      </w:r>
      <w:r>
        <w:rPr>
          <w:color w:val="00312A"/>
        </w:rPr>
        <w:lastRenderedPageBreak/>
        <w:t>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lastRenderedPageBreak/>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lastRenderedPageBreak/>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196" w:name="_bi3ndv3n11ww" w:colFirst="0" w:colLast="0"/>
      <w:bookmarkEnd w:id="196"/>
      <w:commentRangeStart w:id="197"/>
      <w:r>
        <w:rPr>
          <w:color w:val="00312A"/>
        </w:rPr>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197"/>
      <w:r>
        <w:rPr>
          <w:rStyle w:val="CommentReference"/>
          <w:color w:val="00312A"/>
          <w:sz w:val="22"/>
          <w:szCs w:val="22"/>
        </w:rPr>
        <w:commentReference w:id="197"/>
      </w:r>
    </w:p>
    <w:p w14:paraId="0C27728B" w14:textId="77777777" w:rsidR="00401741" w:rsidRDefault="00000000">
      <w:pPr>
        <w:rPr>
          <w:b/>
          <w:bCs/>
          <w:color w:val="00312A"/>
        </w:rPr>
      </w:pPr>
      <w:bookmarkStart w:id="198" w:name="_q5epuhs454bw" w:colFirst="0" w:colLast="0"/>
      <w:bookmarkEnd w:id="198"/>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199" w:name="_7rbdabewznnc" w:colFirst="0" w:colLast="0"/>
      <w:bookmarkEnd w:id="199"/>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0" w:name="_vqcghgtkedix" w:colFirst="0" w:colLast="0"/>
      <w:bookmarkEnd w:id="200"/>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1" w:name="_mnyukkjx9iq" w:colFirst="0" w:colLast="0"/>
      <w:bookmarkEnd w:id="201"/>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2" w:name="_dd6zel2y4t5x" w:colFirst="0" w:colLast="0"/>
      <w:bookmarkEnd w:id="202"/>
      <w:r>
        <w:t>6.</w:t>
      </w:r>
      <w:r>
        <w:tab/>
        <w:t>Conclusion</w:t>
      </w:r>
    </w:p>
    <w:p w14:paraId="57B87D0F" w14:textId="77777777" w:rsidR="00401741" w:rsidRDefault="00000000">
      <w:pPr>
        <w:pStyle w:val="Heading1"/>
      </w:pPr>
      <w:bookmarkStart w:id="203" w:name="_9375lqp6ztft" w:colFirst="0" w:colLast="0"/>
      <w:bookmarkEnd w:id="203"/>
      <w:r>
        <w:br w:type="page"/>
      </w:r>
    </w:p>
    <w:p w14:paraId="5BA28DFA" w14:textId="77777777" w:rsidR="00401741" w:rsidRDefault="00000000">
      <w:pPr>
        <w:pStyle w:val="Heading1"/>
        <w:rPr>
          <w:color w:val="222222"/>
          <w:highlight w:val="white"/>
        </w:rPr>
      </w:pPr>
      <w:bookmarkStart w:id="204" w:name="_kgmnd1ymad1c" w:colFirst="0" w:colLast="0"/>
      <w:bookmarkEnd w:id="204"/>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sidRPr="009267BF">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5"/>
      <w:r w:rsidRPr="009267BF">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5"/>
      <w:r>
        <w:rPr>
          <w:rStyle w:val="CommentReference"/>
          <w:strike/>
          <w:sz w:val="20"/>
          <w:szCs w:val="20"/>
          <w:highlight w:val="white"/>
        </w:rPr>
        <w:commentReference w:id="205"/>
      </w:r>
    </w:p>
    <w:p w14:paraId="3A3835CB" w14:textId="77777777" w:rsidR="00401741" w:rsidRDefault="00000000">
      <w:pPr>
        <w:ind w:left="720" w:hanging="720"/>
        <w:rPr>
          <w:strike/>
          <w:sz w:val="20"/>
          <w:szCs w:val="20"/>
          <w:highlight w:val="white"/>
        </w:rPr>
      </w:pPr>
      <w:commentRangeStart w:id="206"/>
      <w:r w:rsidRPr="009267BF">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6"/>
      <w:r>
        <w:rPr>
          <w:rStyle w:val="CommentReference"/>
          <w:strike/>
          <w:sz w:val="20"/>
          <w:szCs w:val="20"/>
          <w:highlight w:val="white"/>
        </w:rPr>
        <w:commentReference w:id="206"/>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sidRPr="009267BF">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sidRPr="009267BF">
        <w:rPr>
          <w:i/>
          <w:iCs/>
          <w:highlight w:val="white"/>
          <w:lang w:val="de-DE"/>
        </w:rPr>
        <w:t>Management Decision</w:t>
      </w:r>
      <w:r w:rsidRPr="009267BF">
        <w:rPr>
          <w:highlight w:val="white"/>
          <w:lang w:val="de-DE"/>
        </w:rPr>
        <w:t xml:space="preserve">, </w:t>
      </w:r>
      <w:r w:rsidRPr="009267BF">
        <w:rPr>
          <w:i/>
          <w:iCs/>
          <w:highlight w:val="white"/>
          <w:lang w:val="de-DE"/>
        </w:rPr>
        <w:t>61</w:t>
      </w:r>
      <w:r w:rsidRPr="009267BF">
        <w:rPr>
          <w:highlight w:val="white"/>
          <w:lang w:val="de-DE"/>
        </w:rPr>
        <w:t xml:space="preserve">(13), 295-320. </w:t>
      </w:r>
    </w:p>
    <w:p w14:paraId="563C3A62" w14:textId="77777777" w:rsidR="00401741" w:rsidRDefault="00000000">
      <w:pPr>
        <w:ind w:left="720" w:hanging="720"/>
        <w:rPr>
          <w:highlight w:val="white"/>
        </w:rPr>
      </w:pPr>
      <w:r w:rsidRPr="009267BF">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07"/>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07"/>
      <w:r>
        <w:rPr>
          <w:rStyle w:val="CommentReference"/>
          <w:strike/>
          <w:sz w:val="22"/>
          <w:szCs w:val="22"/>
        </w:rPr>
        <w:commentReference w:id="207"/>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sidRPr="009267BF">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8"/>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8"/>
      <w:r>
        <w:rPr>
          <w:rStyle w:val="CommentReference"/>
          <w:strike/>
          <w:sz w:val="22"/>
          <w:szCs w:val="22"/>
          <w:highlight w:val="white"/>
        </w:rPr>
        <w:commentReference w:id="208"/>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09"/>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09"/>
      <w:r>
        <w:rPr>
          <w:rStyle w:val="CommentReference"/>
          <w:strike/>
          <w:sz w:val="22"/>
          <w:szCs w:val="22"/>
          <w:highlight w:val="white"/>
        </w:rPr>
        <w:commentReference w:id="209"/>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0"/>
      <w:r w:rsidRPr="009267BF">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0"/>
      <w:r>
        <w:rPr>
          <w:rStyle w:val="CommentReference"/>
          <w:strike/>
          <w:sz w:val="22"/>
          <w:szCs w:val="22"/>
        </w:rPr>
        <w:commentReference w:id="210"/>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1" w:name="_icpp6ljm25yc" w:colFirst="0" w:colLast="0"/>
      <w:bookmarkEnd w:id="211"/>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2" w:name="_yaxctkjupl5f" w:colFirst="0" w:colLast="0"/>
      <w:bookmarkEnd w:id="212"/>
      <w:r>
        <w:t>A.1.</w:t>
      </w:r>
      <w:r>
        <w:tab/>
        <w:t>Interview Guide</w:t>
      </w:r>
    </w:p>
    <w:p w14:paraId="10752A95" w14:textId="77777777" w:rsidR="00401741" w:rsidRDefault="00000000">
      <w:pPr>
        <w:pStyle w:val="Heading3"/>
      </w:pPr>
      <w:bookmarkStart w:id="213" w:name="_fso8dir40043" w:colFirst="0" w:colLast="0"/>
      <w:bookmarkEnd w:id="213"/>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4" w:name="_xu7tl6fyia16" w:colFirst="0" w:colLast="0"/>
      <w:bookmarkEnd w:id="214"/>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15" w:name="_uslcrode5spj" w:colFirst="0" w:colLast="0"/>
      <w:bookmarkEnd w:id="215"/>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16" w:name="_4i48gt7nuy87" w:colFirst="0" w:colLast="0"/>
      <w:bookmarkEnd w:id="216"/>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17" w:name="_i4eri4z2mseg" w:colFirst="0" w:colLast="0"/>
      <w:bookmarkEnd w:id="217"/>
    </w:p>
    <w:p w14:paraId="7396CC0C" w14:textId="77777777" w:rsidR="00401741" w:rsidRDefault="00000000">
      <w:pPr>
        <w:pStyle w:val="Heading1"/>
      </w:pPr>
      <w:bookmarkStart w:id="218" w:name="_n4q94a2ei39t" w:colFirst="0" w:colLast="0"/>
      <w:bookmarkEnd w:id="218"/>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19" w:name="_z0nzv114icat" w:colFirst="0" w:colLast="0"/>
      <w:bookmarkEnd w:id="219"/>
      <w:r>
        <w:br w:type="page"/>
      </w:r>
    </w:p>
    <w:p w14:paraId="4AB19BF1" w14:textId="77777777" w:rsidR="00401741" w:rsidRDefault="00000000">
      <w:pPr>
        <w:pStyle w:val="Heading1"/>
      </w:pPr>
      <w:bookmarkStart w:id="220" w:name="_8iomnw571gh6" w:colFirst="0" w:colLast="0"/>
      <w:bookmarkEnd w:id="220"/>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1" w:name="_a7k3h3b6oqi2" w:colFirst="0" w:colLast="0"/>
      <w:bookmarkEnd w:id="221"/>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2"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7"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05"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6"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7"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8"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09"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0"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323EB003"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40936" w14:textId="77777777" w:rsidR="00B47AAF" w:rsidRDefault="00B47AAF">
      <w:pPr>
        <w:spacing w:line="240" w:lineRule="auto"/>
      </w:pPr>
      <w:r>
        <w:separator/>
      </w:r>
    </w:p>
  </w:endnote>
  <w:endnote w:type="continuationSeparator" w:id="0">
    <w:p w14:paraId="419EB8F4" w14:textId="77777777" w:rsidR="00B47AAF" w:rsidRDefault="00B47A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8D247E42-6BBE-4A57-816B-90FCFFF18380}"/>
    <w:embedBold r:id="rId2" w:fontKey="{3A85977C-AAA5-40BA-9785-E92ADB9F999B}"/>
    <w:embedItalic r:id="rId3" w:fontKey="{56A4820E-5B2F-4228-B42E-4246F77EE7A7}"/>
    <w:embedBoldItalic r:id="rId4" w:fontKey="{DA526BA7-0E7A-4A64-B655-808D01A01AB9}"/>
  </w:font>
  <w:font w:name="EB Garamond SemiBold">
    <w:charset w:val="00"/>
    <w:family w:val="auto"/>
    <w:pitch w:val="variable"/>
    <w:sig w:usb0="E00002FF" w:usb1="02000413" w:usb2="00000000" w:usb3="00000000" w:csb0="0000019F" w:csb1="00000000"/>
    <w:embedRegular r:id="rId5" w:fontKey="{3E03770D-EB20-444C-B21D-D9F55CCBCD50}"/>
  </w:font>
  <w:font w:name="EB Garamond Medium">
    <w:charset w:val="00"/>
    <w:family w:val="auto"/>
    <w:pitch w:val="variable"/>
    <w:sig w:usb0="E00002FF" w:usb1="02000413" w:usb2="00000000" w:usb3="00000000" w:csb0="0000019F" w:csb1="00000000"/>
    <w:embedRegular r:id="rId6" w:fontKey="{D86F2596-8300-4273-B7E8-80AC219B638B}"/>
  </w:font>
  <w:font w:name="Cardo">
    <w:charset w:val="00"/>
    <w:family w:val="auto"/>
    <w:pitch w:val="default"/>
    <w:embedRegular r:id="rId7" w:fontKey="{089199ED-89E6-4165-9AB7-B4CF498D1E40}"/>
  </w:font>
  <w:font w:name="Calibri">
    <w:panose1 w:val="020F0502020204030204"/>
    <w:charset w:val="00"/>
    <w:family w:val="swiss"/>
    <w:pitch w:val="variable"/>
    <w:sig w:usb0="E4002EFF" w:usb1="C200247B" w:usb2="00000009" w:usb3="00000000" w:csb0="000001FF" w:csb1="00000000"/>
    <w:embedRegular r:id="rId8" w:fontKey="{11C87E79-D0FF-4BFC-94ED-2A8310B813AD}"/>
  </w:font>
  <w:font w:name="Cambria">
    <w:panose1 w:val="02040503050406030204"/>
    <w:charset w:val="00"/>
    <w:family w:val="roman"/>
    <w:pitch w:val="variable"/>
    <w:sig w:usb0="E00006FF" w:usb1="420024FF" w:usb2="02000000" w:usb3="00000000" w:csb0="0000019F" w:csb1="00000000"/>
    <w:embedRegular r:id="rId9" w:fontKey="{F8F89208-3730-43A9-BACF-05234FD456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9CEF5" w14:textId="77777777" w:rsidR="00B47AAF" w:rsidRDefault="00B47AAF">
      <w:pPr>
        <w:spacing w:line="240" w:lineRule="auto"/>
      </w:pPr>
      <w:r>
        <w:separator/>
      </w:r>
    </w:p>
  </w:footnote>
  <w:footnote w:type="continuationSeparator" w:id="0">
    <w:p w14:paraId="251E6278" w14:textId="77777777" w:rsidR="00B47AAF" w:rsidRDefault="00B47AAF">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641A9"/>
    <w:rsid w:val="00117F5C"/>
    <w:rsid w:val="0012657A"/>
    <w:rsid w:val="001E31FC"/>
    <w:rsid w:val="0022390F"/>
    <w:rsid w:val="002660AA"/>
    <w:rsid w:val="00287922"/>
    <w:rsid w:val="002940E3"/>
    <w:rsid w:val="00326636"/>
    <w:rsid w:val="003370C8"/>
    <w:rsid w:val="00343FC7"/>
    <w:rsid w:val="00344144"/>
    <w:rsid w:val="003B7C04"/>
    <w:rsid w:val="003E5F14"/>
    <w:rsid w:val="00401741"/>
    <w:rsid w:val="00405B97"/>
    <w:rsid w:val="004D4576"/>
    <w:rsid w:val="00545E45"/>
    <w:rsid w:val="00551A0C"/>
    <w:rsid w:val="00557F47"/>
    <w:rsid w:val="00591258"/>
    <w:rsid w:val="005B6108"/>
    <w:rsid w:val="005F0FB6"/>
    <w:rsid w:val="00611F20"/>
    <w:rsid w:val="00652B3F"/>
    <w:rsid w:val="007336B7"/>
    <w:rsid w:val="00757497"/>
    <w:rsid w:val="007A4571"/>
    <w:rsid w:val="008632C5"/>
    <w:rsid w:val="008927A5"/>
    <w:rsid w:val="009267BF"/>
    <w:rsid w:val="00983B42"/>
    <w:rsid w:val="009A0CDC"/>
    <w:rsid w:val="00A0641D"/>
    <w:rsid w:val="00A67943"/>
    <w:rsid w:val="00AC12A9"/>
    <w:rsid w:val="00B47AAF"/>
    <w:rsid w:val="00B928A9"/>
    <w:rsid w:val="00C37340"/>
    <w:rsid w:val="00C46AF7"/>
    <w:rsid w:val="00DB368A"/>
    <w:rsid w:val="00DD3A03"/>
    <w:rsid w:val="00E44EA4"/>
    <w:rsid w:val="00EE2059"/>
    <w:rsid w:val="00F535D8"/>
    <w:rsid w:val="00F56FF9"/>
    <w:rsid w:val="00FB1D74"/>
    <w:rsid w:val="00FC6A82"/>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2940E3"/>
    <w:pPr>
      <w:spacing w:before="200" w:after="160"/>
      <w:ind w:left="862" w:right="862" w:firstLine="0"/>
    </w:pPr>
    <w:rPr>
      <w:iCs/>
      <w:color w:val="404040" w:themeColor="text1" w:themeTint="BF"/>
    </w:rPr>
  </w:style>
  <w:style w:type="character" w:customStyle="1" w:styleId="QuoteChar">
    <w:name w:val="Quote Char"/>
    <w:basedOn w:val="DefaultParagraphFont"/>
    <w:link w:val="Quote"/>
    <w:uiPriority w:val="29"/>
    <w:rsid w:val="002940E3"/>
    <w:rPr>
      <w:iCs/>
      <w:color w:val="404040" w:themeColor="text1" w:themeTint="BF"/>
    </w:rPr>
  </w:style>
  <w:style w:type="character" w:customStyle="1" w:styleId="Heading3Char">
    <w:name w:val="Heading 3 Char"/>
    <w:basedOn w:val="DefaultParagraphFont"/>
    <w:link w:val="Heading3"/>
    <w:uiPriority w:val="9"/>
    <w:rsid w:val="00F56F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19064</Words>
  <Characters>104854</Characters>
  <Application>Microsoft Office Word</Application>
  <DocSecurity>0</DocSecurity>
  <Lines>873</Lines>
  <Paragraphs>247</Paragraphs>
  <ScaleCrop>false</ScaleCrop>
  <Company/>
  <LinksUpToDate>false</LinksUpToDate>
  <CharactersWithSpaces>123671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32</cp:revision>
  <dcterms:created xsi:type="dcterms:W3CDTF">2026-06-01T19:34:00Z</dcterms:created>
  <dcterms:modified xsi:type="dcterms:W3CDTF">2026-06-06T08:01:00Z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