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000000">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sidR="00401741">
              <w:rPr>
                <w:b/>
                <w:bCs/>
                <w:color w:val="000000"/>
              </w:rPr>
              <w:t>1.       Introduction</w:t>
            </w:r>
            <w:r w:rsidR="00401741">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rsidR="00000000">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77777777" w:rsidR="00401741" w:rsidRDefault="00000000">
      <w:r>
        <w:lastRenderedPageBreak/>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77777777" w:rsidR="00401741" w:rsidRDefault="00000000">
      <w:r>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57B20B8C" w14:textId="77777777" w:rsidR="00401741" w:rsidRDefault="00000000">
      <w:pPr>
        <w:pStyle w:val="Heading3"/>
      </w:pPr>
      <w:bookmarkStart w:id="56" w:name="_fqeqowri1ro4" w:colFirst="0" w:colLast="0"/>
      <w:bookmarkEnd w:id="56"/>
      <w:r>
        <w:lastRenderedPageBreak/>
        <w:t>2.1.1.</w:t>
      </w:r>
      <w:r>
        <w:tab/>
        <w:t>The Rise of the LLM</w:t>
      </w:r>
    </w:p>
    <w:p w14:paraId="6471EEE5" w14:textId="77777777" w:rsidR="00401741"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70" w:name="_n7fdo5m5v3pp" w:colFirst="0" w:colLast="0"/>
      <w:bookmarkEnd w:id="70"/>
      <w:r>
        <w:t>2.1.2.</w:t>
      </w:r>
      <w:r>
        <w:tab/>
        <w:t>The impact of ChatGPT</w:t>
      </w:r>
    </w:p>
    <w:p w14:paraId="7551610A" w14:textId="77777777" w:rsidR="00401741"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4E04B80A" w14:textId="77777777" w:rsidR="00401741" w:rsidRDefault="00000000">
      <w:pPr>
        <w:pStyle w:val="Heading3"/>
      </w:pPr>
      <w:bookmarkStart w:id="76" w:name="_7k1mujnido4y" w:colFirst="0" w:colLast="0"/>
      <w:bookmarkEnd w:id="76"/>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170935C5" w14:textId="77777777" w:rsidR="00401741"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576078B1" w14:textId="77777777" w:rsidR="00401741"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4A1B922A" w14:textId="77777777" w:rsidR="00401741" w:rsidRDefault="00000000">
      <w:pPr>
        <w:pStyle w:val="Heading3"/>
      </w:pPr>
      <w:bookmarkStart w:id="101" w:name="_ub1qv02kke7k" w:colFirst="0" w:colLast="0"/>
      <w:bookmarkEnd w:id="101"/>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429650DF" w14:textId="77777777" w:rsidR="00401741" w:rsidRDefault="00000000">
      <w:pPr>
        <w:pStyle w:val="Heading2"/>
        <w:rPr>
          <w:color w:val="00312A"/>
        </w:rPr>
      </w:pPr>
      <w:bookmarkStart w:id="103" w:name="_2vf6sqrz2b2s" w:colFirst="0" w:colLast="0"/>
      <w:bookmarkEnd w:id="103"/>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104"/>
      <w:r>
        <w:rPr>
          <w:color w:val="00312A"/>
        </w:rPr>
        <w:t>performance</w:t>
      </w:r>
      <w:commentRangeEnd w:id="104"/>
      <w:r>
        <w:rPr>
          <w:rStyle w:val="CommentReference"/>
          <w:color w:val="00312A"/>
          <w:sz w:val="22"/>
          <w:szCs w:val="22"/>
        </w:rPr>
        <w:commentReference w:id="104"/>
      </w:r>
      <w:r>
        <w:rPr>
          <w:color w:val="00312A"/>
        </w:rPr>
        <w:t xml:space="preserve">. The AI marketing literature shows that AI can contribute across the marketing process rather than only within </w:t>
      </w:r>
      <w:commentRangeStart w:id="105"/>
      <w:r>
        <w:rPr>
          <w:color w:val="00312A"/>
        </w:rPr>
        <w:t>communications</w:t>
      </w:r>
      <w:commentRangeEnd w:id="105"/>
      <w:r>
        <w:rPr>
          <w:rStyle w:val="CommentReference"/>
          <w:color w:val="00312A"/>
          <w:sz w:val="22"/>
          <w:szCs w:val="22"/>
        </w:rPr>
        <w:commentReference w:id="105"/>
      </w:r>
      <w:r>
        <w:rPr>
          <w:color w:val="00312A"/>
        </w:rPr>
        <w:t>.</w:t>
      </w:r>
    </w:p>
    <w:p w14:paraId="4BE96CB1" w14:textId="77777777" w:rsidR="00401741" w:rsidRDefault="00000000">
      <w:pPr>
        <w:rPr>
          <w:color w:val="00312A"/>
        </w:rPr>
      </w:pPr>
      <w:r>
        <w:rPr>
          <w:color w:val="00312A"/>
        </w:rPr>
        <w:t xml:space="preserve">Generative </w:t>
      </w:r>
      <w:commentRangeStart w:id="106"/>
      <w:r>
        <w:rPr>
          <w:color w:val="00312A"/>
        </w:rPr>
        <w:t>AI</w:t>
      </w:r>
      <w:commentRangeEnd w:id="106"/>
      <w:r>
        <w:rPr>
          <w:rStyle w:val="CommentReference"/>
          <w:color w:val="00312A"/>
          <w:sz w:val="22"/>
          <w:szCs w:val="22"/>
        </w:rPr>
        <w:commentReference w:id="106"/>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rPr>
          <w:color w:val="00312A"/>
        </w:rPr>
        <w:t>how marketing managers create value with agentic systems beyond content generation.</w:t>
      </w:r>
      <w:commentRangeEnd w:id="107"/>
      <w:r>
        <w:rPr>
          <w:rStyle w:val="CommentReference"/>
          <w:color w:val="00312A"/>
          <w:sz w:val="22"/>
          <w:szCs w:val="22"/>
        </w:rPr>
        <w:commentReference w:id="107"/>
      </w:r>
    </w:p>
    <w:p w14:paraId="54FBA4FB" w14:textId="77777777" w:rsidR="00401741" w:rsidRDefault="00000000">
      <w:pPr>
        <w:rPr>
          <w:color w:val="00312A"/>
        </w:rPr>
      </w:pPr>
      <w:commentRangeStart w:id="108"/>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rPr>
          <w:color w:val="00312A"/>
        </w:rPr>
        <w:t>productivity</w:t>
      </w:r>
      <w:commentRangeEnd w:id="109"/>
      <w:r>
        <w:rPr>
          <w:rStyle w:val="CommentReference"/>
          <w:color w:val="00312A"/>
          <w:sz w:val="22"/>
          <w:szCs w:val="22"/>
        </w:rPr>
        <w:commentReference w:id="109"/>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color w:val="00312A"/>
          <w:sz w:val="22"/>
          <w:szCs w:val="22"/>
        </w:rPr>
        <w:commentReference w:id="108"/>
      </w:r>
    </w:p>
    <w:p w14:paraId="58F9883D" w14:textId="77777777" w:rsidR="00401741" w:rsidRDefault="00000000">
      <w:pPr>
        <w:pStyle w:val="Heading2"/>
        <w:rPr>
          <w:color w:val="00312A"/>
        </w:rPr>
      </w:pPr>
      <w:bookmarkStart w:id="110" w:name="_z3s6q9rk0mxk" w:colFirst="0" w:colLast="0"/>
      <w:bookmarkEnd w:id="110"/>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11"/>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rPr>
          <w:color w:val="00312A"/>
        </w:rPr>
        <w:t>identity</w:t>
      </w:r>
      <w:commentRangeEnd w:id="112"/>
      <w:r>
        <w:rPr>
          <w:rStyle w:val="CommentReference"/>
          <w:color w:val="00312A"/>
          <w:sz w:val="22"/>
          <w:szCs w:val="22"/>
        </w:rPr>
        <w:commentReference w:id="112"/>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color w:val="00312A"/>
          <w:sz w:val="22"/>
          <w:szCs w:val="22"/>
        </w:rPr>
        <w:commentReference w:id="111"/>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13"/>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color w:val="00312A"/>
          <w:sz w:val="22"/>
          <w:szCs w:val="22"/>
        </w:rPr>
        <w:commentReference w:id="113"/>
      </w:r>
    </w:p>
    <w:p w14:paraId="7189F9DB" w14:textId="77777777" w:rsidR="00401741" w:rsidRDefault="00000000">
      <w:pPr>
        <w:rPr>
          <w:strike/>
          <w:color w:val="00312A"/>
        </w:rPr>
      </w:pPr>
      <w:commentRangeStart w:id="114"/>
      <w:commentRangeStart w:id="115"/>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color w:val="00312A"/>
          <w:sz w:val="22"/>
          <w:szCs w:val="22"/>
        </w:rPr>
        <w:commentReference w:id="115"/>
      </w:r>
      <w:commentRangeEnd w:id="114"/>
      <w:r>
        <w:rPr>
          <w:rStyle w:val="CommentReference"/>
          <w:strike/>
          <w:color w:val="00312A"/>
          <w:sz w:val="22"/>
          <w:szCs w:val="22"/>
        </w:rPr>
        <w:commentReference w:id="114"/>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6"/>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color w:val="00312A"/>
          <w:sz w:val="22"/>
          <w:szCs w:val="22"/>
        </w:rPr>
        <w:commentReference w:id="116"/>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7"/>
      <w:r>
        <w:rPr>
          <w:color w:val="00312A"/>
        </w:rPr>
        <w:t>system</w:t>
      </w:r>
      <w:commentRangeEnd w:id="117"/>
      <w:r>
        <w:rPr>
          <w:rStyle w:val="CommentReference"/>
          <w:color w:val="00312A"/>
          <w:sz w:val="22"/>
          <w:szCs w:val="22"/>
        </w:rPr>
        <w:commentReference w:id="117"/>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8"/>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color w:val="00312A"/>
          <w:sz w:val="22"/>
          <w:szCs w:val="22"/>
        </w:rPr>
        <w:commentReference w:id="118"/>
      </w:r>
    </w:p>
    <w:p w14:paraId="742EE997" w14:textId="77777777" w:rsidR="00401741" w:rsidRDefault="00000000">
      <w:pPr>
        <w:pStyle w:val="Heading2"/>
        <w:rPr>
          <w:color w:val="00312A"/>
        </w:rPr>
      </w:pPr>
      <w:bookmarkStart w:id="119" w:name="_y36s1eehq7rd" w:colFirst="0" w:colLast="0"/>
      <w:bookmarkEnd w:id="119"/>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20"/>
      <w:r>
        <w:rPr>
          <w:color w:val="00312A"/>
        </w:rPr>
        <w:t>Marketing</w:t>
      </w:r>
      <w:commentRangeEnd w:id="120"/>
      <w:r>
        <w:rPr>
          <w:rStyle w:val="CommentReference"/>
          <w:color w:val="00312A"/>
          <w:sz w:val="22"/>
          <w:szCs w:val="22"/>
        </w:rPr>
        <w:commentReference w:id="120"/>
      </w:r>
      <w:r>
        <w:rPr>
          <w:color w:val="00312A"/>
        </w:rPr>
        <w:t xml:space="preserve"> theory treats value as a multidimensional construct. Woodside et al. (2008) emphasize that customer value includes theory, research, and practice </w:t>
      </w:r>
      <w:commentRangeStart w:id="121"/>
      <w:r>
        <w:rPr>
          <w:color w:val="00312A"/>
        </w:rPr>
        <w:t>dimensions</w:t>
      </w:r>
      <w:commentRangeEnd w:id="121"/>
      <w:r>
        <w:rPr>
          <w:rStyle w:val="CommentReference"/>
          <w:color w:val="00312A"/>
          <w:sz w:val="22"/>
          <w:szCs w:val="22"/>
        </w:rPr>
        <w:commentReference w:id="121"/>
      </w:r>
      <w:r>
        <w:rPr>
          <w:color w:val="00312A"/>
        </w:rPr>
        <w:t xml:space="preserve">, while Sidorchuk (2015) describes value as a central but contested concept in marketing theory. Almquist et al. (2016) offer a managerial framework in which customer </w:t>
      </w:r>
      <w:commentRangeStart w:id="122"/>
      <w:r>
        <w:rPr>
          <w:color w:val="00312A"/>
        </w:rPr>
        <w:t xml:space="preserve">value </w:t>
      </w:r>
      <w:commentRangeEnd w:id="122"/>
      <w:r>
        <w:rPr>
          <w:rStyle w:val="CommentReference"/>
          <w:color w:val="00312A"/>
          <w:sz w:val="22"/>
          <w:szCs w:val="22"/>
        </w:rPr>
        <w:commentReference w:id="122"/>
      </w:r>
      <w:r>
        <w:rPr>
          <w:color w:val="00312A"/>
        </w:rPr>
        <w:t>can be understood through multiple elements, ranging from functional benefits such as saving time or reducing effort to emotional and social benefits. Although this framework is practitioner-</w:t>
      </w:r>
      <w:commentRangeStart w:id="123"/>
      <w:r>
        <w:rPr>
          <w:color w:val="00312A"/>
        </w:rPr>
        <w:t>oriented</w:t>
      </w:r>
      <w:commentRangeEnd w:id="123"/>
      <w:r>
        <w:rPr>
          <w:rStyle w:val="CommentReference"/>
          <w:color w:val="00312A"/>
          <w:sz w:val="22"/>
          <w:szCs w:val="22"/>
        </w:rPr>
        <w:commentReference w:id="123"/>
      </w:r>
      <w:r>
        <w:rPr>
          <w:color w:val="00312A"/>
        </w:rPr>
        <w:t>, it is useful</w:t>
      </w:r>
      <w:commentRangeStart w:id="124"/>
      <w:r>
        <w:rPr>
          <w:color w:val="00312A"/>
        </w:rPr>
        <w:t xml:space="preserve"> as a sensitizing concept because it helps interviewees articulate what kind of value they believe AI creates.</w:t>
      </w:r>
      <w:commentRangeEnd w:id="124"/>
      <w:r>
        <w:rPr>
          <w:rStyle w:val="CommentReference"/>
          <w:color w:val="00312A"/>
          <w:sz w:val="22"/>
          <w:szCs w:val="22"/>
        </w:rPr>
        <w:commentReference w:id="124"/>
      </w:r>
    </w:p>
    <w:p w14:paraId="7036DC6C" w14:textId="77777777" w:rsidR="00401741" w:rsidRDefault="00000000">
      <w:pPr>
        <w:rPr>
          <w:color w:val="00312A"/>
        </w:rPr>
      </w:pPr>
      <w:commentRangeStart w:id="125"/>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color w:val="00312A"/>
          <w:sz w:val="22"/>
          <w:szCs w:val="22"/>
        </w:rPr>
        <w:commentReference w:id="125"/>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6"/>
      <w:r>
        <w:rPr>
          <w:color w:val="00312A"/>
        </w:rPr>
        <w:t xml:space="preserve">n value co-creation </w:t>
      </w:r>
      <w:commentRangeEnd w:id="126"/>
      <w:r>
        <w:rPr>
          <w:rStyle w:val="CommentReference"/>
          <w:color w:val="00312A"/>
          <w:sz w:val="22"/>
          <w:szCs w:val="22"/>
        </w:rPr>
        <w:commentReference w:id="126"/>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8"/>
      <w:r>
        <w:rPr>
          <w:color w:val="00312A"/>
        </w:rPr>
        <w:t>capture</w:t>
      </w:r>
      <w:commentRangeEnd w:id="128"/>
      <w:r>
        <w:rPr>
          <w:rStyle w:val="CommentReference"/>
          <w:color w:val="00312A"/>
          <w:sz w:val="22"/>
          <w:szCs w:val="22"/>
        </w:rPr>
        <w:commentReference w:id="128"/>
      </w:r>
      <w:r>
        <w:rPr>
          <w:color w:val="00312A"/>
        </w:rPr>
        <w:t xml:space="preserve">. </w:t>
      </w:r>
      <w:commentRangeStart w:id="129"/>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9"/>
      <w:r>
        <w:rPr>
          <w:rStyle w:val="CommentReference"/>
          <w:color w:val="00312A"/>
          <w:sz w:val="22"/>
          <w:szCs w:val="22"/>
        </w:rPr>
        <w:commentReference w:id="129"/>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30"/>
      <w:r>
        <w:rPr>
          <w:color w:val="00312A"/>
        </w:rPr>
        <w:t>incorrect information, violates privacy expectations, biases decisions, reduces trust, weakens brand distinctiveness, or creates employee resistance. Generative AI may also increase content homogeneity</w:t>
      </w:r>
      <w:commentRangeEnd w:id="130"/>
      <w:r>
        <w:rPr>
          <w:rStyle w:val="CommentReference"/>
          <w:color w:val="00312A"/>
          <w:sz w:val="22"/>
          <w:szCs w:val="22"/>
        </w:rPr>
        <w:commentReference w:id="130"/>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31"/>
      <w:r>
        <w:rPr>
          <w:color w:val="00312A"/>
        </w:rPr>
        <w:t>AI</w:t>
      </w:r>
      <w:commentRangeEnd w:id="131"/>
      <w:r>
        <w:rPr>
          <w:rStyle w:val="CommentReference"/>
          <w:color w:val="00312A"/>
          <w:sz w:val="22"/>
          <w:szCs w:val="22"/>
        </w:rPr>
        <w:commentReference w:id="131"/>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32"/>
      <w:r>
        <w:rPr>
          <w:color w:val="00312A"/>
        </w:rPr>
        <w:t>differentiation</w:t>
      </w:r>
      <w:commentRangeEnd w:id="132"/>
      <w:r>
        <w:rPr>
          <w:rStyle w:val="CommentReference"/>
          <w:color w:val="00312A"/>
          <w:sz w:val="22"/>
          <w:szCs w:val="22"/>
        </w:rPr>
        <w:commentReference w:id="132"/>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33"/>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color w:val="00312A"/>
          <w:sz w:val="22"/>
          <w:szCs w:val="22"/>
        </w:rPr>
        <w:commentReference w:id="133"/>
      </w:r>
    </w:p>
    <w:p w14:paraId="07C9AFB7" w14:textId="77777777" w:rsidR="00401741" w:rsidRDefault="00000000">
      <w:pPr>
        <w:pStyle w:val="Heading2"/>
        <w:rPr>
          <w:color w:val="00312A"/>
        </w:rPr>
      </w:pPr>
      <w:bookmarkStart w:id="134" w:name="_cnr93e5ter7y" w:colFirst="0" w:colLast="0"/>
      <w:bookmarkEnd w:id="134"/>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5"/>
      <w:r>
        <w:rPr>
          <w:color w:val="00312A"/>
        </w:rPr>
        <w:t xml:space="preserve">socio-technical capability </w:t>
      </w:r>
      <w:commentRangeEnd w:id="135"/>
      <w:r>
        <w:rPr>
          <w:rStyle w:val="CommentReference"/>
          <w:color w:val="00312A"/>
          <w:sz w:val="22"/>
          <w:szCs w:val="22"/>
        </w:rPr>
        <w:commentReference w:id="135"/>
      </w:r>
      <w:r>
        <w:rPr>
          <w:color w:val="00312A"/>
        </w:rPr>
        <w:t>rather than as a standalone technology.</w:t>
      </w:r>
      <w:commentRangeStart w:id="136"/>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color w:val="00312A"/>
          <w:sz w:val="22"/>
          <w:szCs w:val="22"/>
        </w:rPr>
        <w:commentReference w:id="136"/>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7"/>
      <w:r>
        <w:rPr>
          <w:color w:val="00312A"/>
        </w:rPr>
        <w:t>value</w:t>
      </w:r>
      <w:commentRangeEnd w:id="137"/>
      <w:r>
        <w:rPr>
          <w:rStyle w:val="CommentReference"/>
          <w:color w:val="00312A"/>
          <w:sz w:val="22"/>
          <w:szCs w:val="22"/>
        </w:rPr>
        <w:commentReference w:id="137"/>
      </w:r>
      <w:r>
        <w:rPr>
          <w:color w:val="00312A"/>
        </w:rPr>
        <w:t>.</w:t>
      </w:r>
    </w:p>
    <w:p w14:paraId="2FECC5F5" w14:textId="77777777" w:rsidR="00401741" w:rsidRDefault="00000000">
      <w:pPr>
        <w:rPr>
          <w:color w:val="00312A"/>
        </w:rPr>
      </w:pPr>
      <w:commentRangeStart w:id="138"/>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color w:val="00312A"/>
          <w:sz w:val="22"/>
          <w:szCs w:val="22"/>
        </w:rPr>
        <w:commentReference w:id="138"/>
      </w:r>
    </w:p>
    <w:p w14:paraId="29730406" w14:textId="77777777" w:rsidR="00401741" w:rsidRDefault="00401741">
      <w:pPr>
        <w:ind w:firstLine="0"/>
      </w:pPr>
    </w:p>
    <w:p w14:paraId="3C6E209D" w14:textId="77777777" w:rsidR="00401741" w:rsidRDefault="00000000">
      <w:pPr>
        <w:pStyle w:val="Heading1"/>
        <w:ind w:firstLine="0"/>
        <w:jc w:val="left"/>
      </w:pPr>
      <w:bookmarkStart w:id="139" w:name="_squzp6x0kd2d" w:colFirst="0" w:colLast="0"/>
      <w:bookmarkEnd w:id="139"/>
      <w:r>
        <w:br w:type="page"/>
      </w:r>
    </w:p>
    <w:p w14:paraId="67E5F6FB" w14:textId="77777777" w:rsidR="00401741" w:rsidRDefault="00000000">
      <w:pPr>
        <w:pStyle w:val="Heading1"/>
      </w:pPr>
      <w:bookmarkStart w:id="140" w:name="_vuulw5cmria2" w:colFirst="0" w:colLast="0"/>
      <w:bookmarkEnd w:id="140"/>
      <w:r>
        <w:lastRenderedPageBreak/>
        <w:t>3.</w:t>
      </w:r>
      <w:r>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7C40F41D" w14:textId="77777777" w:rsidR="00401741" w:rsidRDefault="00000000">
      <w:pPr>
        <w:pStyle w:val="Heading2"/>
        <w:spacing w:before="80"/>
      </w:pPr>
      <w:bookmarkStart w:id="143" w:name="_jx9b7a6d4j0v" w:colFirst="0" w:colLast="0"/>
      <w:bookmarkEnd w:id="143"/>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44" w:name="_m0alptie2pwk" w:colFirst="0" w:colLast="0"/>
      <w:bookmarkEnd w:id="144"/>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56730C29" w14:textId="77777777" w:rsidR="00401741" w:rsidRDefault="00000000">
      <w:pPr>
        <w:pStyle w:val="Heading2"/>
        <w:spacing w:before="80"/>
      </w:pPr>
      <w:bookmarkStart w:id="148" w:name="_s5mzxyxu5jog" w:colFirst="0" w:colLast="0"/>
      <w:bookmarkEnd w:id="148"/>
      <w:r>
        <w:lastRenderedPageBreak/>
        <w:t>3.3.</w:t>
      </w:r>
      <w:r>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61" w:name="_jewz4ftnfnae" w:colFirst="0" w:colLast="0"/>
      <w:bookmarkEnd w:id="161"/>
      <w:r>
        <w:t xml:space="preserve"> </w:t>
      </w:r>
    </w:p>
    <w:p w14:paraId="533F3760" w14:textId="77777777" w:rsidR="00401741" w:rsidRDefault="00000000">
      <w:pPr>
        <w:pStyle w:val="Heading2"/>
      </w:pPr>
      <w:bookmarkStart w:id="162" w:name="_kqzta5wwdy54" w:colFirst="0" w:colLast="0"/>
      <w:bookmarkEnd w:id="162"/>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63"/>
            <w:r>
              <w:rPr>
                <w:sz w:val="20"/>
                <w:szCs w:val="20"/>
              </w:rPr>
              <w:t xml:space="preserve"> scope conditions in Section 5.3</w:t>
            </w:r>
            <w:commentRangeEnd w:id="163"/>
            <w:r>
              <w:rPr>
                <w:rStyle w:val="CommentReference"/>
                <w:sz w:val="20"/>
                <w:szCs w:val="20"/>
              </w:rPr>
              <w:commentReference w:id="163"/>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64"/>
            <w:r>
              <w:rPr>
                <w:sz w:val="20"/>
                <w:szCs w:val="20"/>
              </w:rPr>
              <w:t>sampling implications appears in Section 3.2.1</w:t>
            </w:r>
            <w:commentRangeEnd w:id="164"/>
            <w:r>
              <w:rPr>
                <w:rStyle w:val="CommentReference"/>
                <w:sz w:val="20"/>
                <w:szCs w:val="20"/>
              </w:rPr>
              <w:commentReference w:id="164"/>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5" w:name="_81ng021tuy7p" w:colFirst="0" w:colLast="0"/>
      <w:bookmarkEnd w:id="165"/>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r>
        <w:rPr>
          <w:b/>
          <w:bCs/>
        </w:rPr>
        <w:t>Table 2</w:t>
      </w:r>
    </w:p>
    <w:p w14:paraId="170FF2BE" w14:textId="77777777" w:rsidR="00401741" w:rsidRDefault="00000000">
      <w:pPr>
        <w:ind w:firstLine="0"/>
        <w:rPr>
          <w:i/>
          <w:iCs/>
        </w:rPr>
      </w:pPr>
      <w:r>
        <w:rPr>
          <w:i/>
          <w:iCs/>
        </w:rPr>
        <w:t>Overview of code development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85"/>
        <w:gridCol w:w="2430"/>
        <w:gridCol w:w="2280"/>
      </w:tblGrid>
      <w:tr w:rsidR="00401741" w14:paraId="3D8FF379" w14:textId="77777777">
        <w:trPr>
          <w:trHeight w:val="10"/>
        </w:trPr>
        <w:tc>
          <w:tcPr>
            <w:tcW w:w="4185" w:type="dxa"/>
            <w:tcBorders>
              <w:top w:val="single" w:sz="7" w:space="0" w:color="000000"/>
              <w:left w:val="nil"/>
              <w:bottom w:val="single" w:sz="7" w:space="0" w:color="000000"/>
              <w:right w:val="nil"/>
            </w:tcBorders>
            <w:tcMar>
              <w:top w:w="0" w:type="dxa"/>
              <w:left w:w="100" w:type="dxa"/>
              <w:bottom w:w="0" w:type="dxa"/>
              <w:right w:w="100" w:type="dxa"/>
            </w:tcMar>
          </w:tcPr>
          <w:p w14:paraId="59E030DF" w14:textId="77777777" w:rsidR="00401741" w:rsidRDefault="00000000">
            <w:pPr>
              <w:spacing w:line="360" w:lineRule="auto"/>
              <w:ind w:firstLine="0"/>
              <w:rPr>
                <w:b/>
                <w:bCs/>
                <w:sz w:val="20"/>
                <w:szCs w:val="20"/>
              </w:rPr>
            </w:pPr>
            <w:r>
              <w:rPr>
                <w:b/>
                <w:bCs/>
                <w:sz w:val="20"/>
                <w:szCs w:val="20"/>
              </w:rPr>
              <w:t>Descriptive coding</w:t>
            </w:r>
          </w:p>
        </w:tc>
        <w:tc>
          <w:tcPr>
            <w:tcW w:w="2430" w:type="dxa"/>
            <w:tcBorders>
              <w:top w:val="single" w:sz="7" w:space="0" w:color="000000"/>
              <w:left w:val="nil"/>
              <w:bottom w:val="single" w:sz="7" w:space="0" w:color="000000"/>
              <w:right w:val="nil"/>
            </w:tcBorders>
            <w:tcMar>
              <w:top w:w="0" w:type="dxa"/>
              <w:left w:w="100" w:type="dxa"/>
              <w:bottom w:w="0" w:type="dxa"/>
              <w:right w:w="100" w:type="dxa"/>
            </w:tcMar>
          </w:tcPr>
          <w:p w14:paraId="08BFD0A7" w14:textId="77777777" w:rsidR="00401741" w:rsidRDefault="00000000">
            <w:pPr>
              <w:spacing w:line="360" w:lineRule="auto"/>
              <w:ind w:firstLine="0"/>
              <w:rPr>
                <w:b/>
                <w:bCs/>
                <w:sz w:val="20"/>
                <w:szCs w:val="20"/>
              </w:rPr>
            </w:pPr>
            <w:r>
              <w:rPr>
                <w:b/>
                <w:bCs/>
                <w:sz w:val="20"/>
                <w:szCs w:val="20"/>
              </w:rPr>
              <w:t>Interpretive coding</w:t>
            </w:r>
          </w:p>
        </w:tc>
        <w:tc>
          <w:tcPr>
            <w:tcW w:w="2280" w:type="dxa"/>
            <w:tcBorders>
              <w:top w:val="single" w:sz="7" w:space="0" w:color="000000"/>
              <w:left w:val="nil"/>
              <w:bottom w:val="single" w:sz="7" w:space="0" w:color="000000"/>
              <w:right w:val="nil"/>
            </w:tcBorders>
            <w:tcMar>
              <w:top w:w="0" w:type="dxa"/>
              <w:left w:w="100" w:type="dxa"/>
              <w:bottom w:w="0" w:type="dxa"/>
              <w:right w:w="100" w:type="dxa"/>
            </w:tcMar>
          </w:tcPr>
          <w:p w14:paraId="41B450E3" w14:textId="77777777" w:rsidR="00401741" w:rsidRDefault="00000000">
            <w:pPr>
              <w:spacing w:line="360" w:lineRule="auto"/>
              <w:ind w:firstLine="0"/>
              <w:rPr>
                <w:b/>
                <w:bCs/>
                <w:sz w:val="20"/>
                <w:szCs w:val="20"/>
              </w:rPr>
            </w:pPr>
            <w:r>
              <w:rPr>
                <w:b/>
                <w:bCs/>
                <w:sz w:val="20"/>
                <w:szCs w:val="20"/>
              </w:rPr>
              <w:t>Aggregated codes</w:t>
            </w:r>
          </w:p>
        </w:tc>
      </w:tr>
      <w:tr w:rsidR="00401741" w14:paraId="55D14AEA" w14:textId="77777777">
        <w:trPr>
          <w:trHeight w:val="315"/>
        </w:trPr>
        <w:tc>
          <w:tcPr>
            <w:tcW w:w="4185" w:type="dxa"/>
            <w:tcBorders>
              <w:top w:val="nil"/>
              <w:left w:val="nil"/>
              <w:bottom w:val="nil"/>
              <w:right w:val="nil"/>
            </w:tcBorders>
            <w:tcMar>
              <w:top w:w="0" w:type="dxa"/>
              <w:left w:w="100" w:type="dxa"/>
              <w:bottom w:w="0" w:type="dxa"/>
              <w:right w:w="100" w:type="dxa"/>
            </w:tcMar>
          </w:tcPr>
          <w:p w14:paraId="567C4F15" w14:textId="77777777" w:rsidR="00401741" w:rsidRDefault="00000000">
            <w:pPr>
              <w:spacing w:line="360" w:lineRule="auto"/>
              <w:ind w:firstLine="0"/>
              <w:rPr>
                <w:sz w:val="20"/>
                <w:szCs w:val="20"/>
              </w:rPr>
            </w:pPr>
            <w:commentRangeStart w:id="166"/>
            <w:r>
              <w:rPr>
                <w:sz w:val="20"/>
                <w:szCs w:val="20"/>
              </w:rPr>
              <w:t>Experimenting</w:t>
            </w:r>
            <w:commentRangeEnd w:id="166"/>
            <w:r>
              <w:rPr>
                <w:rStyle w:val="CommentReference"/>
                <w:sz w:val="20"/>
                <w:szCs w:val="20"/>
              </w:rPr>
              <w:commentReference w:id="166"/>
            </w:r>
          </w:p>
        </w:tc>
        <w:tc>
          <w:tcPr>
            <w:tcW w:w="2430" w:type="dxa"/>
            <w:tcBorders>
              <w:top w:val="nil"/>
              <w:left w:val="nil"/>
              <w:bottom w:val="nil"/>
              <w:right w:val="nil"/>
            </w:tcBorders>
            <w:tcMar>
              <w:top w:w="0" w:type="dxa"/>
              <w:left w:w="100" w:type="dxa"/>
              <w:bottom w:w="0" w:type="dxa"/>
              <w:right w:w="100" w:type="dxa"/>
            </w:tcMar>
          </w:tcPr>
          <w:p w14:paraId="79F2C892" w14:textId="77777777" w:rsidR="00401741" w:rsidRDefault="00000000">
            <w:pPr>
              <w:spacing w:line="360" w:lineRule="auto"/>
              <w:ind w:firstLine="0"/>
              <w:rPr>
                <w:sz w:val="20"/>
                <w:szCs w:val="20"/>
              </w:rPr>
            </w:pPr>
            <w:r>
              <w:rPr>
                <w:sz w:val="20"/>
                <w:szCs w:val="20"/>
              </w:rPr>
              <w:t>Experimenting</w:t>
            </w:r>
          </w:p>
        </w:tc>
        <w:tc>
          <w:tcPr>
            <w:tcW w:w="2280" w:type="dxa"/>
            <w:tcBorders>
              <w:top w:val="nil"/>
              <w:left w:val="nil"/>
              <w:bottom w:val="nil"/>
              <w:right w:val="nil"/>
            </w:tcBorders>
            <w:tcMar>
              <w:top w:w="0" w:type="dxa"/>
              <w:left w:w="100" w:type="dxa"/>
              <w:bottom w:w="0" w:type="dxa"/>
              <w:right w:w="100" w:type="dxa"/>
            </w:tcMar>
          </w:tcPr>
          <w:p w14:paraId="7205711D" w14:textId="77777777" w:rsidR="00401741" w:rsidRDefault="00000000">
            <w:pPr>
              <w:spacing w:line="360" w:lineRule="auto"/>
              <w:ind w:firstLine="0"/>
              <w:rPr>
                <w:sz w:val="20"/>
                <w:szCs w:val="20"/>
              </w:rPr>
            </w:pPr>
            <w:r>
              <w:rPr>
                <w:sz w:val="20"/>
                <w:szCs w:val="20"/>
              </w:rPr>
              <w:t>Steering</w:t>
            </w:r>
          </w:p>
        </w:tc>
      </w:tr>
      <w:tr w:rsidR="00401741" w14:paraId="7CB68B19" w14:textId="77777777">
        <w:trPr>
          <w:trHeight w:val="270"/>
        </w:trPr>
        <w:tc>
          <w:tcPr>
            <w:tcW w:w="4185" w:type="dxa"/>
            <w:tcBorders>
              <w:top w:val="nil"/>
              <w:left w:val="nil"/>
              <w:bottom w:val="nil"/>
              <w:right w:val="nil"/>
            </w:tcBorders>
            <w:tcMar>
              <w:top w:w="0" w:type="dxa"/>
              <w:left w:w="100" w:type="dxa"/>
              <w:bottom w:w="0" w:type="dxa"/>
              <w:right w:w="100" w:type="dxa"/>
            </w:tcMar>
          </w:tcPr>
          <w:p w14:paraId="5933C3B4" w14:textId="77777777" w:rsidR="00401741" w:rsidRDefault="00000000">
            <w:pPr>
              <w:spacing w:line="360" w:lineRule="auto"/>
              <w:ind w:firstLine="0"/>
              <w:rPr>
                <w:sz w:val="20"/>
                <w:szCs w:val="20"/>
              </w:rPr>
            </w:pPr>
            <w:r>
              <w:rPr>
                <w:sz w:val="20"/>
                <w:szCs w:val="20"/>
              </w:rPr>
              <w:t>Creating a safe learning environment</w:t>
            </w:r>
          </w:p>
        </w:tc>
        <w:tc>
          <w:tcPr>
            <w:tcW w:w="2430" w:type="dxa"/>
            <w:tcBorders>
              <w:top w:val="nil"/>
              <w:left w:val="nil"/>
              <w:bottom w:val="nil"/>
              <w:right w:val="nil"/>
            </w:tcBorders>
            <w:tcMar>
              <w:top w:w="0" w:type="dxa"/>
              <w:left w:w="100" w:type="dxa"/>
              <w:bottom w:w="0" w:type="dxa"/>
              <w:right w:w="100" w:type="dxa"/>
            </w:tcMar>
          </w:tcPr>
          <w:p w14:paraId="31E7C248"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3152198" w14:textId="77777777" w:rsidR="00401741" w:rsidRDefault="00000000">
            <w:pPr>
              <w:spacing w:line="360" w:lineRule="auto"/>
              <w:ind w:firstLine="0"/>
              <w:rPr>
                <w:sz w:val="20"/>
                <w:szCs w:val="20"/>
              </w:rPr>
            </w:pPr>
            <w:r>
              <w:rPr>
                <w:sz w:val="20"/>
                <w:szCs w:val="20"/>
              </w:rPr>
              <w:t xml:space="preserve"> </w:t>
            </w:r>
          </w:p>
        </w:tc>
      </w:tr>
      <w:tr w:rsidR="00401741" w14:paraId="7DB50A7A" w14:textId="77777777">
        <w:trPr>
          <w:trHeight w:val="300"/>
        </w:trPr>
        <w:tc>
          <w:tcPr>
            <w:tcW w:w="4185" w:type="dxa"/>
            <w:tcBorders>
              <w:top w:val="nil"/>
              <w:left w:val="nil"/>
              <w:bottom w:val="nil"/>
              <w:right w:val="nil"/>
            </w:tcBorders>
            <w:tcMar>
              <w:top w:w="0" w:type="dxa"/>
              <w:left w:w="100" w:type="dxa"/>
              <w:bottom w:w="0" w:type="dxa"/>
              <w:right w:w="100" w:type="dxa"/>
            </w:tcMar>
          </w:tcPr>
          <w:p w14:paraId="020337D8" w14:textId="77777777" w:rsidR="00401741" w:rsidRDefault="00000000">
            <w:pPr>
              <w:spacing w:line="360" w:lineRule="auto"/>
              <w:ind w:firstLine="0"/>
              <w:rPr>
                <w:sz w:val="20"/>
                <w:szCs w:val="20"/>
              </w:rPr>
            </w:pPr>
            <w:r>
              <w:rPr>
                <w:sz w:val="20"/>
                <w:szCs w:val="20"/>
              </w:rPr>
              <w:t>Seeking product-market-fit</w:t>
            </w:r>
          </w:p>
        </w:tc>
        <w:tc>
          <w:tcPr>
            <w:tcW w:w="2430" w:type="dxa"/>
            <w:tcBorders>
              <w:top w:val="nil"/>
              <w:left w:val="nil"/>
              <w:bottom w:val="nil"/>
              <w:right w:val="nil"/>
            </w:tcBorders>
            <w:tcMar>
              <w:top w:w="0" w:type="dxa"/>
              <w:left w:w="100" w:type="dxa"/>
              <w:bottom w:w="0" w:type="dxa"/>
              <w:right w:w="100" w:type="dxa"/>
            </w:tcMar>
          </w:tcPr>
          <w:p w14:paraId="50821363"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92EA678" w14:textId="77777777" w:rsidR="00401741" w:rsidRDefault="00000000">
            <w:pPr>
              <w:spacing w:line="360" w:lineRule="auto"/>
              <w:ind w:firstLine="0"/>
              <w:rPr>
                <w:sz w:val="20"/>
                <w:szCs w:val="20"/>
              </w:rPr>
            </w:pPr>
            <w:r>
              <w:rPr>
                <w:sz w:val="20"/>
                <w:szCs w:val="20"/>
              </w:rPr>
              <w:t xml:space="preserve"> </w:t>
            </w:r>
          </w:p>
        </w:tc>
      </w:tr>
      <w:tr w:rsidR="00401741" w14:paraId="7EE62955" w14:textId="77777777">
        <w:trPr>
          <w:trHeight w:val="300"/>
        </w:trPr>
        <w:tc>
          <w:tcPr>
            <w:tcW w:w="4185" w:type="dxa"/>
            <w:tcBorders>
              <w:top w:val="nil"/>
              <w:left w:val="nil"/>
              <w:bottom w:val="nil"/>
              <w:right w:val="nil"/>
            </w:tcBorders>
            <w:tcMar>
              <w:top w:w="0" w:type="dxa"/>
              <w:left w:w="100" w:type="dxa"/>
              <w:bottom w:w="0" w:type="dxa"/>
              <w:right w:w="100" w:type="dxa"/>
            </w:tcMar>
          </w:tcPr>
          <w:p w14:paraId="255FF610" w14:textId="77777777" w:rsidR="00401741" w:rsidRDefault="00000000">
            <w:pPr>
              <w:spacing w:line="360" w:lineRule="auto"/>
              <w:ind w:firstLine="0"/>
              <w:rPr>
                <w:sz w:val="20"/>
                <w:szCs w:val="20"/>
              </w:rPr>
            </w:pPr>
            <w:r>
              <w:rPr>
                <w:sz w:val="20"/>
                <w:szCs w:val="20"/>
              </w:rPr>
              <w:t>Bringing people along</w:t>
            </w:r>
          </w:p>
        </w:tc>
        <w:tc>
          <w:tcPr>
            <w:tcW w:w="2430" w:type="dxa"/>
            <w:tcBorders>
              <w:top w:val="nil"/>
              <w:left w:val="nil"/>
              <w:bottom w:val="nil"/>
              <w:right w:val="nil"/>
            </w:tcBorders>
            <w:tcMar>
              <w:top w:w="0" w:type="dxa"/>
              <w:left w:w="100" w:type="dxa"/>
              <w:bottom w:w="0" w:type="dxa"/>
              <w:right w:w="100" w:type="dxa"/>
            </w:tcMar>
          </w:tcPr>
          <w:p w14:paraId="6D6F9482" w14:textId="77777777" w:rsidR="00401741" w:rsidRDefault="00000000">
            <w:pPr>
              <w:spacing w:line="360" w:lineRule="auto"/>
              <w:ind w:firstLine="0"/>
              <w:rPr>
                <w:sz w:val="20"/>
                <w:szCs w:val="20"/>
              </w:rPr>
            </w:pPr>
            <w:r>
              <w:rPr>
                <w:sz w:val="20"/>
                <w:szCs w:val="20"/>
              </w:rPr>
              <w:t>Guiding</w:t>
            </w:r>
          </w:p>
        </w:tc>
        <w:tc>
          <w:tcPr>
            <w:tcW w:w="2280" w:type="dxa"/>
            <w:tcBorders>
              <w:top w:val="nil"/>
              <w:left w:val="nil"/>
              <w:bottom w:val="nil"/>
              <w:right w:val="nil"/>
            </w:tcBorders>
            <w:tcMar>
              <w:top w:w="0" w:type="dxa"/>
              <w:left w:w="100" w:type="dxa"/>
              <w:bottom w:w="0" w:type="dxa"/>
              <w:right w:w="100" w:type="dxa"/>
            </w:tcMar>
          </w:tcPr>
          <w:p w14:paraId="6CA1311D" w14:textId="77777777" w:rsidR="00401741" w:rsidRDefault="00000000">
            <w:pPr>
              <w:spacing w:line="360" w:lineRule="auto"/>
              <w:ind w:firstLine="0"/>
              <w:rPr>
                <w:sz w:val="20"/>
                <w:szCs w:val="20"/>
              </w:rPr>
            </w:pPr>
            <w:r>
              <w:rPr>
                <w:sz w:val="20"/>
                <w:szCs w:val="20"/>
              </w:rPr>
              <w:t xml:space="preserve"> </w:t>
            </w:r>
          </w:p>
        </w:tc>
      </w:tr>
      <w:tr w:rsidR="00401741" w14:paraId="514344CE" w14:textId="77777777">
        <w:trPr>
          <w:trHeight w:val="300"/>
        </w:trPr>
        <w:tc>
          <w:tcPr>
            <w:tcW w:w="4185" w:type="dxa"/>
            <w:tcBorders>
              <w:top w:val="nil"/>
              <w:left w:val="nil"/>
              <w:bottom w:val="nil"/>
              <w:right w:val="nil"/>
            </w:tcBorders>
            <w:tcMar>
              <w:top w:w="0" w:type="dxa"/>
              <w:left w:w="100" w:type="dxa"/>
              <w:bottom w:w="0" w:type="dxa"/>
              <w:right w:w="100" w:type="dxa"/>
            </w:tcMar>
          </w:tcPr>
          <w:p w14:paraId="5ECC8F33" w14:textId="77777777" w:rsidR="00401741" w:rsidRDefault="00000000">
            <w:pPr>
              <w:spacing w:line="360" w:lineRule="auto"/>
              <w:ind w:firstLine="0"/>
              <w:rPr>
                <w:sz w:val="20"/>
                <w:szCs w:val="20"/>
              </w:rPr>
            </w:pPr>
            <w:r>
              <w:rPr>
                <w:sz w:val="20"/>
                <w:szCs w:val="20"/>
              </w:rPr>
              <w:t>Accepting risk</w:t>
            </w:r>
          </w:p>
        </w:tc>
        <w:tc>
          <w:tcPr>
            <w:tcW w:w="2430" w:type="dxa"/>
            <w:tcBorders>
              <w:top w:val="nil"/>
              <w:left w:val="nil"/>
              <w:bottom w:val="nil"/>
              <w:right w:val="nil"/>
            </w:tcBorders>
            <w:tcMar>
              <w:top w:w="0" w:type="dxa"/>
              <w:left w:w="100" w:type="dxa"/>
              <w:bottom w:w="0" w:type="dxa"/>
              <w:right w:w="100" w:type="dxa"/>
            </w:tcMar>
          </w:tcPr>
          <w:p w14:paraId="689E71F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186F3CA" w14:textId="77777777" w:rsidR="00401741" w:rsidRDefault="00000000">
            <w:pPr>
              <w:spacing w:line="360" w:lineRule="auto"/>
              <w:ind w:firstLine="0"/>
              <w:rPr>
                <w:sz w:val="20"/>
                <w:szCs w:val="20"/>
              </w:rPr>
            </w:pPr>
            <w:r>
              <w:rPr>
                <w:sz w:val="20"/>
                <w:szCs w:val="20"/>
              </w:rPr>
              <w:t xml:space="preserve"> </w:t>
            </w:r>
          </w:p>
        </w:tc>
      </w:tr>
      <w:tr w:rsidR="00401741" w14:paraId="45E47BA9" w14:textId="77777777">
        <w:trPr>
          <w:trHeight w:val="300"/>
        </w:trPr>
        <w:tc>
          <w:tcPr>
            <w:tcW w:w="4185" w:type="dxa"/>
            <w:tcBorders>
              <w:top w:val="nil"/>
              <w:left w:val="nil"/>
              <w:bottom w:val="nil"/>
              <w:right w:val="nil"/>
            </w:tcBorders>
            <w:tcMar>
              <w:top w:w="0" w:type="dxa"/>
              <w:left w:w="100" w:type="dxa"/>
              <w:bottom w:w="0" w:type="dxa"/>
              <w:right w:w="100" w:type="dxa"/>
            </w:tcMar>
          </w:tcPr>
          <w:p w14:paraId="1CB36410" w14:textId="77777777" w:rsidR="00401741" w:rsidRDefault="00000000">
            <w:pPr>
              <w:spacing w:line="360" w:lineRule="auto"/>
              <w:ind w:firstLine="0"/>
              <w:rPr>
                <w:sz w:val="20"/>
                <w:szCs w:val="20"/>
              </w:rPr>
            </w:pPr>
            <w:r>
              <w:rPr>
                <w:sz w:val="20"/>
                <w:szCs w:val="20"/>
              </w:rPr>
              <w:t>Providing clarity</w:t>
            </w:r>
          </w:p>
        </w:tc>
        <w:tc>
          <w:tcPr>
            <w:tcW w:w="2430" w:type="dxa"/>
            <w:tcBorders>
              <w:top w:val="nil"/>
              <w:left w:val="nil"/>
              <w:bottom w:val="nil"/>
              <w:right w:val="nil"/>
            </w:tcBorders>
            <w:tcMar>
              <w:top w:w="0" w:type="dxa"/>
              <w:left w:w="100" w:type="dxa"/>
              <w:bottom w:w="0" w:type="dxa"/>
              <w:right w:w="100" w:type="dxa"/>
            </w:tcMar>
          </w:tcPr>
          <w:p w14:paraId="2912696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2620848" w14:textId="77777777" w:rsidR="00401741" w:rsidRDefault="00000000">
            <w:pPr>
              <w:spacing w:line="360" w:lineRule="auto"/>
              <w:ind w:firstLine="0"/>
              <w:rPr>
                <w:sz w:val="20"/>
                <w:szCs w:val="20"/>
              </w:rPr>
            </w:pPr>
            <w:r>
              <w:rPr>
                <w:sz w:val="20"/>
                <w:szCs w:val="20"/>
              </w:rPr>
              <w:t xml:space="preserve"> </w:t>
            </w:r>
          </w:p>
        </w:tc>
      </w:tr>
      <w:tr w:rsidR="00401741" w14:paraId="66A6CC97" w14:textId="77777777">
        <w:trPr>
          <w:trHeight w:val="300"/>
        </w:trPr>
        <w:tc>
          <w:tcPr>
            <w:tcW w:w="4185" w:type="dxa"/>
            <w:tcBorders>
              <w:top w:val="nil"/>
              <w:left w:val="nil"/>
              <w:bottom w:val="nil"/>
              <w:right w:val="nil"/>
            </w:tcBorders>
            <w:tcMar>
              <w:top w:w="0" w:type="dxa"/>
              <w:left w:w="100" w:type="dxa"/>
              <w:bottom w:w="0" w:type="dxa"/>
              <w:right w:w="100" w:type="dxa"/>
            </w:tcMar>
          </w:tcPr>
          <w:p w14:paraId="6968E380" w14:textId="77777777" w:rsidR="00401741" w:rsidRDefault="00000000">
            <w:pPr>
              <w:spacing w:line="360" w:lineRule="auto"/>
              <w:ind w:firstLine="0"/>
              <w:rPr>
                <w:sz w:val="20"/>
                <w:szCs w:val="20"/>
              </w:rPr>
            </w:pPr>
            <w:r>
              <w:rPr>
                <w:sz w:val="20"/>
                <w:szCs w:val="20"/>
              </w:rPr>
              <w:t>Championing AI</w:t>
            </w:r>
          </w:p>
        </w:tc>
        <w:tc>
          <w:tcPr>
            <w:tcW w:w="2430" w:type="dxa"/>
            <w:tcBorders>
              <w:top w:val="nil"/>
              <w:left w:val="nil"/>
              <w:bottom w:val="nil"/>
              <w:right w:val="nil"/>
            </w:tcBorders>
            <w:tcMar>
              <w:top w:w="0" w:type="dxa"/>
              <w:left w:w="100" w:type="dxa"/>
              <w:bottom w:w="0" w:type="dxa"/>
              <w:right w:w="100" w:type="dxa"/>
            </w:tcMar>
          </w:tcPr>
          <w:p w14:paraId="77EC8EE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933E361" w14:textId="77777777" w:rsidR="00401741" w:rsidRDefault="00000000">
            <w:pPr>
              <w:spacing w:line="360" w:lineRule="auto"/>
              <w:ind w:firstLine="0"/>
              <w:rPr>
                <w:sz w:val="20"/>
                <w:szCs w:val="20"/>
              </w:rPr>
            </w:pPr>
            <w:r>
              <w:rPr>
                <w:sz w:val="20"/>
                <w:szCs w:val="20"/>
              </w:rPr>
              <w:t xml:space="preserve"> </w:t>
            </w:r>
          </w:p>
        </w:tc>
      </w:tr>
      <w:tr w:rsidR="00401741" w14:paraId="13B2F69C" w14:textId="77777777">
        <w:trPr>
          <w:trHeight w:val="300"/>
        </w:trPr>
        <w:tc>
          <w:tcPr>
            <w:tcW w:w="4185" w:type="dxa"/>
            <w:tcBorders>
              <w:top w:val="nil"/>
              <w:left w:val="nil"/>
              <w:bottom w:val="nil"/>
              <w:right w:val="nil"/>
            </w:tcBorders>
            <w:tcMar>
              <w:top w:w="0" w:type="dxa"/>
              <w:left w:w="100" w:type="dxa"/>
              <w:bottom w:w="0" w:type="dxa"/>
              <w:right w:w="100" w:type="dxa"/>
            </w:tcMar>
          </w:tcPr>
          <w:p w14:paraId="28039A38" w14:textId="77777777" w:rsidR="00401741" w:rsidRDefault="00000000">
            <w:pPr>
              <w:spacing w:line="360" w:lineRule="auto"/>
              <w:ind w:firstLine="0"/>
              <w:rPr>
                <w:sz w:val="20"/>
                <w:szCs w:val="20"/>
              </w:rPr>
            </w:pPr>
            <w:r>
              <w:rPr>
                <w:sz w:val="20"/>
                <w:szCs w:val="20"/>
              </w:rPr>
              <w:t xml:space="preserve">Obtaining </w:t>
            </w:r>
            <w:commentRangeStart w:id="167"/>
            <w:r>
              <w:rPr>
                <w:sz w:val="20"/>
                <w:szCs w:val="20"/>
              </w:rPr>
              <w:t xml:space="preserve">finance &amp; time </w:t>
            </w:r>
            <w:commentRangeEnd w:id="167"/>
            <w:r>
              <w:rPr>
                <w:rStyle w:val="CommentReference"/>
                <w:sz w:val="20"/>
                <w:szCs w:val="20"/>
              </w:rPr>
              <w:commentReference w:id="167"/>
            </w:r>
            <w:r>
              <w:rPr>
                <w:sz w:val="20"/>
                <w:szCs w:val="20"/>
              </w:rPr>
              <w:t>resources</w:t>
            </w:r>
          </w:p>
        </w:tc>
        <w:tc>
          <w:tcPr>
            <w:tcW w:w="2430" w:type="dxa"/>
            <w:vMerge w:val="restart"/>
            <w:tcBorders>
              <w:top w:val="nil"/>
              <w:left w:val="nil"/>
              <w:bottom w:val="nil"/>
              <w:right w:val="nil"/>
            </w:tcBorders>
            <w:tcMar>
              <w:top w:w="0" w:type="dxa"/>
              <w:left w:w="100" w:type="dxa"/>
              <w:bottom w:w="0" w:type="dxa"/>
              <w:right w:w="100" w:type="dxa"/>
            </w:tcMar>
          </w:tcPr>
          <w:p w14:paraId="2D401642" w14:textId="77777777" w:rsidR="00401741" w:rsidRDefault="00000000">
            <w:pPr>
              <w:spacing w:line="360" w:lineRule="auto"/>
              <w:ind w:firstLine="0"/>
              <w:rPr>
                <w:sz w:val="20"/>
                <w:szCs w:val="20"/>
              </w:rPr>
            </w:pPr>
            <w:r>
              <w:rPr>
                <w:sz w:val="20"/>
                <w:szCs w:val="20"/>
              </w:rPr>
              <w:t>Leveraging hard resources</w:t>
            </w:r>
          </w:p>
        </w:tc>
        <w:tc>
          <w:tcPr>
            <w:tcW w:w="2280" w:type="dxa"/>
            <w:tcBorders>
              <w:top w:val="nil"/>
              <w:left w:val="nil"/>
              <w:bottom w:val="nil"/>
              <w:right w:val="nil"/>
            </w:tcBorders>
            <w:tcMar>
              <w:top w:w="0" w:type="dxa"/>
              <w:left w:w="100" w:type="dxa"/>
              <w:bottom w:w="0" w:type="dxa"/>
              <w:right w:w="100" w:type="dxa"/>
            </w:tcMar>
          </w:tcPr>
          <w:p w14:paraId="0EA2B97F" w14:textId="77777777" w:rsidR="00401741" w:rsidRDefault="00000000">
            <w:pPr>
              <w:spacing w:line="360" w:lineRule="auto"/>
              <w:ind w:firstLine="0"/>
              <w:rPr>
                <w:sz w:val="20"/>
                <w:szCs w:val="20"/>
              </w:rPr>
            </w:pPr>
            <w:r>
              <w:rPr>
                <w:sz w:val="20"/>
                <w:szCs w:val="20"/>
              </w:rPr>
              <w:t xml:space="preserve"> </w:t>
            </w:r>
            <w:commentRangeStart w:id="168"/>
            <w:r>
              <w:rPr>
                <w:sz w:val="20"/>
                <w:szCs w:val="20"/>
              </w:rPr>
              <w:t xml:space="preserve">Leveraging </w:t>
            </w:r>
            <w:commentRangeEnd w:id="168"/>
            <w:r>
              <w:rPr>
                <w:rStyle w:val="CommentReference"/>
                <w:sz w:val="20"/>
                <w:szCs w:val="20"/>
              </w:rPr>
              <w:commentReference w:id="168"/>
            </w:r>
          </w:p>
        </w:tc>
      </w:tr>
      <w:tr w:rsidR="00401741" w14:paraId="609D3764" w14:textId="77777777">
        <w:trPr>
          <w:trHeight w:val="300"/>
        </w:trPr>
        <w:tc>
          <w:tcPr>
            <w:tcW w:w="4185" w:type="dxa"/>
            <w:tcBorders>
              <w:top w:val="nil"/>
              <w:left w:val="nil"/>
              <w:bottom w:val="nil"/>
              <w:right w:val="nil"/>
            </w:tcBorders>
            <w:tcMar>
              <w:top w:w="0" w:type="dxa"/>
              <w:left w:w="100" w:type="dxa"/>
              <w:bottom w:w="0" w:type="dxa"/>
              <w:right w:w="100" w:type="dxa"/>
            </w:tcMar>
          </w:tcPr>
          <w:p w14:paraId="53AB7E5C" w14:textId="77777777" w:rsidR="00401741" w:rsidRDefault="00000000">
            <w:pPr>
              <w:spacing w:line="360" w:lineRule="auto"/>
              <w:ind w:firstLine="0"/>
              <w:rPr>
                <w:sz w:val="20"/>
                <w:szCs w:val="20"/>
              </w:rPr>
            </w:pPr>
            <w:r>
              <w:rPr>
                <w:sz w:val="20"/>
                <w:szCs w:val="20"/>
              </w:rPr>
              <w:t>Leveraging data availability</w:t>
            </w:r>
          </w:p>
        </w:tc>
        <w:tc>
          <w:tcPr>
            <w:tcW w:w="2430" w:type="dxa"/>
            <w:vMerge/>
            <w:tcBorders>
              <w:top w:val="nil"/>
              <w:left w:val="nil"/>
              <w:bottom w:val="nil"/>
              <w:right w:val="nil"/>
            </w:tcBorders>
            <w:tcMar>
              <w:top w:w="0" w:type="dxa"/>
              <w:left w:w="100" w:type="dxa"/>
              <w:bottom w:w="0" w:type="dxa"/>
              <w:right w:w="100" w:type="dxa"/>
            </w:tcMar>
          </w:tcPr>
          <w:p w14:paraId="751B786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39E6A6E3" w14:textId="77777777" w:rsidR="00401741" w:rsidRDefault="00000000">
            <w:pPr>
              <w:spacing w:line="360" w:lineRule="auto"/>
              <w:ind w:firstLine="0"/>
              <w:rPr>
                <w:sz w:val="20"/>
                <w:szCs w:val="20"/>
              </w:rPr>
            </w:pPr>
            <w:r>
              <w:rPr>
                <w:sz w:val="20"/>
                <w:szCs w:val="20"/>
              </w:rPr>
              <w:t xml:space="preserve"> </w:t>
            </w:r>
          </w:p>
        </w:tc>
      </w:tr>
      <w:tr w:rsidR="00401741" w14:paraId="13355EFE" w14:textId="77777777">
        <w:trPr>
          <w:trHeight w:val="325"/>
        </w:trPr>
        <w:tc>
          <w:tcPr>
            <w:tcW w:w="4185" w:type="dxa"/>
            <w:tcBorders>
              <w:top w:val="nil"/>
              <w:left w:val="nil"/>
              <w:bottom w:val="nil"/>
              <w:right w:val="nil"/>
            </w:tcBorders>
            <w:tcMar>
              <w:top w:w="0" w:type="dxa"/>
              <w:left w:w="100" w:type="dxa"/>
              <w:bottom w:w="0" w:type="dxa"/>
              <w:right w:w="100" w:type="dxa"/>
            </w:tcMar>
          </w:tcPr>
          <w:p w14:paraId="0A62EADF" w14:textId="77777777" w:rsidR="00401741" w:rsidRDefault="00000000">
            <w:pPr>
              <w:spacing w:line="360" w:lineRule="auto"/>
              <w:ind w:firstLine="0"/>
              <w:rPr>
                <w:sz w:val="20"/>
                <w:szCs w:val="20"/>
              </w:rPr>
            </w:pPr>
            <w:r>
              <w:rPr>
                <w:sz w:val="20"/>
                <w:szCs w:val="20"/>
              </w:rPr>
              <w:t>Leveraging the right tooling</w:t>
            </w:r>
          </w:p>
        </w:tc>
        <w:tc>
          <w:tcPr>
            <w:tcW w:w="2430" w:type="dxa"/>
            <w:tcBorders>
              <w:top w:val="nil"/>
              <w:left w:val="nil"/>
              <w:bottom w:val="nil"/>
              <w:right w:val="nil"/>
            </w:tcBorders>
            <w:tcMar>
              <w:top w:w="0" w:type="dxa"/>
              <w:left w:w="100" w:type="dxa"/>
              <w:bottom w:w="0" w:type="dxa"/>
              <w:right w:w="100" w:type="dxa"/>
            </w:tcMar>
          </w:tcPr>
          <w:p w14:paraId="0FD923F0"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18446723" w14:textId="77777777" w:rsidR="00401741" w:rsidRDefault="00000000">
            <w:pPr>
              <w:spacing w:line="360" w:lineRule="auto"/>
              <w:ind w:firstLine="0"/>
              <w:rPr>
                <w:sz w:val="20"/>
                <w:szCs w:val="20"/>
              </w:rPr>
            </w:pPr>
            <w:r>
              <w:rPr>
                <w:sz w:val="20"/>
                <w:szCs w:val="20"/>
              </w:rPr>
              <w:t xml:space="preserve"> </w:t>
            </w:r>
          </w:p>
        </w:tc>
      </w:tr>
      <w:tr w:rsidR="00401741" w14:paraId="3D18570F" w14:textId="77777777">
        <w:trPr>
          <w:trHeight w:val="325"/>
        </w:trPr>
        <w:tc>
          <w:tcPr>
            <w:tcW w:w="4185" w:type="dxa"/>
            <w:tcBorders>
              <w:top w:val="nil"/>
              <w:left w:val="nil"/>
              <w:bottom w:val="nil"/>
              <w:right w:val="nil"/>
            </w:tcBorders>
            <w:tcMar>
              <w:top w:w="0" w:type="dxa"/>
              <w:left w:w="100" w:type="dxa"/>
              <w:bottom w:w="0" w:type="dxa"/>
              <w:right w:w="100" w:type="dxa"/>
            </w:tcMar>
          </w:tcPr>
          <w:p w14:paraId="0189EF5F" w14:textId="77777777" w:rsidR="00401741" w:rsidRDefault="00000000">
            <w:pPr>
              <w:spacing w:line="360" w:lineRule="auto"/>
              <w:ind w:firstLine="0"/>
              <w:rPr>
                <w:sz w:val="20"/>
                <w:szCs w:val="20"/>
              </w:rPr>
            </w:pPr>
            <w:r>
              <w:rPr>
                <w:sz w:val="20"/>
                <w:szCs w:val="20"/>
              </w:rPr>
              <w:t xml:space="preserve">Leveraging </w:t>
            </w:r>
            <w:commentRangeStart w:id="169"/>
            <w:r>
              <w:rPr>
                <w:sz w:val="20"/>
                <w:szCs w:val="20"/>
              </w:rPr>
              <w:t>competencies to execute</w:t>
            </w:r>
            <w:commentRangeEnd w:id="169"/>
            <w:r>
              <w:rPr>
                <w:rStyle w:val="CommentReference"/>
                <w:sz w:val="20"/>
                <w:szCs w:val="20"/>
              </w:rPr>
              <w:commentReference w:id="169"/>
            </w:r>
          </w:p>
        </w:tc>
        <w:tc>
          <w:tcPr>
            <w:tcW w:w="2430" w:type="dxa"/>
            <w:vMerge w:val="restart"/>
            <w:tcBorders>
              <w:top w:val="nil"/>
              <w:left w:val="nil"/>
              <w:bottom w:val="nil"/>
              <w:right w:val="nil"/>
            </w:tcBorders>
            <w:tcMar>
              <w:top w:w="0" w:type="dxa"/>
              <w:left w:w="100" w:type="dxa"/>
              <w:bottom w:w="0" w:type="dxa"/>
              <w:right w:w="100" w:type="dxa"/>
            </w:tcMar>
          </w:tcPr>
          <w:p w14:paraId="23B0D2B9" w14:textId="77777777" w:rsidR="00401741" w:rsidRDefault="00000000">
            <w:pPr>
              <w:spacing w:line="360" w:lineRule="auto"/>
              <w:ind w:firstLine="0"/>
              <w:rPr>
                <w:sz w:val="20"/>
                <w:szCs w:val="20"/>
              </w:rPr>
            </w:pPr>
            <w:r>
              <w:rPr>
                <w:sz w:val="20"/>
                <w:szCs w:val="20"/>
              </w:rPr>
              <w:t>Leveraging soft resources</w:t>
            </w:r>
          </w:p>
        </w:tc>
        <w:tc>
          <w:tcPr>
            <w:tcW w:w="2280" w:type="dxa"/>
            <w:tcBorders>
              <w:top w:val="nil"/>
              <w:left w:val="nil"/>
              <w:bottom w:val="nil"/>
              <w:right w:val="nil"/>
            </w:tcBorders>
            <w:tcMar>
              <w:top w:w="0" w:type="dxa"/>
              <w:left w:w="100" w:type="dxa"/>
              <w:bottom w:w="0" w:type="dxa"/>
              <w:right w:w="100" w:type="dxa"/>
            </w:tcMar>
          </w:tcPr>
          <w:p w14:paraId="5190DA6D" w14:textId="77777777" w:rsidR="00401741" w:rsidRDefault="00000000">
            <w:pPr>
              <w:spacing w:line="360" w:lineRule="auto"/>
              <w:ind w:firstLine="0"/>
              <w:rPr>
                <w:sz w:val="20"/>
                <w:szCs w:val="20"/>
              </w:rPr>
            </w:pPr>
            <w:r>
              <w:rPr>
                <w:sz w:val="20"/>
                <w:szCs w:val="20"/>
              </w:rPr>
              <w:t xml:space="preserve"> </w:t>
            </w:r>
          </w:p>
        </w:tc>
      </w:tr>
      <w:tr w:rsidR="00401741" w14:paraId="62118EA1" w14:textId="77777777">
        <w:trPr>
          <w:trHeight w:val="261"/>
        </w:trPr>
        <w:tc>
          <w:tcPr>
            <w:tcW w:w="4185" w:type="dxa"/>
            <w:tcBorders>
              <w:top w:val="nil"/>
              <w:left w:val="nil"/>
              <w:bottom w:val="nil"/>
              <w:right w:val="nil"/>
            </w:tcBorders>
            <w:tcMar>
              <w:top w:w="0" w:type="dxa"/>
              <w:left w:w="100" w:type="dxa"/>
              <w:bottom w:w="0" w:type="dxa"/>
              <w:right w:w="100" w:type="dxa"/>
            </w:tcMar>
          </w:tcPr>
          <w:p w14:paraId="69D0B94E" w14:textId="77777777" w:rsidR="00401741" w:rsidRDefault="00000000">
            <w:pPr>
              <w:spacing w:line="360" w:lineRule="auto"/>
              <w:ind w:firstLine="0"/>
              <w:rPr>
                <w:sz w:val="20"/>
                <w:szCs w:val="20"/>
              </w:rPr>
            </w:pPr>
            <w:r>
              <w:rPr>
                <w:sz w:val="20"/>
                <w:szCs w:val="20"/>
              </w:rPr>
              <w:t>Leveraging external experts &amp; vendors</w:t>
            </w:r>
          </w:p>
        </w:tc>
        <w:tc>
          <w:tcPr>
            <w:tcW w:w="2430" w:type="dxa"/>
            <w:vMerge/>
            <w:tcBorders>
              <w:top w:val="nil"/>
              <w:left w:val="nil"/>
              <w:bottom w:val="nil"/>
              <w:right w:val="nil"/>
            </w:tcBorders>
            <w:tcMar>
              <w:top w:w="0" w:type="dxa"/>
              <w:left w:w="100" w:type="dxa"/>
              <w:bottom w:w="0" w:type="dxa"/>
              <w:right w:w="100" w:type="dxa"/>
            </w:tcMar>
          </w:tcPr>
          <w:p w14:paraId="0761E3E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517073A6" w14:textId="77777777" w:rsidR="00401741" w:rsidRDefault="00000000">
            <w:pPr>
              <w:spacing w:line="360" w:lineRule="auto"/>
              <w:ind w:firstLine="0"/>
              <w:rPr>
                <w:sz w:val="20"/>
                <w:szCs w:val="20"/>
              </w:rPr>
            </w:pPr>
            <w:r>
              <w:rPr>
                <w:sz w:val="20"/>
                <w:szCs w:val="20"/>
              </w:rPr>
              <w:t xml:space="preserve"> </w:t>
            </w:r>
          </w:p>
        </w:tc>
      </w:tr>
      <w:tr w:rsidR="00401741" w14:paraId="13CC0F54" w14:textId="77777777">
        <w:trPr>
          <w:trHeight w:val="300"/>
        </w:trPr>
        <w:tc>
          <w:tcPr>
            <w:tcW w:w="4185" w:type="dxa"/>
            <w:tcBorders>
              <w:top w:val="nil"/>
              <w:left w:val="nil"/>
              <w:bottom w:val="nil"/>
              <w:right w:val="nil"/>
            </w:tcBorders>
            <w:tcMar>
              <w:top w:w="0" w:type="dxa"/>
              <w:left w:w="100" w:type="dxa"/>
              <w:bottom w:w="0" w:type="dxa"/>
              <w:right w:w="100" w:type="dxa"/>
            </w:tcMar>
          </w:tcPr>
          <w:p w14:paraId="5699A2D5" w14:textId="77777777" w:rsidR="00401741" w:rsidRDefault="00000000">
            <w:pPr>
              <w:spacing w:line="360" w:lineRule="auto"/>
              <w:ind w:firstLine="0"/>
              <w:rPr>
                <w:sz w:val="20"/>
                <w:szCs w:val="20"/>
              </w:rPr>
            </w:pPr>
            <w:r>
              <w:rPr>
                <w:sz w:val="20"/>
                <w:szCs w:val="20"/>
              </w:rPr>
              <w:t>Having a culture of innovation</w:t>
            </w:r>
          </w:p>
        </w:tc>
        <w:tc>
          <w:tcPr>
            <w:tcW w:w="2430" w:type="dxa"/>
            <w:tcBorders>
              <w:top w:val="nil"/>
              <w:left w:val="nil"/>
              <w:bottom w:val="nil"/>
              <w:right w:val="nil"/>
            </w:tcBorders>
            <w:tcMar>
              <w:top w:w="0" w:type="dxa"/>
              <w:left w:w="100" w:type="dxa"/>
              <w:bottom w:w="0" w:type="dxa"/>
              <w:right w:w="100" w:type="dxa"/>
            </w:tcMar>
          </w:tcPr>
          <w:p w14:paraId="5F08B83E"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C910DD1" w14:textId="77777777" w:rsidR="00401741" w:rsidRDefault="00000000">
            <w:pPr>
              <w:spacing w:line="360" w:lineRule="auto"/>
              <w:ind w:firstLine="0"/>
              <w:rPr>
                <w:sz w:val="20"/>
                <w:szCs w:val="20"/>
              </w:rPr>
            </w:pPr>
            <w:r>
              <w:rPr>
                <w:sz w:val="20"/>
                <w:szCs w:val="20"/>
              </w:rPr>
              <w:t xml:space="preserve"> </w:t>
            </w:r>
          </w:p>
        </w:tc>
      </w:tr>
      <w:tr w:rsidR="00401741" w14:paraId="657F1881" w14:textId="77777777">
        <w:trPr>
          <w:trHeight w:val="300"/>
        </w:trPr>
        <w:tc>
          <w:tcPr>
            <w:tcW w:w="4185" w:type="dxa"/>
            <w:tcBorders>
              <w:top w:val="nil"/>
              <w:left w:val="nil"/>
              <w:bottom w:val="nil"/>
              <w:right w:val="nil"/>
            </w:tcBorders>
            <w:tcMar>
              <w:top w:w="0" w:type="dxa"/>
              <w:left w:w="100" w:type="dxa"/>
              <w:bottom w:w="0" w:type="dxa"/>
              <w:right w:w="100" w:type="dxa"/>
            </w:tcMar>
          </w:tcPr>
          <w:p w14:paraId="1674BB7F" w14:textId="77777777" w:rsidR="00401741" w:rsidRDefault="00000000">
            <w:pPr>
              <w:spacing w:line="360" w:lineRule="auto"/>
              <w:ind w:firstLine="0"/>
              <w:rPr>
                <w:sz w:val="20"/>
                <w:szCs w:val="20"/>
              </w:rPr>
            </w:pPr>
            <w:r>
              <w:rPr>
                <w:sz w:val="20"/>
                <w:szCs w:val="20"/>
              </w:rPr>
              <w:t>Navigating resistance</w:t>
            </w:r>
          </w:p>
        </w:tc>
        <w:tc>
          <w:tcPr>
            <w:tcW w:w="2430" w:type="dxa"/>
            <w:tcBorders>
              <w:top w:val="nil"/>
              <w:left w:val="nil"/>
              <w:bottom w:val="nil"/>
              <w:right w:val="nil"/>
            </w:tcBorders>
            <w:tcMar>
              <w:top w:w="0" w:type="dxa"/>
              <w:left w:w="100" w:type="dxa"/>
              <w:bottom w:w="0" w:type="dxa"/>
              <w:right w:w="100" w:type="dxa"/>
            </w:tcMar>
          </w:tcPr>
          <w:p w14:paraId="1749B089" w14:textId="77777777" w:rsidR="00401741" w:rsidRDefault="00000000">
            <w:pPr>
              <w:spacing w:line="360" w:lineRule="auto"/>
              <w:ind w:firstLine="0"/>
              <w:rPr>
                <w:sz w:val="20"/>
                <w:szCs w:val="20"/>
              </w:rPr>
            </w:pPr>
            <w:r>
              <w:rPr>
                <w:sz w:val="20"/>
                <w:szCs w:val="20"/>
              </w:rPr>
              <w:t>Navigating</w:t>
            </w:r>
          </w:p>
        </w:tc>
        <w:tc>
          <w:tcPr>
            <w:tcW w:w="2280" w:type="dxa"/>
            <w:vMerge w:val="restart"/>
            <w:tcBorders>
              <w:top w:val="nil"/>
              <w:left w:val="nil"/>
              <w:bottom w:val="nil"/>
              <w:right w:val="nil"/>
            </w:tcBorders>
            <w:tcMar>
              <w:top w:w="0" w:type="dxa"/>
              <w:left w:w="100" w:type="dxa"/>
              <w:bottom w:w="0" w:type="dxa"/>
              <w:right w:w="100" w:type="dxa"/>
            </w:tcMar>
          </w:tcPr>
          <w:p w14:paraId="0106307F" w14:textId="77777777" w:rsidR="00401741" w:rsidRDefault="00000000">
            <w:pPr>
              <w:spacing w:line="360" w:lineRule="auto"/>
              <w:ind w:firstLine="0"/>
              <w:rPr>
                <w:sz w:val="20"/>
                <w:szCs w:val="20"/>
              </w:rPr>
            </w:pPr>
            <w:r>
              <w:rPr>
                <w:sz w:val="20"/>
                <w:szCs w:val="20"/>
              </w:rPr>
              <w:t>Experiencing obstacles</w:t>
            </w:r>
          </w:p>
        </w:tc>
      </w:tr>
      <w:tr w:rsidR="00401741" w14:paraId="6FB1D70C" w14:textId="77777777">
        <w:trPr>
          <w:trHeight w:val="336"/>
        </w:trPr>
        <w:tc>
          <w:tcPr>
            <w:tcW w:w="4185" w:type="dxa"/>
            <w:tcBorders>
              <w:top w:val="nil"/>
              <w:left w:val="nil"/>
              <w:bottom w:val="nil"/>
              <w:right w:val="nil"/>
            </w:tcBorders>
            <w:tcMar>
              <w:top w:w="0" w:type="dxa"/>
              <w:left w:w="100" w:type="dxa"/>
              <w:bottom w:w="0" w:type="dxa"/>
              <w:right w:w="100" w:type="dxa"/>
            </w:tcMar>
          </w:tcPr>
          <w:p w14:paraId="57DBF8AF" w14:textId="77777777" w:rsidR="00401741" w:rsidRDefault="00000000">
            <w:pPr>
              <w:spacing w:line="360" w:lineRule="auto"/>
              <w:ind w:firstLine="0"/>
              <w:rPr>
                <w:sz w:val="20"/>
                <w:szCs w:val="20"/>
              </w:rPr>
            </w:pPr>
            <w:r>
              <w:rPr>
                <w:sz w:val="20"/>
                <w:szCs w:val="20"/>
              </w:rPr>
              <w:t>Navigating restricting governance</w:t>
            </w:r>
          </w:p>
        </w:tc>
        <w:tc>
          <w:tcPr>
            <w:tcW w:w="2430" w:type="dxa"/>
            <w:tcBorders>
              <w:top w:val="nil"/>
              <w:left w:val="nil"/>
              <w:bottom w:val="nil"/>
              <w:right w:val="nil"/>
            </w:tcBorders>
            <w:tcMar>
              <w:top w:w="0" w:type="dxa"/>
              <w:left w:w="100" w:type="dxa"/>
              <w:bottom w:w="0" w:type="dxa"/>
              <w:right w:w="100" w:type="dxa"/>
            </w:tcMar>
          </w:tcPr>
          <w:p w14:paraId="2CE0457D"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2D6A62D" w14:textId="77777777" w:rsidR="00401741" w:rsidRDefault="00401741">
            <w:pPr>
              <w:spacing w:line="240" w:lineRule="auto"/>
              <w:ind w:firstLine="0"/>
              <w:rPr>
                <w:sz w:val="20"/>
                <w:szCs w:val="20"/>
              </w:rPr>
            </w:pPr>
          </w:p>
        </w:tc>
      </w:tr>
      <w:tr w:rsidR="00401741" w14:paraId="07449B5A" w14:textId="77777777">
        <w:trPr>
          <w:trHeight w:val="315"/>
        </w:trPr>
        <w:tc>
          <w:tcPr>
            <w:tcW w:w="4185" w:type="dxa"/>
            <w:tcBorders>
              <w:top w:val="nil"/>
              <w:left w:val="nil"/>
              <w:bottom w:val="nil"/>
              <w:right w:val="nil"/>
            </w:tcBorders>
            <w:tcMar>
              <w:top w:w="0" w:type="dxa"/>
              <w:left w:w="100" w:type="dxa"/>
              <w:bottom w:w="0" w:type="dxa"/>
              <w:right w:w="100" w:type="dxa"/>
            </w:tcMar>
          </w:tcPr>
          <w:p w14:paraId="1493EB3C" w14:textId="77777777" w:rsidR="00401741" w:rsidRDefault="00000000">
            <w:pPr>
              <w:spacing w:line="360" w:lineRule="auto"/>
              <w:ind w:firstLine="0"/>
              <w:rPr>
                <w:sz w:val="20"/>
                <w:szCs w:val="20"/>
              </w:rPr>
            </w:pPr>
            <w:commentRangeStart w:id="170"/>
            <w:r>
              <w:rPr>
                <w:sz w:val="20"/>
                <w:szCs w:val="20"/>
              </w:rPr>
              <w:t>Analysing</w:t>
            </w:r>
            <w:commentRangeEnd w:id="170"/>
            <w:r>
              <w:rPr>
                <w:rStyle w:val="CommentReference"/>
                <w:sz w:val="20"/>
                <w:szCs w:val="20"/>
              </w:rPr>
              <w:commentReference w:id="170"/>
            </w:r>
          </w:p>
        </w:tc>
        <w:tc>
          <w:tcPr>
            <w:tcW w:w="2430" w:type="dxa"/>
            <w:tcBorders>
              <w:top w:val="nil"/>
              <w:left w:val="nil"/>
              <w:bottom w:val="nil"/>
              <w:right w:val="nil"/>
            </w:tcBorders>
            <w:tcMar>
              <w:top w:w="0" w:type="dxa"/>
              <w:left w:w="100" w:type="dxa"/>
              <w:bottom w:w="0" w:type="dxa"/>
              <w:right w:w="100" w:type="dxa"/>
            </w:tcMar>
          </w:tcPr>
          <w:p w14:paraId="09B42AA7" w14:textId="77777777" w:rsidR="00401741" w:rsidRDefault="00000000">
            <w:pPr>
              <w:spacing w:line="360" w:lineRule="auto"/>
              <w:ind w:firstLine="0"/>
              <w:rPr>
                <w:sz w:val="20"/>
                <w:szCs w:val="20"/>
              </w:rPr>
            </w:pPr>
            <w:r>
              <w:rPr>
                <w:sz w:val="20"/>
                <w:szCs w:val="20"/>
              </w:rPr>
              <w:t>Analyzing</w:t>
            </w:r>
          </w:p>
        </w:tc>
        <w:tc>
          <w:tcPr>
            <w:tcW w:w="2280" w:type="dxa"/>
            <w:tcBorders>
              <w:top w:val="nil"/>
              <w:left w:val="nil"/>
              <w:bottom w:val="nil"/>
              <w:right w:val="nil"/>
            </w:tcBorders>
            <w:tcMar>
              <w:top w:w="0" w:type="dxa"/>
              <w:left w:w="100" w:type="dxa"/>
              <w:bottom w:w="0" w:type="dxa"/>
              <w:right w:w="100" w:type="dxa"/>
            </w:tcMar>
          </w:tcPr>
          <w:p w14:paraId="5FD4F194" w14:textId="77777777" w:rsidR="00401741" w:rsidRDefault="00000000">
            <w:pPr>
              <w:spacing w:line="360" w:lineRule="auto"/>
              <w:ind w:firstLine="0"/>
              <w:rPr>
                <w:sz w:val="20"/>
                <w:szCs w:val="20"/>
              </w:rPr>
            </w:pPr>
            <w:r>
              <w:rPr>
                <w:sz w:val="20"/>
                <w:szCs w:val="20"/>
              </w:rPr>
              <w:t>Applying Use Cases</w:t>
            </w:r>
          </w:p>
        </w:tc>
      </w:tr>
      <w:tr w:rsidR="00401741" w14:paraId="648A9552" w14:textId="77777777">
        <w:trPr>
          <w:trHeight w:val="300"/>
        </w:trPr>
        <w:tc>
          <w:tcPr>
            <w:tcW w:w="4185" w:type="dxa"/>
            <w:tcBorders>
              <w:top w:val="nil"/>
              <w:left w:val="nil"/>
              <w:bottom w:val="nil"/>
              <w:right w:val="nil"/>
            </w:tcBorders>
            <w:tcMar>
              <w:top w:w="0" w:type="dxa"/>
              <w:left w:w="100" w:type="dxa"/>
              <w:bottom w:w="0" w:type="dxa"/>
              <w:right w:w="100" w:type="dxa"/>
            </w:tcMar>
          </w:tcPr>
          <w:p w14:paraId="6E088457" w14:textId="77777777" w:rsidR="00401741" w:rsidRDefault="00000000">
            <w:pPr>
              <w:spacing w:line="360" w:lineRule="auto"/>
              <w:ind w:firstLine="0"/>
              <w:rPr>
                <w:sz w:val="20"/>
                <w:szCs w:val="20"/>
              </w:rPr>
            </w:pPr>
            <w:r>
              <w:rPr>
                <w:sz w:val="20"/>
                <w:szCs w:val="20"/>
              </w:rPr>
              <w:t>Creating content</w:t>
            </w:r>
          </w:p>
        </w:tc>
        <w:tc>
          <w:tcPr>
            <w:tcW w:w="2430" w:type="dxa"/>
            <w:tcBorders>
              <w:top w:val="nil"/>
              <w:left w:val="nil"/>
              <w:bottom w:val="nil"/>
              <w:right w:val="nil"/>
            </w:tcBorders>
            <w:tcMar>
              <w:top w:w="0" w:type="dxa"/>
              <w:left w:w="100" w:type="dxa"/>
              <w:bottom w:w="0" w:type="dxa"/>
              <w:right w:w="100" w:type="dxa"/>
            </w:tcMar>
          </w:tcPr>
          <w:p w14:paraId="57C9E3BB" w14:textId="77777777" w:rsidR="00401741" w:rsidRDefault="00000000">
            <w:pPr>
              <w:spacing w:line="360" w:lineRule="auto"/>
              <w:ind w:firstLine="0"/>
              <w:rPr>
                <w:sz w:val="20"/>
                <w:szCs w:val="20"/>
              </w:rPr>
            </w:pPr>
            <w:r>
              <w:rPr>
                <w:sz w:val="20"/>
                <w:szCs w:val="20"/>
              </w:rPr>
              <w:t>Guiding creation</w:t>
            </w:r>
          </w:p>
        </w:tc>
        <w:tc>
          <w:tcPr>
            <w:tcW w:w="2280" w:type="dxa"/>
            <w:tcBorders>
              <w:top w:val="nil"/>
              <w:left w:val="nil"/>
              <w:bottom w:val="nil"/>
              <w:right w:val="nil"/>
            </w:tcBorders>
            <w:tcMar>
              <w:top w:w="0" w:type="dxa"/>
              <w:left w:w="100" w:type="dxa"/>
              <w:bottom w:w="0" w:type="dxa"/>
              <w:right w:w="100" w:type="dxa"/>
            </w:tcMar>
          </w:tcPr>
          <w:p w14:paraId="77326CF3" w14:textId="77777777" w:rsidR="00401741" w:rsidRDefault="00000000">
            <w:pPr>
              <w:spacing w:line="360" w:lineRule="auto"/>
              <w:ind w:firstLine="0"/>
              <w:rPr>
                <w:sz w:val="20"/>
                <w:szCs w:val="20"/>
              </w:rPr>
            </w:pPr>
            <w:r>
              <w:rPr>
                <w:sz w:val="20"/>
                <w:szCs w:val="20"/>
              </w:rPr>
              <w:t xml:space="preserve"> </w:t>
            </w:r>
          </w:p>
        </w:tc>
      </w:tr>
      <w:tr w:rsidR="00401741" w14:paraId="2C19AF06" w14:textId="77777777">
        <w:trPr>
          <w:trHeight w:val="255"/>
        </w:trPr>
        <w:tc>
          <w:tcPr>
            <w:tcW w:w="4185" w:type="dxa"/>
            <w:tcBorders>
              <w:top w:val="nil"/>
              <w:left w:val="nil"/>
              <w:bottom w:val="nil"/>
              <w:right w:val="nil"/>
            </w:tcBorders>
            <w:tcMar>
              <w:top w:w="0" w:type="dxa"/>
              <w:left w:w="100" w:type="dxa"/>
              <w:bottom w:w="0" w:type="dxa"/>
              <w:right w:w="100" w:type="dxa"/>
            </w:tcMar>
          </w:tcPr>
          <w:p w14:paraId="338F4C1F" w14:textId="77777777" w:rsidR="00401741" w:rsidRDefault="00000000">
            <w:pPr>
              <w:spacing w:line="360" w:lineRule="auto"/>
              <w:ind w:firstLine="0"/>
              <w:rPr>
                <w:sz w:val="20"/>
                <w:szCs w:val="20"/>
              </w:rPr>
            </w:pPr>
            <w:r>
              <w:rPr>
                <w:sz w:val="20"/>
                <w:szCs w:val="20"/>
              </w:rPr>
              <w:t>Controlling brand or messaging</w:t>
            </w:r>
          </w:p>
        </w:tc>
        <w:tc>
          <w:tcPr>
            <w:tcW w:w="2430" w:type="dxa"/>
            <w:tcBorders>
              <w:top w:val="nil"/>
              <w:left w:val="nil"/>
              <w:bottom w:val="nil"/>
              <w:right w:val="nil"/>
            </w:tcBorders>
            <w:tcMar>
              <w:top w:w="0" w:type="dxa"/>
              <w:left w:w="100" w:type="dxa"/>
              <w:bottom w:w="0" w:type="dxa"/>
              <w:right w:w="100" w:type="dxa"/>
            </w:tcMar>
          </w:tcPr>
          <w:p w14:paraId="1B68193B"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39CA95B" w14:textId="77777777" w:rsidR="00401741" w:rsidRDefault="00000000">
            <w:pPr>
              <w:spacing w:line="360" w:lineRule="auto"/>
              <w:ind w:firstLine="0"/>
              <w:rPr>
                <w:sz w:val="20"/>
                <w:szCs w:val="20"/>
              </w:rPr>
            </w:pPr>
            <w:r>
              <w:rPr>
                <w:sz w:val="20"/>
                <w:szCs w:val="20"/>
              </w:rPr>
              <w:t xml:space="preserve"> </w:t>
            </w:r>
          </w:p>
        </w:tc>
      </w:tr>
      <w:tr w:rsidR="00401741" w14:paraId="3683C9AA" w14:textId="77777777">
        <w:trPr>
          <w:trHeight w:val="180"/>
        </w:trPr>
        <w:tc>
          <w:tcPr>
            <w:tcW w:w="4185" w:type="dxa"/>
            <w:tcBorders>
              <w:top w:val="nil"/>
              <w:left w:val="nil"/>
              <w:bottom w:val="nil"/>
              <w:right w:val="nil"/>
            </w:tcBorders>
            <w:tcMar>
              <w:top w:w="0" w:type="dxa"/>
              <w:left w:w="100" w:type="dxa"/>
              <w:bottom w:w="0" w:type="dxa"/>
              <w:right w:w="100" w:type="dxa"/>
            </w:tcMar>
          </w:tcPr>
          <w:p w14:paraId="705C3E09" w14:textId="77777777" w:rsidR="00401741" w:rsidRDefault="00000000">
            <w:pPr>
              <w:spacing w:line="360" w:lineRule="auto"/>
              <w:ind w:firstLine="0"/>
              <w:rPr>
                <w:sz w:val="20"/>
                <w:szCs w:val="20"/>
              </w:rPr>
            </w:pPr>
            <w:r>
              <w:rPr>
                <w:sz w:val="20"/>
                <w:szCs w:val="20"/>
              </w:rPr>
              <w:t>Developing or prototyping applications</w:t>
            </w:r>
          </w:p>
        </w:tc>
        <w:tc>
          <w:tcPr>
            <w:tcW w:w="2430" w:type="dxa"/>
            <w:tcBorders>
              <w:top w:val="nil"/>
              <w:left w:val="nil"/>
              <w:bottom w:val="nil"/>
              <w:right w:val="nil"/>
            </w:tcBorders>
            <w:tcMar>
              <w:top w:w="0" w:type="dxa"/>
              <w:left w:w="100" w:type="dxa"/>
              <w:bottom w:w="0" w:type="dxa"/>
              <w:right w:w="100" w:type="dxa"/>
            </w:tcMar>
          </w:tcPr>
          <w:p w14:paraId="1DC4DCB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4539B91" w14:textId="77777777" w:rsidR="00401741" w:rsidRDefault="00000000">
            <w:pPr>
              <w:spacing w:line="360" w:lineRule="auto"/>
              <w:ind w:firstLine="0"/>
              <w:rPr>
                <w:sz w:val="20"/>
                <w:szCs w:val="20"/>
              </w:rPr>
            </w:pPr>
            <w:r>
              <w:rPr>
                <w:sz w:val="20"/>
                <w:szCs w:val="20"/>
              </w:rPr>
              <w:t xml:space="preserve"> </w:t>
            </w:r>
          </w:p>
        </w:tc>
      </w:tr>
      <w:tr w:rsidR="00401741" w14:paraId="5648EB29" w14:textId="77777777">
        <w:trPr>
          <w:trHeight w:val="300"/>
        </w:trPr>
        <w:tc>
          <w:tcPr>
            <w:tcW w:w="4185" w:type="dxa"/>
            <w:tcBorders>
              <w:top w:val="nil"/>
              <w:left w:val="nil"/>
              <w:bottom w:val="nil"/>
              <w:right w:val="nil"/>
            </w:tcBorders>
            <w:tcMar>
              <w:top w:w="0" w:type="dxa"/>
              <w:left w:w="100" w:type="dxa"/>
              <w:bottom w:w="0" w:type="dxa"/>
              <w:right w:w="100" w:type="dxa"/>
            </w:tcMar>
          </w:tcPr>
          <w:p w14:paraId="78DC5D3D" w14:textId="77777777" w:rsidR="00401741" w:rsidRDefault="00000000">
            <w:pPr>
              <w:spacing w:line="360" w:lineRule="auto"/>
              <w:ind w:firstLine="0"/>
              <w:rPr>
                <w:sz w:val="20"/>
                <w:szCs w:val="20"/>
              </w:rPr>
            </w:pPr>
            <w:r>
              <w:rPr>
                <w:sz w:val="20"/>
                <w:szCs w:val="20"/>
              </w:rPr>
              <w:t>Automating processes</w:t>
            </w:r>
          </w:p>
        </w:tc>
        <w:tc>
          <w:tcPr>
            <w:tcW w:w="2430" w:type="dxa"/>
            <w:tcBorders>
              <w:top w:val="nil"/>
              <w:left w:val="nil"/>
              <w:bottom w:val="nil"/>
              <w:right w:val="nil"/>
            </w:tcBorders>
            <w:tcMar>
              <w:top w:w="0" w:type="dxa"/>
              <w:left w:w="100" w:type="dxa"/>
              <w:bottom w:w="0" w:type="dxa"/>
              <w:right w:w="100" w:type="dxa"/>
            </w:tcMar>
          </w:tcPr>
          <w:p w14:paraId="38F1EF3D" w14:textId="77777777" w:rsidR="00401741" w:rsidRDefault="00000000">
            <w:pPr>
              <w:spacing w:line="360" w:lineRule="auto"/>
              <w:ind w:firstLine="0"/>
              <w:rPr>
                <w:sz w:val="20"/>
                <w:szCs w:val="20"/>
              </w:rPr>
            </w:pPr>
            <w:r>
              <w:rPr>
                <w:sz w:val="20"/>
                <w:szCs w:val="20"/>
              </w:rPr>
              <w:t>Guiding automation</w:t>
            </w:r>
          </w:p>
        </w:tc>
        <w:tc>
          <w:tcPr>
            <w:tcW w:w="2280" w:type="dxa"/>
            <w:tcBorders>
              <w:top w:val="nil"/>
              <w:left w:val="nil"/>
              <w:bottom w:val="nil"/>
              <w:right w:val="nil"/>
            </w:tcBorders>
            <w:tcMar>
              <w:top w:w="0" w:type="dxa"/>
              <w:left w:w="100" w:type="dxa"/>
              <w:bottom w:w="0" w:type="dxa"/>
              <w:right w:w="100" w:type="dxa"/>
            </w:tcMar>
          </w:tcPr>
          <w:p w14:paraId="3473B73A" w14:textId="77777777" w:rsidR="00401741" w:rsidRDefault="00000000">
            <w:pPr>
              <w:spacing w:line="360" w:lineRule="auto"/>
              <w:ind w:firstLine="0"/>
              <w:rPr>
                <w:sz w:val="20"/>
                <w:szCs w:val="20"/>
              </w:rPr>
            </w:pPr>
            <w:r>
              <w:rPr>
                <w:sz w:val="20"/>
                <w:szCs w:val="20"/>
              </w:rPr>
              <w:t xml:space="preserve"> </w:t>
            </w:r>
          </w:p>
        </w:tc>
      </w:tr>
      <w:tr w:rsidR="00401741" w14:paraId="3EA68A30" w14:textId="77777777">
        <w:trPr>
          <w:trHeight w:val="600"/>
        </w:trPr>
        <w:tc>
          <w:tcPr>
            <w:tcW w:w="4185" w:type="dxa"/>
            <w:tcBorders>
              <w:top w:val="nil"/>
              <w:left w:val="nil"/>
              <w:bottom w:val="nil"/>
              <w:right w:val="nil"/>
            </w:tcBorders>
            <w:tcMar>
              <w:top w:w="0" w:type="dxa"/>
              <w:left w:w="100" w:type="dxa"/>
              <w:bottom w:w="0" w:type="dxa"/>
              <w:right w:w="100" w:type="dxa"/>
            </w:tcMar>
          </w:tcPr>
          <w:p w14:paraId="46725B7C" w14:textId="77777777" w:rsidR="00401741" w:rsidRDefault="00000000">
            <w:pPr>
              <w:spacing w:line="360" w:lineRule="auto"/>
              <w:ind w:firstLine="0"/>
              <w:rPr>
                <w:sz w:val="20"/>
                <w:szCs w:val="20"/>
              </w:rPr>
            </w:pPr>
            <w:r>
              <w:rPr>
                <w:sz w:val="20"/>
                <w:szCs w:val="20"/>
              </w:rPr>
              <w:t>Using agents for general purpose knowledge work</w:t>
            </w:r>
          </w:p>
        </w:tc>
        <w:tc>
          <w:tcPr>
            <w:tcW w:w="2430" w:type="dxa"/>
            <w:tcBorders>
              <w:top w:val="nil"/>
              <w:left w:val="nil"/>
              <w:bottom w:val="nil"/>
              <w:right w:val="nil"/>
            </w:tcBorders>
            <w:tcMar>
              <w:top w:w="0" w:type="dxa"/>
              <w:left w:w="100" w:type="dxa"/>
              <w:bottom w:w="0" w:type="dxa"/>
              <w:right w:w="100" w:type="dxa"/>
            </w:tcMar>
          </w:tcPr>
          <w:p w14:paraId="2C2C8ADA"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3D788C3" w14:textId="77777777" w:rsidR="00401741" w:rsidRDefault="00000000">
            <w:pPr>
              <w:spacing w:line="360" w:lineRule="auto"/>
              <w:ind w:firstLine="0"/>
              <w:rPr>
                <w:sz w:val="20"/>
                <w:szCs w:val="20"/>
              </w:rPr>
            </w:pPr>
            <w:r>
              <w:rPr>
                <w:sz w:val="20"/>
                <w:szCs w:val="20"/>
              </w:rPr>
              <w:t xml:space="preserve"> </w:t>
            </w:r>
          </w:p>
        </w:tc>
      </w:tr>
      <w:tr w:rsidR="00401741" w14:paraId="1A689E23" w14:textId="77777777">
        <w:trPr>
          <w:trHeight w:val="195"/>
        </w:trPr>
        <w:tc>
          <w:tcPr>
            <w:tcW w:w="4185" w:type="dxa"/>
            <w:tcBorders>
              <w:top w:val="nil"/>
              <w:left w:val="nil"/>
              <w:bottom w:val="nil"/>
              <w:right w:val="nil"/>
            </w:tcBorders>
            <w:tcMar>
              <w:top w:w="0" w:type="dxa"/>
              <w:left w:w="100" w:type="dxa"/>
              <w:bottom w:w="0" w:type="dxa"/>
              <w:right w:w="100" w:type="dxa"/>
            </w:tcMar>
          </w:tcPr>
          <w:p w14:paraId="16103C1D" w14:textId="77777777" w:rsidR="00401741" w:rsidRDefault="00000000">
            <w:pPr>
              <w:spacing w:line="360" w:lineRule="auto"/>
              <w:ind w:firstLine="0"/>
              <w:rPr>
                <w:sz w:val="20"/>
                <w:szCs w:val="20"/>
              </w:rPr>
            </w:pPr>
            <w:r>
              <w:rPr>
                <w:sz w:val="20"/>
                <w:szCs w:val="20"/>
              </w:rPr>
              <w:t>Optimizing &amp; personalizing</w:t>
            </w:r>
          </w:p>
        </w:tc>
        <w:tc>
          <w:tcPr>
            <w:tcW w:w="2430" w:type="dxa"/>
            <w:tcBorders>
              <w:top w:val="nil"/>
              <w:left w:val="nil"/>
              <w:bottom w:val="nil"/>
              <w:right w:val="nil"/>
            </w:tcBorders>
            <w:tcMar>
              <w:top w:w="0" w:type="dxa"/>
              <w:left w:w="100" w:type="dxa"/>
              <w:bottom w:w="0" w:type="dxa"/>
              <w:right w:w="100" w:type="dxa"/>
            </w:tcMar>
          </w:tcPr>
          <w:p w14:paraId="07DEF4DD"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F646AF9" w14:textId="77777777" w:rsidR="00401741" w:rsidRDefault="00000000">
            <w:pPr>
              <w:spacing w:line="360" w:lineRule="auto"/>
              <w:ind w:firstLine="0"/>
              <w:rPr>
                <w:sz w:val="20"/>
                <w:szCs w:val="20"/>
              </w:rPr>
            </w:pPr>
            <w:r>
              <w:rPr>
                <w:sz w:val="20"/>
                <w:szCs w:val="20"/>
              </w:rPr>
              <w:t xml:space="preserve"> </w:t>
            </w:r>
          </w:p>
        </w:tc>
      </w:tr>
      <w:tr w:rsidR="00401741" w14:paraId="37DC8C15" w14:textId="77777777">
        <w:trPr>
          <w:trHeight w:val="225"/>
        </w:trPr>
        <w:tc>
          <w:tcPr>
            <w:tcW w:w="4185" w:type="dxa"/>
            <w:tcBorders>
              <w:top w:val="nil"/>
              <w:left w:val="nil"/>
              <w:bottom w:val="nil"/>
              <w:right w:val="nil"/>
            </w:tcBorders>
            <w:tcMar>
              <w:top w:w="0" w:type="dxa"/>
              <w:left w:w="100" w:type="dxa"/>
              <w:bottom w:w="0" w:type="dxa"/>
              <w:right w:w="100" w:type="dxa"/>
            </w:tcMar>
          </w:tcPr>
          <w:p w14:paraId="3A8769B9" w14:textId="77777777" w:rsidR="00401741" w:rsidRDefault="00000000">
            <w:pPr>
              <w:spacing w:line="360" w:lineRule="auto"/>
              <w:ind w:firstLine="0"/>
              <w:rPr>
                <w:sz w:val="20"/>
                <w:szCs w:val="20"/>
              </w:rPr>
            </w:pPr>
            <w:r>
              <w:rPr>
                <w:sz w:val="20"/>
                <w:szCs w:val="20"/>
              </w:rPr>
              <w:t>Creating agents that assist customer</w:t>
            </w:r>
          </w:p>
        </w:tc>
        <w:tc>
          <w:tcPr>
            <w:tcW w:w="2430" w:type="dxa"/>
            <w:tcBorders>
              <w:top w:val="nil"/>
              <w:left w:val="nil"/>
              <w:bottom w:val="nil"/>
              <w:right w:val="nil"/>
            </w:tcBorders>
            <w:tcMar>
              <w:top w:w="0" w:type="dxa"/>
              <w:left w:w="100" w:type="dxa"/>
              <w:bottom w:w="0" w:type="dxa"/>
              <w:right w:w="100" w:type="dxa"/>
            </w:tcMar>
          </w:tcPr>
          <w:p w14:paraId="77EFC33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420C2C3" w14:textId="77777777" w:rsidR="00401741" w:rsidRDefault="00000000">
            <w:pPr>
              <w:spacing w:line="360" w:lineRule="auto"/>
              <w:ind w:firstLine="0"/>
              <w:rPr>
                <w:sz w:val="20"/>
                <w:szCs w:val="20"/>
              </w:rPr>
            </w:pPr>
            <w:r>
              <w:rPr>
                <w:sz w:val="20"/>
                <w:szCs w:val="20"/>
              </w:rPr>
              <w:t xml:space="preserve"> </w:t>
            </w:r>
          </w:p>
        </w:tc>
      </w:tr>
      <w:tr w:rsidR="00401741" w14:paraId="7FB66FCC" w14:textId="77777777">
        <w:trPr>
          <w:trHeight w:val="300"/>
        </w:trPr>
        <w:tc>
          <w:tcPr>
            <w:tcW w:w="4185" w:type="dxa"/>
            <w:tcBorders>
              <w:top w:val="nil"/>
              <w:left w:val="nil"/>
              <w:bottom w:val="nil"/>
              <w:right w:val="nil"/>
            </w:tcBorders>
            <w:tcMar>
              <w:top w:w="0" w:type="dxa"/>
              <w:left w:w="100" w:type="dxa"/>
              <w:bottom w:w="0" w:type="dxa"/>
              <w:right w:w="100" w:type="dxa"/>
            </w:tcMar>
          </w:tcPr>
          <w:p w14:paraId="22F6C1EB" w14:textId="77777777" w:rsidR="00401741" w:rsidRDefault="00000000">
            <w:pPr>
              <w:spacing w:line="360" w:lineRule="auto"/>
              <w:ind w:firstLine="0"/>
              <w:rPr>
                <w:sz w:val="20"/>
                <w:szCs w:val="20"/>
              </w:rPr>
            </w:pPr>
            <w:r>
              <w:rPr>
                <w:sz w:val="20"/>
                <w:szCs w:val="20"/>
              </w:rPr>
              <w:t>Using integrations</w:t>
            </w:r>
          </w:p>
        </w:tc>
        <w:tc>
          <w:tcPr>
            <w:tcW w:w="2430" w:type="dxa"/>
            <w:tcBorders>
              <w:top w:val="nil"/>
              <w:left w:val="nil"/>
              <w:bottom w:val="nil"/>
              <w:right w:val="nil"/>
            </w:tcBorders>
            <w:tcMar>
              <w:top w:w="0" w:type="dxa"/>
              <w:left w:w="100" w:type="dxa"/>
              <w:bottom w:w="0" w:type="dxa"/>
              <w:right w:w="100" w:type="dxa"/>
            </w:tcMar>
          </w:tcPr>
          <w:p w14:paraId="6F7A285D" w14:textId="77777777" w:rsidR="00401741" w:rsidRDefault="00000000">
            <w:pPr>
              <w:spacing w:line="360" w:lineRule="auto"/>
              <w:ind w:firstLine="0"/>
              <w:rPr>
                <w:sz w:val="20"/>
                <w:szCs w:val="20"/>
              </w:rPr>
            </w:pPr>
            <w:commentRangeStart w:id="171"/>
            <w:r>
              <w:rPr>
                <w:sz w:val="20"/>
                <w:szCs w:val="20"/>
              </w:rPr>
              <w:t>Using features</w:t>
            </w:r>
            <w:commentRangeEnd w:id="171"/>
            <w:r>
              <w:rPr>
                <w:rStyle w:val="CommentReference"/>
                <w:sz w:val="20"/>
                <w:szCs w:val="20"/>
              </w:rPr>
              <w:commentReference w:id="171"/>
            </w:r>
          </w:p>
        </w:tc>
        <w:tc>
          <w:tcPr>
            <w:tcW w:w="2280" w:type="dxa"/>
            <w:tcBorders>
              <w:top w:val="nil"/>
              <w:left w:val="nil"/>
              <w:bottom w:val="nil"/>
              <w:right w:val="nil"/>
            </w:tcBorders>
            <w:tcMar>
              <w:top w:w="0" w:type="dxa"/>
              <w:left w:w="100" w:type="dxa"/>
              <w:bottom w:w="0" w:type="dxa"/>
              <w:right w:w="100" w:type="dxa"/>
            </w:tcMar>
          </w:tcPr>
          <w:p w14:paraId="3C6B6961" w14:textId="77777777" w:rsidR="00401741" w:rsidRDefault="00000000">
            <w:pPr>
              <w:spacing w:line="360" w:lineRule="auto"/>
              <w:ind w:firstLine="0"/>
              <w:rPr>
                <w:sz w:val="20"/>
                <w:szCs w:val="20"/>
              </w:rPr>
            </w:pPr>
            <w:r>
              <w:rPr>
                <w:sz w:val="20"/>
                <w:szCs w:val="20"/>
              </w:rPr>
              <w:t xml:space="preserve"> </w:t>
            </w:r>
          </w:p>
        </w:tc>
      </w:tr>
      <w:tr w:rsidR="00401741" w14:paraId="3A95B341" w14:textId="77777777">
        <w:trPr>
          <w:trHeight w:val="345"/>
        </w:trPr>
        <w:tc>
          <w:tcPr>
            <w:tcW w:w="4185" w:type="dxa"/>
            <w:tcBorders>
              <w:top w:val="nil"/>
              <w:left w:val="nil"/>
              <w:bottom w:val="nil"/>
              <w:right w:val="nil"/>
            </w:tcBorders>
            <w:tcMar>
              <w:top w:w="0" w:type="dxa"/>
              <w:left w:w="100" w:type="dxa"/>
              <w:bottom w:w="0" w:type="dxa"/>
              <w:right w:w="100" w:type="dxa"/>
            </w:tcMar>
          </w:tcPr>
          <w:p w14:paraId="14EBE2D8" w14:textId="77777777" w:rsidR="00401741" w:rsidRDefault="00000000">
            <w:pPr>
              <w:spacing w:line="360" w:lineRule="auto"/>
              <w:ind w:firstLine="0"/>
              <w:rPr>
                <w:sz w:val="20"/>
                <w:szCs w:val="20"/>
              </w:rPr>
            </w:pPr>
            <w:r>
              <w:rPr>
                <w:sz w:val="20"/>
                <w:szCs w:val="20"/>
              </w:rPr>
              <w:t>Using ability to ingest data and other context</w:t>
            </w:r>
          </w:p>
        </w:tc>
        <w:tc>
          <w:tcPr>
            <w:tcW w:w="2430" w:type="dxa"/>
            <w:tcBorders>
              <w:top w:val="nil"/>
              <w:left w:val="nil"/>
              <w:bottom w:val="nil"/>
              <w:right w:val="nil"/>
            </w:tcBorders>
            <w:tcMar>
              <w:top w:w="0" w:type="dxa"/>
              <w:left w:w="100" w:type="dxa"/>
              <w:bottom w:w="0" w:type="dxa"/>
              <w:right w:w="100" w:type="dxa"/>
            </w:tcMar>
          </w:tcPr>
          <w:p w14:paraId="386A242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AF9C209" w14:textId="77777777" w:rsidR="00401741" w:rsidRDefault="00000000">
            <w:pPr>
              <w:spacing w:line="360" w:lineRule="auto"/>
              <w:ind w:firstLine="0"/>
              <w:rPr>
                <w:sz w:val="20"/>
                <w:szCs w:val="20"/>
              </w:rPr>
            </w:pPr>
            <w:r>
              <w:rPr>
                <w:sz w:val="20"/>
                <w:szCs w:val="20"/>
              </w:rPr>
              <w:t xml:space="preserve"> </w:t>
            </w:r>
          </w:p>
        </w:tc>
      </w:tr>
      <w:tr w:rsidR="00401741" w14:paraId="1E31E2D1" w14:textId="77777777">
        <w:trPr>
          <w:trHeight w:val="300"/>
        </w:trPr>
        <w:tc>
          <w:tcPr>
            <w:tcW w:w="4185" w:type="dxa"/>
            <w:tcBorders>
              <w:top w:val="nil"/>
              <w:left w:val="nil"/>
              <w:bottom w:val="nil"/>
              <w:right w:val="nil"/>
            </w:tcBorders>
            <w:tcMar>
              <w:top w:w="0" w:type="dxa"/>
              <w:left w:w="100" w:type="dxa"/>
              <w:bottom w:w="0" w:type="dxa"/>
              <w:right w:w="100" w:type="dxa"/>
            </w:tcMar>
          </w:tcPr>
          <w:p w14:paraId="1C0A923E" w14:textId="77777777" w:rsidR="00401741" w:rsidRDefault="00000000">
            <w:pPr>
              <w:spacing w:line="360" w:lineRule="auto"/>
              <w:ind w:firstLine="0"/>
              <w:rPr>
                <w:sz w:val="20"/>
                <w:szCs w:val="20"/>
              </w:rPr>
            </w:pPr>
            <w:r>
              <w:rPr>
                <w:sz w:val="20"/>
                <w:szCs w:val="20"/>
              </w:rPr>
              <w:t xml:space="preserve">Gaining increased </w:t>
            </w:r>
            <w:commentRangeStart w:id="172"/>
            <w:r>
              <w:rPr>
                <w:sz w:val="20"/>
                <w:szCs w:val="20"/>
              </w:rPr>
              <w:t>efficiency</w:t>
            </w:r>
            <w:commentRangeEnd w:id="172"/>
            <w:r>
              <w:rPr>
                <w:rStyle w:val="CommentReference"/>
                <w:sz w:val="20"/>
                <w:szCs w:val="20"/>
              </w:rPr>
              <w:commentReference w:id="172"/>
            </w:r>
          </w:p>
        </w:tc>
        <w:tc>
          <w:tcPr>
            <w:tcW w:w="2430" w:type="dxa"/>
            <w:tcBorders>
              <w:top w:val="nil"/>
              <w:left w:val="nil"/>
              <w:bottom w:val="nil"/>
              <w:right w:val="nil"/>
            </w:tcBorders>
            <w:tcMar>
              <w:top w:w="0" w:type="dxa"/>
              <w:left w:w="100" w:type="dxa"/>
              <w:bottom w:w="0" w:type="dxa"/>
              <w:right w:w="100" w:type="dxa"/>
            </w:tcMar>
          </w:tcPr>
          <w:p w14:paraId="5C990EE4" w14:textId="77777777" w:rsidR="00401741" w:rsidRDefault="00000000">
            <w:pPr>
              <w:spacing w:line="360" w:lineRule="auto"/>
              <w:ind w:firstLine="0"/>
              <w:rPr>
                <w:sz w:val="20"/>
                <w:szCs w:val="20"/>
              </w:rPr>
            </w:pPr>
            <w:r>
              <w:rPr>
                <w:sz w:val="20"/>
                <w:szCs w:val="20"/>
              </w:rPr>
              <w:t>Gaining benefits</w:t>
            </w:r>
          </w:p>
        </w:tc>
        <w:tc>
          <w:tcPr>
            <w:tcW w:w="2280" w:type="dxa"/>
            <w:tcBorders>
              <w:top w:val="nil"/>
              <w:left w:val="nil"/>
              <w:bottom w:val="nil"/>
              <w:right w:val="nil"/>
            </w:tcBorders>
            <w:tcMar>
              <w:top w:w="0" w:type="dxa"/>
              <w:left w:w="100" w:type="dxa"/>
              <w:bottom w:w="0" w:type="dxa"/>
              <w:right w:w="100" w:type="dxa"/>
            </w:tcMar>
          </w:tcPr>
          <w:p w14:paraId="76DD2DC5" w14:textId="77777777" w:rsidR="00401741" w:rsidRDefault="00000000">
            <w:pPr>
              <w:spacing w:line="360" w:lineRule="auto"/>
              <w:ind w:firstLine="0"/>
              <w:rPr>
                <w:sz w:val="20"/>
                <w:szCs w:val="20"/>
              </w:rPr>
            </w:pPr>
            <w:r>
              <w:rPr>
                <w:sz w:val="20"/>
                <w:szCs w:val="20"/>
              </w:rPr>
              <w:t>Obtaining outcomes</w:t>
            </w:r>
          </w:p>
        </w:tc>
      </w:tr>
      <w:tr w:rsidR="00401741" w14:paraId="74062EA8" w14:textId="77777777">
        <w:trPr>
          <w:trHeight w:val="240"/>
        </w:trPr>
        <w:tc>
          <w:tcPr>
            <w:tcW w:w="4185" w:type="dxa"/>
            <w:tcBorders>
              <w:top w:val="nil"/>
              <w:left w:val="nil"/>
              <w:bottom w:val="nil"/>
              <w:right w:val="nil"/>
            </w:tcBorders>
            <w:tcMar>
              <w:top w:w="0" w:type="dxa"/>
              <w:left w:w="100" w:type="dxa"/>
              <w:bottom w:w="0" w:type="dxa"/>
              <w:right w:w="100" w:type="dxa"/>
            </w:tcMar>
          </w:tcPr>
          <w:p w14:paraId="7AD73654" w14:textId="77777777" w:rsidR="00401741" w:rsidRDefault="00000000">
            <w:pPr>
              <w:spacing w:line="360" w:lineRule="auto"/>
              <w:ind w:firstLine="0"/>
              <w:rPr>
                <w:sz w:val="20"/>
                <w:szCs w:val="20"/>
              </w:rPr>
            </w:pPr>
            <w:r>
              <w:rPr>
                <w:sz w:val="20"/>
                <w:szCs w:val="20"/>
              </w:rPr>
              <w:t>Gaining improved quality of output</w:t>
            </w:r>
          </w:p>
        </w:tc>
        <w:tc>
          <w:tcPr>
            <w:tcW w:w="2430" w:type="dxa"/>
            <w:tcBorders>
              <w:top w:val="nil"/>
              <w:left w:val="nil"/>
              <w:bottom w:val="nil"/>
              <w:right w:val="nil"/>
            </w:tcBorders>
            <w:tcMar>
              <w:top w:w="0" w:type="dxa"/>
              <w:left w:w="100" w:type="dxa"/>
              <w:bottom w:w="0" w:type="dxa"/>
              <w:right w:w="100" w:type="dxa"/>
            </w:tcMar>
          </w:tcPr>
          <w:p w14:paraId="2D4C1C8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BEED249" w14:textId="77777777" w:rsidR="00401741" w:rsidRDefault="00000000">
            <w:pPr>
              <w:spacing w:line="360" w:lineRule="auto"/>
              <w:ind w:firstLine="0"/>
              <w:rPr>
                <w:sz w:val="20"/>
                <w:szCs w:val="20"/>
              </w:rPr>
            </w:pPr>
            <w:r>
              <w:rPr>
                <w:sz w:val="20"/>
                <w:szCs w:val="20"/>
              </w:rPr>
              <w:t xml:space="preserve"> </w:t>
            </w:r>
          </w:p>
        </w:tc>
      </w:tr>
      <w:tr w:rsidR="00401741" w14:paraId="29C9A638" w14:textId="77777777">
        <w:trPr>
          <w:trHeight w:val="240"/>
        </w:trPr>
        <w:tc>
          <w:tcPr>
            <w:tcW w:w="4185" w:type="dxa"/>
            <w:tcBorders>
              <w:top w:val="nil"/>
              <w:left w:val="nil"/>
              <w:bottom w:val="nil"/>
              <w:right w:val="nil"/>
            </w:tcBorders>
            <w:tcMar>
              <w:top w:w="0" w:type="dxa"/>
              <w:left w:w="100" w:type="dxa"/>
              <w:bottom w:w="0" w:type="dxa"/>
              <w:right w:w="100" w:type="dxa"/>
            </w:tcMar>
          </w:tcPr>
          <w:p w14:paraId="2C38D1B4" w14:textId="77777777" w:rsidR="00401741" w:rsidRDefault="00000000">
            <w:pPr>
              <w:spacing w:line="360" w:lineRule="auto"/>
              <w:ind w:firstLine="0"/>
              <w:rPr>
                <w:sz w:val="20"/>
                <w:szCs w:val="20"/>
              </w:rPr>
            </w:pPr>
            <w:commentRangeStart w:id="173"/>
            <w:r>
              <w:rPr>
                <w:sz w:val="20"/>
                <w:szCs w:val="20"/>
              </w:rPr>
              <w:t>Gaining novel capabilities</w:t>
            </w:r>
            <w:commentRangeEnd w:id="173"/>
            <w:r>
              <w:rPr>
                <w:rStyle w:val="CommentReference"/>
                <w:sz w:val="20"/>
                <w:szCs w:val="20"/>
              </w:rPr>
              <w:commentReference w:id="173"/>
            </w:r>
          </w:p>
        </w:tc>
        <w:tc>
          <w:tcPr>
            <w:tcW w:w="2430" w:type="dxa"/>
            <w:tcBorders>
              <w:top w:val="nil"/>
              <w:left w:val="nil"/>
              <w:bottom w:val="nil"/>
              <w:right w:val="nil"/>
            </w:tcBorders>
            <w:tcMar>
              <w:top w:w="0" w:type="dxa"/>
              <w:left w:w="100" w:type="dxa"/>
              <w:bottom w:w="0" w:type="dxa"/>
              <w:right w:w="100" w:type="dxa"/>
            </w:tcMar>
          </w:tcPr>
          <w:p w14:paraId="1AD1A4CF"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77AC5870" w14:textId="77777777" w:rsidR="00401741" w:rsidRDefault="00401741">
            <w:pPr>
              <w:spacing w:line="360" w:lineRule="auto"/>
              <w:ind w:firstLine="0"/>
              <w:rPr>
                <w:sz w:val="20"/>
                <w:szCs w:val="20"/>
              </w:rPr>
            </w:pPr>
          </w:p>
        </w:tc>
      </w:tr>
      <w:tr w:rsidR="00401741" w14:paraId="24C755AE" w14:textId="77777777">
        <w:trPr>
          <w:trHeight w:val="300"/>
        </w:trPr>
        <w:tc>
          <w:tcPr>
            <w:tcW w:w="4185" w:type="dxa"/>
            <w:tcBorders>
              <w:top w:val="nil"/>
              <w:left w:val="nil"/>
              <w:bottom w:val="nil"/>
              <w:right w:val="nil"/>
            </w:tcBorders>
            <w:tcMar>
              <w:top w:w="0" w:type="dxa"/>
              <w:left w:w="100" w:type="dxa"/>
              <w:bottom w:w="0" w:type="dxa"/>
              <w:right w:w="100" w:type="dxa"/>
            </w:tcMar>
          </w:tcPr>
          <w:p w14:paraId="37FA6A9E" w14:textId="77777777" w:rsidR="00401741" w:rsidRDefault="00000000">
            <w:pPr>
              <w:spacing w:line="360" w:lineRule="auto"/>
              <w:ind w:firstLine="0"/>
              <w:rPr>
                <w:sz w:val="20"/>
                <w:szCs w:val="20"/>
              </w:rPr>
            </w:pPr>
            <w:r>
              <w:rPr>
                <w:sz w:val="20"/>
                <w:szCs w:val="20"/>
              </w:rPr>
              <w:t>Investing</w:t>
            </w:r>
          </w:p>
        </w:tc>
        <w:tc>
          <w:tcPr>
            <w:tcW w:w="2430" w:type="dxa"/>
            <w:tcBorders>
              <w:top w:val="nil"/>
              <w:left w:val="nil"/>
              <w:bottom w:val="nil"/>
              <w:right w:val="nil"/>
            </w:tcBorders>
            <w:tcMar>
              <w:top w:w="0" w:type="dxa"/>
              <w:left w:w="100" w:type="dxa"/>
              <w:bottom w:w="0" w:type="dxa"/>
              <w:right w:w="100" w:type="dxa"/>
            </w:tcMar>
          </w:tcPr>
          <w:p w14:paraId="1CD8F2B0" w14:textId="77777777" w:rsidR="00401741" w:rsidRDefault="00000000">
            <w:pPr>
              <w:spacing w:line="360" w:lineRule="auto"/>
              <w:ind w:firstLine="0"/>
              <w:rPr>
                <w:sz w:val="20"/>
                <w:szCs w:val="20"/>
              </w:rPr>
            </w:pPr>
            <w:r>
              <w:rPr>
                <w:sz w:val="20"/>
                <w:szCs w:val="20"/>
              </w:rPr>
              <w:t>Sacrificing</w:t>
            </w:r>
          </w:p>
        </w:tc>
        <w:tc>
          <w:tcPr>
            <w:tcW w:w="2280" w:type="dxa"/>
            <w:tcBorders>
              <w:top w:val="nil"/>
              <w:left w:val="nil"/>
              <w:bottom w:val="nil"/>
              <w:right w:val="nil"/>
            </w:tcBorders>
            <w:tcMar>
              <w:top w:w="0" w:type="dxa"/>
              <w:left w:w="100" w:type="dxa"/>
              <w:bottom w:w="0" w:type="dxa"/>
              <w:right w:w="100" w:type="dxa"/>
            </w:tcMar>
          </w:tcPr>
          <w:p w14:paraId="49E301C2" w14:textId="77777777" w:rsidR="00401741" w:rsidRDefault="00000000">
            <w:pPr>
              <w:spacing w:line="360" w:lineRule="auto"/>
              <w:ind w:firstLine="0"/>
              <w:rPr>
                <w:sz w:val="20"/>
                <w:szCs w:val="20"/>
              </w:rPr>
            </w:pPr>
            <w:r>
              <w:rPr>
                <w:sz w:val="20"/>
                <w:szCs w:val="20"/>
              </w:rPr>
              <w:t xml:space="preserve"> </w:t>
            </w:r>
          </w:p>
        </w:tc>
      </w:tr>
      <w:tr w:rsidR="00401741" w14:paraId="05D190B7" w14:textId="77777777">
        <w:trPr>
          <w:trHeight w:val="300"/>
        </w:trPr>
        <w:tc>
          <w:tcPr>
            <w:tcW w:w="4185" w:type="dxa"/>
            <w:tcBorders>
              <w:top w:val="nil"/>
              <w:left w:val="nil"/>
              <w:bottom w:val="nil"/>
              <w:right w:val="nil"/>
            </w:tcBorders>
            <w:tcMar>
              <w:top w:w="0" w:type="dxa"/>
              <w:left w:w="100" w:type="dxa"/>
              <w:bottom w:w="0" w:type="dxa"/>
              <w:right w:w="100" w:type="dxa"/>
            </w:tcMar>
          </w:tcPr>
          <w:p w14:paraId="0E2EC4C3" w14:textId="77777777" w:rsidR="00401741" w:rsidRDefault="00000000">
            <w:pPr>
              <w:spacing w:line="360" w:lineRule="auto"/>
              <w:ind w:firstLine="0"/>
              <w:rPr>
                <w:sz w:val="20"/>
                <w:szCs w:val="20"/>
              </w:rPr>
            </w:pPr>
            <w:r>
              <w:rPr>
                <w:sz w:val="20"/>
                <w:szCs w:val="20"/>
              </w:rPr>
              <w:t>Sacrificing jobs</w:t>
            </w:r>
          </w:p>
        </w:tc>
        <w:tc>
          <w:tcPr>
            <w:tcW w:w="2430" w:type="dxa"/>
            <w:tcBorders>
              <w:top w:val="nil"/>
              <w:left w:val="nil"/>
              <w:bottom w:val="nil"/>
              <w:right w:val="nil"/>
            </w:tcBorders>
            <w:tcMar>
              <w:top w:w="0" w:type="dxa"/>
              <w:left w:w="100" w:type="dxa"/>
              <w:bottom w:w="0" w:type="dxa"/>
              <w:right w:w="100" w:type="dxa"/>
            </w:tcMar>
          </w:tcPr>
          <w:p w14:paraId="333F2A6F"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194BA3A4" w14:textId="77777777" w:rsidR="00401741" w:rsidRDefault="00000000">
            <w:pPr>
              <w:spacing w:line="360" w:lineRule="auto"/>
              <w:ind w:firstLine="0"/>
              <w:rPr>
                <w:sz w:val="20"/>
                <w:szCs w:val="20"/>
              </w:rPr>
            </w:pPr>
            <w:r>
              <w:rPr>
                <w:sz w:val="20"/>
                <w:szCs w:val="20"/>
              </w:rPr>
              <w:t xml:space="preserve"> </w:t>
            </w:r>
          </w:p>
        </w:tc>
      </w:tr>
      <w:tr w:rsidR="00401741" w14:paraId="35455502" w14:textId="77777777">
        <w:trPr>
          <w:trHeight w:val="300"/>
        </w:trPr>
        <w:tc>
          <w:tcPr>
            <w:tcW w:w="4185" w:type="dxa"/>
            <w:tcBorders>
              <w:top w:val="nil"/>
              <w:left w:val="nil"/>
              <w:bottom w:val="nil"/>
              <w:right w:val="nil"/>
            </w:tcBorders>
            <w:tcMar>
              <w:top w:w="0" w:type="dxa"/>
              <w:left w:w="100" w:type="dxa"/>
              <w:bottom w:w="0" w:type="dxa"/>
              <w:right w:w="100" w:type="dxa"/>
            </w:tcMar>
          </w:tcPr>
          <w:p w14:paraId="53A9708E" w14:textId="77777777" w:rsidR="00401741" w:rsidRDefault="00000000">
            <w:pPr>
              <w:spacing w:line="360" w:lineRule="auto"/>
              <w:ind w:firstLine="0"/>
              <w:rPr>
                <w:sz w:val="20"/>
                <w:szCs w:val="20"/>
              </w:rPr>
            </w:pPr>
            <w:r>
              <w:rPr>
                <w:sz w:val="20"/>
                <w:szCs w:val="20"/>
              </w:rPr>
              <w:lastRenderedPageBreak/>
              <w:t>Sacrificing authenticity</w:t>
            </w:r>
          </w:p>
        </w:tc>
        <w:tc>
          <w:tcPr>
            <w:tcW w:w="2430" w:type="dxa"/>
            <w:tcBorders>
              <w:top w:val="nil"/>
              <w:left w:val="nil"/>
              <w:bottom w:val="nil"/>
              <w:right w:val="nil"/>
            </w:tcBorders>
            <w:tcMar>
              <w:top w:w="0" w:type="dxa"/>
              <w:left w:w="100" w:type="dxa"/>
              <w:bottom w:w="0" w:type="dxa"/>
              <w:right w:w="100" w:type="dxa"/>
            </w:tcMar>
          </w:tcPr>
          <w:p w14:paraId="264FDAA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083A45C" w14:textId="77777777" w:rsidR="00401741" w:rsidRDefault="00000000">
            <w:pPr>
              <w:spacing w:line="360" w:lineRule="auto"/>
              <w:ind w:firstLine="0"/>
              <w:rPr>
                <w:sz w:val="20"/>
                <w:szCs w:val="20"/>
              </w:rPr>
            </w:pPr>
            <w:r>
              <w:rPr>
                <w:sz w:val="20"/>
                <w:szCs w:val="20"/>
              </w:rPr>
              <w:t xml:space="preserve"> </w:t>
            </w:r>
          </w:p>
        </w:tc>
      </w:tr>
      <w:tr w:rsidR="00401741" w14:paraId="10605EE4" w14:textId="77777777">
        <w:trPr>
          <w:trHeight w:val="300"/>
        </w:trPr>
        <w:tc>
          <w:tcPr>
            <w:tcW w:w="4185" w:type="dxa"/>
            <w:tcBorders>
              <w:top w:val="nil"/>
              <w:left w:val="nil"/>
              <w:bottom w:val="nil"/>
              <w:right w:val="nil"/>
            </w:tcBorders>
            <w:tcMar>
              <w:top w:w="0" w:type="dxa"/>
              <w:left w:w="100" w:type="dxa"/>
              <w:bottom w:w="0" w:type="dxa"/>
              <w:right w:w="100" w:type="dxa"/>
            </w:tcMar>
          </w:tcPr>
          <w:p w14:paraId="3FDB03AB" w14:textId="77777777" w:rsidR="00401741" w:rsidRDefault="00000000">
            <w:pPr>
              <w:spacing w:line="360" w:lineRule="auto"/>
              <w:ind w:firstLine="0"/>
              <w:rPr>
                <w:sz w:val="20"/>
                <w:szCs w:val="20"/>
              </w:rPr>
            </w:pPr>
            <w:commentRangeStart w:id="174"/>
            <w:r>
              <w:rPr>
                <w:sz w:val="20"/>
                <w:szCs w:val="20"/>
              </w:rPr>
              <w:t>Risking output</w:t>
            </w:r>
            <w:commentRangeEnd w:id="174"/>
            <w:r>
              <w:rPr>
                <w:rStyle w:val="CommentReference"/>
                <w:sz w:val="20"/>
                <w:szCs w:val="20"/>
              </w:rPr>
              <w:commentReference w:id="174"/>
            </w:r>
            <w:r>
              <w:rPr>
                <w:sz w:val="20"/>
                <w:szCs w:val="20"/>
              </w:rPr>
              <w:t xml:space="preserve"> quality</w:t>
            </w:r>
          </w:p>
        </w:tc>
        <w:tc>
          <w:tcPr>
            <w:tcW w:w="2430" w:type="dxa"/>
            <w:tcBorders>
              <w:top w:val="nil"/>
              <w:left w:val="nil"/>
              <w:bottom w:val="nil"/>
              <w:right w:val="nil"/>
            </w:tcBorders>
            <w:tcMar>
              <w:top w:w="0" w:type="dxa"/>
              <w:left w:w="100" w:type="dxa"/>
              <w:bottom w:w="0" w:type="dxa"/>
              <w:right w:w="100" w:type="dxa"/>
            </w:tcMar>
          </w:tcPr>
          <w:p w14:paraId="50289E12" w14:textId="77777777" w:rsidR="00401741" w:rsidRDefault="00000000">
            <w:pPr>
              <w:spacing w:line="360" w:lineRule="auto"/>
              <w:ind w:firstLine="0"/>
              <w:rPr>
                <w:sz w:val="20"/>
                <w:szCs w:val="20"/>
              </w:rPr>
            </w:pPr>
            <w:r>
              <w:rPr>
                <w:sz w:val="20"/>
                <w:szCs w:val="20"/>
              </w:rPr>
              <w:t>Risking</w:t>
            </w:r>
          </w:p>
        </w:tc>
        <w:tc>
          <w:tcPr>
            <w:tcW w:w="2280" w:type="dxa"/>
            <w:tcBorders>
              <w:top w:val="nil"/>
              <w:left w:val="nil"/>
              <w:bottom w:val="nil"/>
              <w:right w:val="nil"/>
            </w:tcBorders>
            <w:tcMar>
              <w:top w:w="0" w:type="dxa"/>
              <w:left w:w="100" w:type="dxa"/>
              <w:bottom w:w="0" w:type="dxa"/>
              <w:right w:w="100" w:type="dxa"/>
            </w:tcMar>
          </w:tcPr>
          <w:p w14:paraId="41450868" w14:textId="77777777" w:rsidR="00401741" w:rsidRDefault="00000000">
            <w:pPr>
              <w:spacing w:line="360" w:lineRule="auto"/>
              <w:ind w:firstLine="0"/>
              <w:rPr>
                <w:sz w:val="20"/>
                <w:szCs w:val="20"/>
              </w:rPr>
            </w:pPr>
            <w:r>
              <w:rPr>
                <w:sz w:val="20"/>
                <w:szCs w:val="20"/>
              </w:rPr>
              <w:t xml:space="preserve"> </w:t>
            </w:r>
          </w:p>
        </w:tc>
      </w:tr>
      <w:tr w:rsidR="00401741" w14:paraId="708E6B4C" w14:textId="77777777">
        <w:trPr>
          <w:trHeight w:val="300"/>
        </w:trPr>
        <w:tc>
          <w:tcPr>
            <w:tcW w:w="4185" w:type="dxa"/>
            <w:tcBorders>
              <w:top w:val="nil"/>
              <w:left w:val="nil"/>
              <w:bottom w:val="nil"/>
              <w:right w:val="nil"/>
            </w:tcBorders>
            <w:tcMar>
              <w:top w:w="0" w:type="dxa"/>
              <w:left w:w="100" w:type="dxa"/>
              <w:bottom w:w="0" w:type="dxa"/>
              <w:right w:w="100" w:type="dxa"/>
            </w:tcMar>
          </w:tcPr>
          <w:p w14:paraId="5C2513E3" w14:textId="77777777" w:rsidR="00401741" w:rsidRDefault="00000000">
            <w:pPr>
              <w:spacing w:line="360" w:lineRule="auto"/>
              <w:ind w:firstLine="0"/>
              <w:rPr>
                <w:sz w:val="20"/>
                <w:szCs w:val="20"/>
              </w:rPr>
            </w:pPr>
            <w:r>
              <w:rPr>
                <w:sz w:val="20"/>
                <w:szCs w:val="20"/>
              </w:rPr>
              <w:t>Risking security &amp; privacy violations</w:t>
            </w:r>
          </w:p>
        </w:tc>
        <w:tc>
          <w:tcPr>
            <w:tcW w:w="2430" w:type="dxa"/>
            <w:tcBorders>
              <w:top w:val="nil"/>
              <w:left w:val="nil"/>
              <w:bottom w:val="nil"/>
              <w:right w:val="nil"/>
            </w:tcBorders>
            <w:tcMar>
              <w:top w:w="0" w:type="dxa"/>
              <w:left w:w="100" w:type="dxa"/>
              <w:bottom w:w="0" w:type="dxa"/>
              <w:right w:w="100" w:type="dxa"/>
            </w:tcMar>
          </w:tcPr>
          <w:p w14:paraId="1578DB1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87A8D5F" w14:textId="77777777" w:rsidR="00401741" w:rsidRDefault="00000000">
            <w:pPr>
              <w:spacing w:line="360" w:lineRule="auto"/>
              <w:ind w:firstLine="0"/>
              <w:rPr>
                <w:sz w:val="20"/>
                <w:szCs w:val="20"/>
              </w:rPr>
            </w:pPr>
            <w:r>
              <w:rPr>
                <w:sz w:val="20"/>
                <w:szCs w:val="20"/>
              </w:rPr>
              <w:t xml:space="preserve"> </w:t>
            </w:r>
          </w:p>
        </w:tc>
      </w:tr>
      <w:tr w:rsidR="00401741" w14:paraId="655083B3" w14:textId="77777777">
        <w:trPr>
          <w:trHeight w:val="255"/>
        </w:trPr>
        <w:tc>
          <w:tcPr>
            <w:tcW w:w="4185" w:type="dxa"/>
            <w:tcBorders>
              <w:top w:val="nil"/>
              <w:left w:val="nil"/>
              <w:bottom w:val="nil"/>
              <w:right w:val="nil"/>
            </w:tcBorders>
            <w:tcMar>
              <w:top w:w="0" w:type="dxa"/>
              <w:left w:w="100" w:type="dxa"/>
              <w:bottom w:w="0" w:type="dxa"/>
              <w:right w:w="100" w:type="dxa"/>
            </w:tcMar>
          </w:tcPr>
          <w:p w14:paraId="22B73121" w14:textId="77777777" w:rsidR="00401741" w:rsidRDefault="00000000">
            <w:pPr>
              <w:spacing w:line="360" w:lineRule="auto"/>
              <w:ind w:firstLine="0"/>
              <w:rPr>
                <w:sz w:val="20"/>
                <w:szCs w:val="20"/>
              </w:rPr>
            </w:pPr>
            <w:r>
              <w:rPr>
                <w:sz w:val="20"/>
                <w:szCs w:val="20"/>
              </w:rPr>
              <w:t>Observing AIs improvement &amp; potential</w:t>
            </w:r>
          </w:p>
        </w:tc>
        <w:tc>
          <w:tcPr>
            <w:tcW w:w="2430" w:type="dxa"/>
            <w:tcBorders>
              <w:top w:val="nil"/>
              <w:left w:val="nil"/>
              <w:bottom w:val="nil"/>
              <w:right w:val="nil"/>
            </w:tcBorders>
            <w:tcMar>
              <w:top w:w="0" w:type="dxa"/>
              <w:left w:w="100" w:type="dxa"/>
              <w:bottom w:w="0" w:type="dxa"/>
              <w:right w:w="100" w:type="dxa"/>
            </w:tcMar>
          </w:tcPr>
          <w:p w14:paraId="68E495D4" w14:textId="77777777" w:rsidR="00401741" w:rsidRDefault="00000000">
            <w:pPr>
              <w:spacing w:line="360" w:lineRule="auto"/>
              <w:ind w:firstLine="0"/>
              <w:rPr>
                <w:sz w:val="20"/>
                <w:szCs w:val="20"/>
              </w:rPr>
            </w:pPr>
            <w:r>
              <w:rPr>
                <w:sz w:val="20"/>
                <w:szCs w:val="20"/>
              </w:rPr>
              <w:t>Observing progression</w:t>
            </w:r>
          </w:p>
        </w:tc>
        <w:tc>
          <w:tcPr>
            <w:tcW w:w="2280" w:type="dxa"/>
            <w:vMerge w:val="restart"/>
            <w:tcBorders>
              <w:top w:val="nil"/>
              <w:left w:val="nil"/>
              <w:bottom w:val="nil"/>
              <w:right w:val="nil"/>
            </w:tcBorders>
            <w:tcMar>
              <w:top w:w="0" w:type="dxa"/>
              <w:left w:w="100" w:type="dxa"/>
              <w:bottom w:w="0" w:type="dxa"/>
              <w:right w:w="100" w:type="dxa"/>
            </w:tcMar>
          </w:tcPr>
          <w:p w14:paraId="2454D3DD" w14:textId="77777777" w:rsidR="00401741" w:rsidRDefault="00000000">
            <w:pPr>
              <w:spacing w:line="360" w:lineRule="auto"/>
              <w:ind w:firstLine="0"/>
              <w:rPr>
                <w:sz w:val="20"/>
                <w:szCs w:val="20"/>
              </w:rPr>
            </w:pPr>
            <w:r>
              <w:rPr>
                <w:sz w:val="20"/>
                <w:szCs w:val="20"/>
              </w:rPr>
              <w:t>Observing</w:t>
            </w:r>
          </w:p>
        </w:tc>
      </w:tr>
      <w:tr w:rsidR="00401741" w14:paraId="41382EC5" w14:textId="77777777">
        <w:trPr>
          <w:trHeight w:val="306"/>
        </w:trPr>
        <w:tc>
          <w:tcPr>
            <w:tcW w:w="4185" w:type="dxa"/>
            <w:tcBorders>
              <w:top w:val="nil"/>
              <w:left w:val="nil"/>
              <w:bottom w:val="nil"/>
              <w:right w:val="nil"/>
            </w:tcBorders>
            <w:tcMar>
              <w:top w:w="0" w:type="dxa"/>
              <w:left w:w="100" w:type="dxa"/>
              <w:bottom w:w="0" w:type="dxa"/>
              <w:right w:w="100" w:type="dxa"/>
            </w:tcMar>
          </w:tcPr>
          <w:p w14:paraId="5CD94FA1" w14:textId="77777777" w:rsidR="00401741" w:rsidRDefault="00000000">
            <w:pPr>
              <w:spacing w:line="360" w:lineRule="auto"/>
              <w:ind w:firstLine="0"/>
              <w:rPr>
                <w:sz w:val="20"/>
                <w:szCs w:val="20"/>
              </w:rPr>
            </w:pPr>
            <w:r>
              <w:rPr>
                <w:sz w:val="20"/>
                <w:szCs w:val="20"/>
              </w:rPr>
              <w:t>Observing changing consumer behavior</w:t>
            </w:r>
          </w:p>
        </w:tc>
        <w:tc>
          <w:tcPr>
            <w:tcW w:w="2430" w:type="dxa"/>
            <w:tcBorders>
              <w:top w:val="nil"/>
              <w:left w:val="nil"/>
              <w:bottom w:val="nil"/>
              <w:right w:val="nil"/>
            </w:tcBorders>
            <w:tcMar>
              <w:top w:w="0" w:type="dxa"/>
              <w:left w:w="100" w:type="dxa"/>
              <w:bottom w:w="0" w:type="dxa"/>
              <w:right w:w="100" w:type="dxa"/>
            </w:tcMar>
          </w:tcPr>
          <w:p w14:paraId="17D0B905"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D56AD03" w14:textId="77777777" w:rsidR="00401741" w:rsidRDefault="00401741">
            <w:pPr>
              <w:spacing w:line="240" w:lineRule="auto"/>
              <w:ind w:firstLine="0"/>
              <w:rPr>
                <w:sz w:val="20"/>
                <w:szCs w:val="20"/>
              </w:rPr>
            </w:pPr>
          </w:p>
        </w:tc>
      </w:tr>
      <w:tr w:rsidR="00401741" w14:paraId="09514D8C" w14:textId="77777777">
        <w:trPr>
          <w:trHeight w:val="255"/>
        </w:trPr>
        <w:tc>
          <w:tcPr>
            <w:tcW w:w="4185" w:type="dxa"/>
            <w:tcBorders>
              <w:top w:val="nil"/>
              <w:left w:val="nil"/>
              <w:bottom w:val="nil"/>
              <w:right w:val="nil"/>
            </w:tcBorders>
            <w:tcMar>
              <w:top w:w="0" w:type="dxa"/>
              <w:left w:w="100" w:type="dxa"/>
              <w:bottom w:w="0" w:type="dxa"/>
              <w:right w:w="100" w:type="dxa"/>
            </w:tcMar>
          </w:tcPr>
          <w:p w14:paraId="23671DE0" w14:textId="77777777" w:rsidR="00401741" w:rsidRDefault="00000000">
            <w:pPr>
              <w:spacing w:line="360" w:lineRule="auto"/>
              <w:ind w:firstLine="0"/>
              <w:rPr>
                <w:sz w:val="20"/>
                <w:szCs w:val="20"/>
              </w:rPr>
            </w:pPr>
            <w:r>
              <w:rPr>
                <w:sz w:val="20"/>
                <w:szCs w:val="20"/>
              </w:rPr>
              <w:t>Observing vendor offerings</w:t>
            </w:r>
          </w:p>
        </w:tc>
        <w:tc>
          <w:tcPr>
            <w:tcW w:w="2430" w:type="dxa"/>
            <w:tcBorders>
              <w:top w:val="nil"/>
              <w:left w:val="nil"/>
              <w:bottom w:val="nil"/>
              <w:right w:val="nil"/>
            </w:tcBorders>
            <w:tcMar>
              <w:top w:w="0" w:type="dxa"/>
              <w:left w:w="100" w:type="dxa"/>
              <w:bottom w:w="0" w:type="dxa"/>
              <w:right w:w="100" w:type="dxa"/>
            </w:tcMar>
          </w:tcPr>
          <w:p w14:paraId="45F1D9D7"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6A3EE12C" w14:textId="77777777" w:rsidR="00401741" w:rsidRDefault="00401741">
            <w:pPr>
              <w:spacing w:line="360" w:lineRule="auto"/>
              <w:ind w:firstLine="0"/>
              <w:rPr>
                <w:sz w:val="20"/>
                <w:szCs w:val="20"/>
              </w:rPr>
            </w:pPr>
          </w:p>
        </w:tc>
      </w:tr>
      <w:tr w:rsidR="00401741" w14:paraId="0EEB5B40" w14:textId="77777777">
        <w:trPr>
          <w:trHeight w:val="600"/>
        </w:trPr>
        <w:tc>
          <w:tcPr>
            <w:tcW w:w="4185" w:type="dxa"/>
            <w:tcBorders>
              <w:left w:val="nil"/>
              <w:bottom w:val="single" w:sz="8" w:space="0" w:color="000000"/>
              <w:right w:val="nil"/>
            </w:tcBorders>
            <w:tcMar>
              <w:top w:w="0" w:type="dxa"/>
              <w:left w:w="100" w:type="dxa"/>
              <w:bottom w:w="0" w:type="dxa"/>
              <w:right w:w="100" w:type="dxa"/>
            </w:tcMar>
          </w:tcPr>
          <w:p w14:paraId="0F18B14E" w14:textId="77777777" w:rsidR="00401741" w:rsidRDefault="00000000">
            <w:pPr>
              <w:spacing w:line="360" w:lineRule="auto"/>
              <w:ind w:firstLine="0"/>
              <w:rPr>
                <w:sz w:val="20"/>
                <w:szCs w:val="20"/>
              </w:rPr>
            </w:pPr>
            <w:r>
              <w:rPr>
                <w:sz w:val="20"/>
                <w:szCs w:val="20"/>
              </w:rPr>
              <w:t>Experiencing pressure to adopt</w:t>
            </w:r>
          </w:p>
        </w:tc>
        <w:tc>
          <w:tcPr>
            <w:tcW w:w="2430" w:type="dxa"/>
            <w:tcBorders>
              <w:top w:val="nil"/>
              <w:left w:val="nil"/>
              <w:bottom w:val="single" w:sz="8" w:space="0" w:color="000000"/>
              <w:right w:val="nil"/>
            </w:tcBorders>
            <w:tcMar>
              <w:top w:w="0" w:type="dxa"/>
              <w:left w:w="100" w:type="dxa"/>
              <w:bottom w:w="0" w:type="dxa"/>
              <w:right w:w="100" w:type="dxa"/>
            </w:tcMar>
          </w:tcPr>
          <w:p w14:paraId="4156AEB7" w14:textId="77777777" w:rsidR="00401741" w:rsidRDefault="00000000">
            <w:pPr>
              <w:spacing w:line="360" w:lineRule="auto"/>
              <w:ind w:firstLine="0"/>
              <w:rPr>
                <w:sz w:val="20"/>
                <w:szCs w:val="20"/>
              </w:rPr>
            </w:pPr>
            <w:r>
              <w:rPr>
                <w:sz w:val="20"/>
                <w:szCs w:val="20"/>
              </w:rPr>
              <w:t>Experiencing pressure to adopt</w:t>
            </w:r>
          </w:p>
        </w:tc>
        <w:tc>
          <w:tcPr>
            <w:tcW w:w="2280" w:type="dxa"/>
            <w:tcBorders>
              <w:top w:val="nil"/>
              <w:left w:val="nil"/>
              <w:bottom w:val="single" w:sz="8" w:space="0" w:color="000000"/>
              <w:right w:val="nil"/>
            </w:tcBorders>
            <w:tcMar>
              <w:top w:w="0" w:type="dxa"/>
              <w:left w:w="100" w:type="dxa"/>
              <w:bottom w:w="0" w:type="dxa"/>
              <w:right w:w="100" w:type="dxa"/>
            </w:tcMar>
          </w:tcPr>
          <w:p w14:paraId="357970DB" w14:textId="77777777" w:rsidR="00401741" w:rsidRDefault="00000000">
            <w:pPr>
              <w:spacing w:line="360" w:lineRule="auto"/>
              <w:ind w:firstLine="0"/>
              <w:rPr>
                <w:sz w:val="20"/>
                <w:szCs w:val="20"/>
              </w:rPr>
            </w:pPr>
            <w:r>
              <w:rPr>
                <w:sz w:val="20"/>
                <w:szCs w:val="20"/>
              </w:rPr>
              <w:t xml:space="preserve"> </w:t>
            </w:r>
          </w:p>
        </w:tc>
      </w:tr>
    </w:tbl>
    <w:p w14:paraId="761869FB" w14:textId="77777777" w:rsidR="00401741" w:rsidRDefault="00000000">
      <w:pPr>
        <w:spacing w:after="200"/>
        <w:ind w:firstLine="0"/>
      </w:pPr>
      <w:r>
        <w:t xml:space="preserve"> </w:t>
      </w: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Default="00000000">
      <w:pPr>
        <w:pStyle w:val="Heading2"/>
        <w:rPr>
          <w:b w:val="0"/>
          <w:bCs w:val="0"/>
          <w:i/>
          <w:iCs/>
        </w:rPr>
      </w:pPr>
      <w:bookmarkStart w:id="175" w:name="_2wlwvpj75lya" w:colFirst="0" w:colLast="0"/>
      <w:bookmarkEnd w:id="175"/>
      <w:r>
        <w:rPr>
          <w:b w:val="0"/>
          <w:bCs w:val="0"/>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76" w:name="_k7eypdjcmoyh" w:colFirst="0" w:colLast="0"/>
      <w:bookmarkEnd w:id="176"/>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77" w:name="_cel1ujnps8" w:colFirst="0" w:colLast="0"/>
      <w:bookmarkEnd w:id="177"/>
      <w:r>
        <w:t>4.1.1</w:t>
      </w:r>
      <w:r w:rsidR="009267BF">
        <w:tab/>
      </w:r>
      <w:r>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78"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79" w:name="_7alih1d45osl" w:colFirst="0" w:colLast="0"/>
      <w:bookmarkEnd w:id="179"/>
      <w:r>
        <w:t>4.1.2</w:t>
      </w:r>
      <w:r w:rsidR="009267BF">
        <w:tab/>
      </w:r>
      <w:r>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80"/>
      <w:r>
        <w:t xml:space="preserve">"to get to parity in the present with what they're saying they can do", </w:t>
      </w:r>
      <w:commentRangeEnd w:id="180"/>
      <w:r>
        <w:rPr>
          <w:rStyle w:val="CommentReference"/>
          <w:sz w:val="22"/>
          <w:szCs w:val="22"/>
        </w:rPr>
        <w:commentReference w:id="180"/>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81" w:name="_hvgdgrm8c1y2" w:colFirst="0" w:colLast="0"/>
      <w:bookmarkEnd w:id="181"/>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82"/>
      <w:r>
        <w:t>this seems to be mostly present amongst those who have little ambition to be leading in the domain of AI</w:t>
      </w:r>
      <w:commentRangeEnd w:id="182"/>
      <w:r>
        <w:rPr>
          <w:rStyle w:val="CommentReference"/>
          <w:sz w:val="22"/>
          <w:szCs w:val="22"/>
        </w:rPr>
        <w:commentReference w:id="182"/>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77777777" w:rsidR="00401741" w:rsidRDefault="00000000">
      <w:pPr>
        <w:pStyle w:val="Heading2"/>
        <w:rPr>
          <w:color w:val="000000"/>
        </w:rPr>
      </w:pPr>
      <w:bookmarkStart w:id="183" w:name="_kdh3jovkecpb" w:colFirst="0" w:colLast="0"/>
      <w:bookmarkEnd w:id="183"/>
      <w:commentRangeStart w:id="184"/>
      <w:r>
        <w:rPr>
          <w:color w:val="000000"/>
        </w:rPr>
        <w:t>4.2</w:t>
      </w:r>
      <w:r>
        <w:rPr>
          <w:color w:val="000000"/>
        </w:rPr>
        <w:tab/>
        <w:t>Creating the context for effective change</w:t>
      </w:r>
      <w:commentRangeEnd w:id="184"/>
      <w:r>
        <w:rPr>
          <w:rStyle w:val="CommentReference"/>
          <w:color w:val="000000"/>
          <w:sz w:val="22"/>
          <w:szCs w:val="22"/>
        </w:rPr>
        <w:commentReference w:id="184"/>
      </w:r>
    </w:p>
    <w:p w14:paraId="506C3DFF" w14:textId="77777777" w:rsidR="009267BF" w:rsidRDefault="00000000">
      <w:r>
        <w:rPr>
          <w:i/>
          <w:iCs/>
        </w:rPr>
        <w:t>Internal conditions</w:t>
      </w:r>
      <w:r>
        <w:t xml:space="preserve"> describe a set of conditions within the organization of focus. These conditions can be critical for the organization's ability to implement, use, or create value using agentic AI. Three interlocking themes recur throughout the data:</w:t>
      </w:r>
      <w:r w:rsidR="009267BF">
        <w:t xml:space="preserve"> (1)</w:t>
      </w:r>
      <w:r>
        <w:t xml:space="preserve"> the capacity to change</w:t>
      </w:r>
      <w:r w:rsidR="009267BF">
        <w:t>, which includes</w:t>
      </w:r>
      <w:r>
        <w:t xml:space="preserve"> </w:t>
      </w:r>
      <w:r w:rsidR="009267BF">
        <w:t xml:space="preserve">elements like the available </w:t>
      </w:r>
      <w:r>
        <w:t xml:space="preserve">knowledge, culture, and organizational agility; </w:t>
      </w:r>
      <w:r w:rsidR="009267BF">
        <w:t xml:space="preserve">(2) </w:t>
      </w:r>
      <w:r>
        <w:t xml:space="preserve">the availability of enabling resources such as data infrastructure and technical tools; and </w:t>
      </w:r>
      <w:r w:rsidR="009267BF">
        <w:t xml:space="preserve">(3) </w:t>
      </w:r>
      <w:r>
        <w:t xml:space="preserve">the quality of leadership and governance. </w:t>
      </w:r>
    </w:p>
    <w:p w14:paraId="05C933DA" w14:textId="77777777" w:rsidR="008632C5" w:rsidRDefault="008632C5" w:rsidP="00326636">
      <w:pPr>
        <w:rPr>
          <w:i/>
          <w:iCs/>
        </w:rPr>
      </w:pPr>
      <w:r w:rsidRPr="008632C5">
        <w:t>Managers respond to internal conditions in three distinct ways. Leveraging is the use of a favorable condition to amplify the organization's ability to adopt and create value with agentic AI. Navigating is adapting the way agentic AI is adopted to fit the existing constraints, typically (though not necessarily) accepting them as given. Reshaping is actively working to change the condition itself. A notable pattern in the research was that managers defaulted to navigation: unfavorable conditions were largely treated as fixed features of the environment to be worked around, rather than as variables open to active redesign.</w:t>
      </w:r>
    </w:p>
    <w:p w14:paraId="41C75068" w14:textId="1411B13D" w:rsidR="00401741" w:rsidRPr="00652B3F" w:rsidRDefault="00000000" w:rsidP="00611F20">
      <w:pPr>
        <w:pStyle w:val="Heading3"/>
      </w:pPr>
      <w:r w:rsidRPr="00652B3F">
        <w:t>4.2.1</w:t>
      </w:r>
      <w:r w:rsidRPr="00652B3F">
        <w:tab/>
        <w:t>Capacity to change</w:t>
      </w:r>
    </w:p>
    <w:p w14:paraId="16647A14" w14:textId="77777777" w:rsidR="00401741" w:rsidRDefault="00000000">
      <w:r>
        <w:t>The most consistently identified barrier to adopting agentic AI is not technical but organizational: the capacity to change. This encompasses the level of AI understanding within the organization, employees’ openness to new ways of working, and the organizational ability to act quickly under uncertainty.</w:t>
      </w:r>
    </w:p>
    <w:p w14:paraId="27AC1201" w14:textId="77777777" w:rsidR="00401741" w:rsidRDefault="00000000">
      <w:r>
        <w:t>Resistance emerged as the dominant theme across the data (28 code applications, 14 documents). Interviewee 12 described organizational change as inherently difficult:</w:t>
      </w:r>
    </w:p>
    <w:p w14:paraId="0F3B87CF" w14:textId="77777777" w:rsidR="00401741" w:rsidRDefault="00000000">
      <w:pPr>
        <w:ind w:left="720"/>
      </w:pPr>
      <w:r>
        <w:t>“Change is frigging hard. It’s hard for us as individuals. Generally speaking, individuals don’t like to change, particularly if they’ve been doing something a certain way, and it works well.”</w:t>
      </w:r>
    </w:p>
    <w:p w14:paraId="79D5C2B3" w14:textId="77777777" w:rsidR="00401741" w:rsidRDefault="00000000">
      <w:r>
        <w:lastRenderedPageBreak/>
        <w:t>This resistance intensifies at the organizational level. Interviewee 12 continued:</w:t>
      </w:r>
    </w:p>
    <w:p w14:paraId="189B3734" w14:textId="77777777" w:rsidR="00401741" w:rsidRDefault="00000000">
      <w:pPr>
        <w:ind w:left="720"/>
      </w:pPr>
      <w:r>
        <w:t>“That challenge gets multiplied when you start talking about an organization … you’ve got all multiple people, you’ve got politics, existing incentives, existing processes.”</w:t>
      </w:r>
    </w:p>
    <w:p w14:paraId="15A18834" w14:textId="77777777" w:rsidR="00401741" w:rsidRDefault="00000000">
      <w:r>
        <w:t>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inability to think in systems — to see how data, tools, and processes interact — was identified as a recurring constraint across organizations.</w:t>
      </w:r>
    </w:p>
    <w:p w14:paraId="70F30336" w14:textId="77777777" w:rsidR="00401741" w:rsidRDefault="00000000">
      <w:r>
        <w:t>A related challenge is the tendency toward analysis paralysis. Interviewee 12 was direct: “You have to act. You can’t just be in a mode of studying this or writing memos about it, or thinking about planning about it.” Interviewee 4 observed a similar dynamic: “We spend so much time debating which shot we have to take that that is already some cost.”</w:t>
      </w:r>
    </w:p>
    <w:p w14:paraId="0F4BADC4" w14:textId="77777777" w:rsidR="00FB1D74" w:rsidRDefault="00000000">
      <w:ins w:id="185" w:author="Claude" w:date="2026-06-01T00:00:00Z">
        <w:r>
          <w:rPr>
            <w:i/>
          </w:rPr>
          <w:t>Experimenting with AI</w:t>
        </w:r>
        <w:r>
          <w:t xml:space="preserve"> refers to running small-scale trials of agentic tools and workflows to generate practical knowledge and build organizational confidence. </w:t>
        </w:r>
        <w:r>
          <w:rPr>
            <w:i/>
          </w:rPr>
          <w:t>Educating and training</w:t>
        </w:r>
        <w:r>
          <w:t xml:space="preserve"> refers to the deliberate effort to raise AI literacy and capability across the organization.</w:t>
        </w:r>
      </w:ins>
    </w:p>
    <w:p w14:paraId="35CF2408" w14:textId="77777777" w:rsidR="00401741" w:rsidRDefault="00000000">
      <w:r>
        <w:t>In response to these barriers, the data shows that experimenting with AI (37 code applications, 17 documents) and educating and training (28 code applications, 14 documents) are the two dominant mechanisms through which managers build organizational capacity to change.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Interviewee 13 described enabling this at the team level: “Provide freedom to experiment and don’t set this atmosphere of fear that AI is going to replace you.”</w:t>
      </w:r>
    </w:p>
    <w:p w14:paraId="66A612A8" w14:textId="77777777" w:rsidR="00401741" w:rsidRDefault="00000000">
      <w:r>
        <w:lastRenderedPageBreak/>
        <w:t>However, education alone is insufficient to sustain change. Interviewee 17 observed a common pattern encountered in her training work: “After two or three trainings companies basically stop, because then they go back to what they started with.” Sustained capacity-building requires not just initial education but ongoing structural embedding of learning.</w:t>
      </w:r>
    </w:p>
    <w:p w14:paraId="423C8265" w14:textId="74313AF6" w:rsidR="00401741" w:rsidRPr="00591258" w:rsidRDefault="00000000" w:rsidP="00591258">
      <w:pPr>
        <w:pStyle w:val="Heading3"/>
        <w:rPr>
          <w:color w:val="24292E"/>
        </w:rPr>
      </w:pPr>
      <w:bookmarkStart w:id="186" w:name="_xw6d9a4ef7wu" w:colFirst="0" w:colLast="0"/>
      <w:bookmarkEnd w:id="186"/>
      <w:r>
        <w:rPr>
          <w:color w:val="24292E"/>
        </w:rPr>
        <w:t>4.2.2</w:t>
      </w:r>
      <w:r>
        <w:rPr>
          <w:color w:val="24292E"/>
        </w:rPr>
        <w:tab/>
        <w:t>Available resources</w:t>
      </w:r>
    </w:p>
    <w:p w14:paraId="26633136" w14:textId="77777777" w:rsidR="00401741" w:rsidRDefault="00000000">
      <w:r>
        <w:t>A second cluster of internal conditions concerns the availability of enabling resources: the data, tools, and technical infrastructure that make AI implementation feasible. Having data and tools available and accessible emerged as a critical enabler (21 code applications, 12 documents), while lacking solid data infrastructure was a significant barrier (8 code applications, 6 documents).</w:t>
      </w:r>
    </w:p>
    <w:p w14:paraId="4663BA43" w14:textId="77777777" w:rsidR="00401741" w:rsidRDefault="00000000">
      <w:r>
        <w:t>Data infrastructure emerged as the foundational prerequisite. Interviewee 2 described his organization’s situation plainly: “The infrastructure is not yet in place, and the work on it is really big.” He elaborated that this is not a failure of will but of competing priorities: every improvement to the underlying data platform competes for attention with immediate operational demands. Without a robust and accessible data layer, AI systems cannot be reliably built or deployed.</w:t>
      </w:r>
    </w:p>
    <w:p w14:paraId="7AED676A" w14:textId="77777777" w:rsidR="00401741" w:rsidRDefault="00000000">
      <w:r>
        <w:t>A deeper resource constraint is the absence of systems thinking — the ability to understand how data flows connect across tools, departments, and processes. Interviewee 13 described this as the root cause behind many apparent AI failures:</w:t>
      </w:r>
    </w:p>
    <w:p w14:paraId="00A54DDD" w14:textId="77777777" w:rsidR="00401741" w:rsidRDefault="00000000">
      <w:pPr>
        <w:ind w:left="720"/>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60A8D09B" w14:textId="77777777" w:rsidR="00401741" w:rsidRDefault="00000000">
      <w:r>
        <w:t xml:space="preserve">The problem is not data access per se, but the analytical capacity to know what data is needed, in what form, and for what purpose. Interviewee 1 noted that this type of deep process </w:t>
      </w:r>
      <w:r>
        <w:lastRenderedPageBreak/>
        <w:t>knowledge — a feel for system logic — is precisely what is hardest to augment with AI, because it requires a level of structured thinking that many teams have not yet developed.</w:t>
      </w:r>
    </w:p>
    <w:p w14:paraId="4757A26D" w14:textId="77777777" w:rsidR="00401741" w:rsidRDefault="00000000">
      <w:r>
        <w:t>Where these foundational resources are available, they become powerful enablers. Interviewee 4 described his own setup: “I connected an MCP to their Google Analytics and Google Search Console. So I have direct access to that data source in my cloud, and I can run cron jobs and have an agent run reports.” Interviewee 5 similarly observed that once the back-end infrastructure is in place, rapid experimentation becomes possible: “The back-end stuff needs to be extremely robust, and then … you can really build quickly.” Both cases illustrate how data access and tool availability translate directly into the ability to deploy agentic workflows.</w:t>
      </w:r>
    </w:p>
    <w:p w14:paraId="07FF05EB" w14:textId="77777777" w:rsidR="00401741" w:rsidRDefault="00000000">
      <w:r>
        <w:t>Budget appeared as a secondary resource constraint (2 code applications). Interviewee 9 captured the tension: “The passion is there, the need is there, the want is there, the brains are there. It’s time, money, and resources.” While budget is not the primary barrier in the data, it becomes a bottleneck when resource availability determines whether AI initiatives can scale from pilot to production.</w:t>
      </w:r>
    </w:p>
    <w:p w14:paraId="5D92C570" w14:textId="77777777" w:rsidR="00401741" w:rsidRDefault="00000000">
      <w:pPr>
        <w:pStyle w:val="Heading3"/>
      </w:pPr>
      <w:bookmarkStart w:id="187" w:name="_qy9fnmmddxdy" w:colFirst="0" w:colLast="0"/>
      <w:bookmarkEnd w:id="187"/>
      <w:r>
        <w:t>4.2.3</w:t>
      </w:r>
      <w:r>
        <w:tab/>
        <w:t>Leadership &amp; Governance</w:t>
      </w:r>
    </w:p>
    <w:p w14:paraId="62AD34F3" w14:textId="77777777" w:rsidR="00401741" w:rsidRDefault="00401741"/>
    <w:p w14:paraId="29D53142" w14:textId="77777777" w:rsidR="00401741" w:rsidRDefault="00000000">
      <w:r>
        <w:t>The third cluster of internal conditions concerns leadership and governance — the organizational structures and behaviors that either enable or impede AI adoption. The data surfaces three related dynamics: the role of individual AI champions, the importance of leadership backing, and the friction created by bureaucratic governance.</w:t>
      </w:r>
    </w:p>
    <w:p w14:paraId="72CF88CA" w14:textId="77777777" w:rsidR="00401741" w:rsidRDefault="00000000">
      <w:r>
        <w:t>Individual AI champions emerged as a disproportionately influential factor (5 code applications but high narrative weight across the corpus). An AI champion is a person who, often without formal mandate, drives AI initiatives forward through personal initiative, visible results, and internal advocacy. Interviewee 9 described a vivid example from her organization:</w:t>
      </w:r>
    </w:p>
    <w:p w14:paraId="1EBFA917" w14:textId="77777777" w:rsidR="00401741" w:rsidRDefault="00000000">
      <w:pPr>
        <w:ind w:left="720"/>
      </w:pPr>
      <w:r>
        <w:lastRenderedPageBreak/>
        <w:t>“Affinity Hub was created originally by … our global creative director that dabbles in dev, and he created it, and it’s like blown up, and so now there’s millions of dollars of funding.”</w:t>
      </w:r>
    </w:p>
    <w:p w14:paraId="39C6AD00" w14:textId="77777777" w:rsidR="00401741" w:rsidRDefault="00000000">
      <w:r>
        <w:t>A single individual’s initiative, when it produces visible results, can unlock significant organizational investment. Interviewee 6 embodied this champion role in her own organization — consistently pushing AI initiatives forward, absorbing resistance, and creating space for others to experiment.</w:t>
      </w:r>
    </w:p>
    <w:p w14:paraId="15E7A415" w14:textId="77777777" w:rsidR="00401741" w:rsidRDefault="00000000">
      <w:r>
        <w:t>Leadership backing amplifies the champion effect (14 code applications, 10 documents). Without visible endorsement from leadership, AI initiatives tend to stall at the pilot stage. Interviewee 4 noted that the current moment requires leaders to help employees make sense of change: “People are drinking from a fire hose. They need to have that leadership that tells them their importance, they’re part of the team, and their work matters.” Interviewee 17 identified three conditions that must align for AI adoption to succeed: “Leadership wants us to work with AI. But can employees do that too? Do they do it and do they want to? Those are basically three things. And when those three things align with each other, you get a fantastic AI implementation.”</w:t>
      </w:r>
    </w:p>
    <w:p w14:paraId="6555E442" w14:textId="77777777" w:rsidR="00FB1D74" w:rsidRDefault="00000000">
      <w:ins w:id="188" w:author="Claude" w:date="2026-06-01T00:00:00Z">
        <w:r>
          <w:rPr>
            <w:i/>
          </w:rPr>
          <w:t>Bringing people along</w:t>
        </w:r>
        <w:r>
          <w:t xml:space="preserve"> refers to the managerial process of building alignment, managing resistance, and developing shared commitment to AI adoption within the organization.</w:t>
        </w:r>
      </w:ins>
    </w:p>
    <w:p w14:paraId="728E6D40" w14:textId="77777777" w:rsidR="00401741" w:rsidRDefault="00000000">
      <w:r>
        <w:t>The process of bringing people along — change management at the team and organizational level — was one of the most richly coded themes in this block (24 code applications, 13 documents). Interviewee 6 captured the essential managerial move: “This is the vision. This is where we’re going. Help me get there.” Interviewee 13 described a practical approach: using lighthouse projects as demonstration cases that make the value of AI tangible to skeptical colleagues. “Show them the first one that can be automated or made a lot quicker … then, well, then often they understand much better what the use cases would be.”</w:t>
      </w:r>
    </w:p>
    <w:p w14:paraId="5D023638" w14:textId="77777777" w:rsidR="00401741" w:rsidRDefault="00000000">
      <w:r>
        <w:lastRenderedPageBreak/>
        <w:t>Alongside these enabling behaviors, bureaucratic governance emerged as a significant opposing force (21 code applications, 13 documents). Governance friction appeared in several forms: IT security and procurement processes slowing deployment, legal and compliance concerns blocking tool use, and organizational politics preventing experimentation. Interviewee 13 observed a pattern in large enterprises:</w:t>
      </w:r>
    </w:p>
    <w:p w14:paraId="38E6F9DB" w14:textId="77777777" w:rsidR="00401741" w:rsidRDefault="00000000">
      <w:pPr>
        <w:ind w:left="720"/>
      </w:pPr>
      <w:r>
        <w:t>“They are not allowed to use agentic AI a lot … there’s this weird distinction people make. It’s totally fine to buy any kind of tool you don’t know anything about and put it into the system. But agentic AI? That’s completely out of range.”</w:t>
      </w:r>
    </w:p>
    <w:p w14:paraId="100C1589" w14:textId="77777777" w:rsidR="00401741" w:rsidRDefault="00000000">
      <w:r>
        <w:t>Interviewee 6 noted that governance structures, while legitimate, can prevent organizations from learning: “If we would’ve been stopped at the beginning — ‘You cannot use this system because you’re already on this system’ — I think that is something that’s really holding people back.”</w:t>
      </w:r>
    </w:p>
    <w:p w14:paraId="3AA2ED7B" w14:textId="77777777" w:rsidR="00401741" w:rsidRDefault="00000000">
      <w:r>
        <w:t>Taken together, the internal conditions described in sections 4.2.1 to 4.2.3 represent the organizational substrate on which AI value creation depends. How managers navigate these conditions — leveraging favorable ones and working around or reshaping unfavorable ones — directly shapes the adoption processes described in section 4.3.</w:t>
      </w:r>
    </w:p>
    <w:p w14:paraId="177D50D1" w14:textId="77777777" w:rsidR="00401741" w:rsidRDefault="00000000">
      <w:pPr>
        <w:pStyle w:val="Heading2"/>
        <w:rPr>
          <w:color w:val="00312A"/>
        </w:rPr>
      </w:pPr>
      <w:bookmarkStart w:id="189" w:name="_hojo1f9yxiy" w:colFirst="0" w:colLast="0"/>
      <w:bookmarkEnd w:id="189"/>
      <w:r>
        <w:rPr>
          <w:color w:val="00312A"/>
        </w:rPr>
        <w:t>4.3</w:t>
      </w:r>
      <w:r>
        <w:rPr>
          <w:color w:val="00312A"/>
        </w:rPr>
        <w:tab/>
        <w:t>Applying AI</w:t>
      </w:r>
    </w:p>
    <w:p w14:paraId="3D922031" w14:textId="77777777" w:rsidR="00401741" w:rsidRDefault="00000000">
      <w:pPr>
        <w:pStyle w:val="Heading3"/>
        <w:rPr>
          <w:color w:val="00312A"/>
        </w:rPr>
      </w:pPr>
      <w:bookmarkStart w:id="190" w:name="_iuvuby6hzug8" w:colFirst="0" w:colLast="0"/>
      <w:bookmarkEnd w:id="190"/>
      <w:r>
        <w:rPr>
          <w:color w:val="00312A"/>
        </w:rPr>
        <w:t>4.3.1</w:t>
      </w:r>
      <w:r>
        <w:rPr>
          <w:color w:val="00312A"/>
        </w:rPr>
        <w:tab/>
        <w:t>Use Cases</w:t>
      </w:r>
    </w:p>
    <w:p w14:paraId="29E9CF78" w14:textId="77777777" w:rsidR="00401741" w:rsidRDefault="00000000">
      <w:pPr>
        <w:rPr>
          <w:color w:val="00312A"/>
        </w:rPr>
      </w:pPr>
      <w:r>
        <w:rPr>
          <w:color w:val="00312A"/>
        </w:rPr>
        <w:t>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14:paraId="09C8F601" w14:textId="77777777" w:rsidR="00401741" w:rsidRDefault="00000000">
      <w:pPr>
        <w:pStyle w:val="Heading4"/>
        <w:rPr>
          <w:color w:val="00312A"/>
        </w:rPr>
      </w:pPr>
      <w:r>
        <w:rPr>
          <w:color w:val="00312A"/>
        </w:rPr>
        <w:lastRenderedPageBreak/>
        <w:t>Generic and personal-productivity use cases</w:t>
      </w:r>
    </w:p>
    <w:p w14:paraId="7D923BCF" w14:textId="77777777" w:rsidR="00401741" w:rsidRDefault="00000000">
      <w:pPr>
        <w:rPr>
          <w:color w:val="00312A"/>
        </w:rPr>
      </w:pPr>
      <w:r>
        <w:rPr>
          <w:color w:val="00312A"/>
        </w:rPr>
        <w:t>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14:paraId="6E0D5DEC" w14:textId="77777777" w:rsidR="00401741" w:rsidRDefault="00000000">
      <w:pPr>
        <w:ind w:left="720"/>
        <w:rPr>
          <w:i/>
          <w:iCs/>
          <w:color w:val="00312A"/>
        </w:rPr>
      </w:pPr>
      <w:r>
        <w:rPr>
          <w:i/>
          <w:iCs/>
          <w:color w:val="00312A"/>
        </w:rPr>
        <w:t>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14:paraId="11D90BF7" w14:textId="77777777" w:rsidR="00401741" w:rsidRDefault="00000000">
      <w:pPr>
        <w:ind w:left="720"/>
        <w:rPr>
          <w:color w:val="00312A"/>
        </w:rPr>
      </w:pPr>
      <w:r>
        <w:rPr>
          <w:color w:val="00312A"/>
        </w:rPr>
        <w:t>— Interviewee 13</w:t>
      </w:r>
    </w:p>
    <w:p w14:paraId="4EACC57E" w14:textId="77777777" w:rsidR="00401741" w:rsidRDefault="00000000">
      <w:pPr>
        <w:rPr>
          <w:color w:val="00312A"/>
        </w:rPr>
      </w:pPr>
      <w:r>
        <w:rPr>
          <w:color w:val="00312A"/>
        </w:rPr>
        <w:t>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14:paraId="5521468B" w14:textId="77777777" w:rsidR="00401741" w:rsidRDefault="00000000">
      <w:pPr>
        <w:rPr>
          <w:color w:val="00312A"/>
        </w:rPr>
      </w:pPr>
      <w:r>
        <w:rPr>
          <w:color w:val="00312A"/>
        </w:rPr>
        <w:t xml:space="preserve">Brand governance is an adjacent use case in this generic-productivity cluster. Interviewee 3, working in a marketing team with strong leadership encouragement to experiment, described an assistant trained on the company’s brand guidelines and persona </w:t>
      </w:r>
      <w:r>
        <w:rPr>
          <w:color w:val="00312A"/>
        </w:rPr>
        <w:lastRenderedPageBreak/>
        <w:t>documents that evaluates whether new content is brand-aligned before publication — collapsing what had been a long approval chain into a real-time check.</w:t>
      </w:r>
    </w:p>
    <w:p w14:paraId="789C1F2E" w14:textId="77777777" w:rsidR="00401741" w:rsidRDefault="00000000">
      <w:pPr>
        <w:pStyle w:val="Heading4"/>
        <w:rPr>
          <w:color w:val="00312A"/>
        </w:rPr>
      </w:pPr>
      <w:r>
        <w:rPr>
          <w:color w:val="00312A"/>
        </w:rPr>
        <w:t>Customer-facing agents</w:t>
      </w:r>
    </w:p>
    <w:p w14:paraId="18651C01" w14:textId="77777777" w:rsidR="00401741" w:rsidRDefault="00000000">
      <w:pPr>
        <w:rPr>
          <w:color w:val="00312A"/>
        </w:rPr>
      </w:pPr>
      <w:r>
        <w:rPr>
          <w:color w:val="00312A"/>
        </w:rPr>
        <w:t>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14:paraId="79F0023D" w14:textId="77777777" w:rsidR="00401741" w:rsidRDefault="00000000">
      <w:pPr>
        <w:rPr>
          <w:color w:val="00312A"/>
        </w:rPr>
      </w:pPr>
      <w:r>
        <w:rPr>
          <w:color w:val="00312A"/>
        </w:rPr>
        <w:t>Advertising optimization agents form a second customer-facing archetype. These agents operate autonomously within ad platforms, adjusting bids, targeting parameters, and budget allocation against a specified ROAS target without per-decision human approval. Interviewee 8 described measurable outcomes from such a deployment:</w:t>
      </w:r>
    </w:p>
    <w:p w14:paraId="0792E0FD" w14:textId="77777777" w:rsidR="00401741" w:rsidRDefault="00000000">
      <w:pPr>
        <w:ind w:left="720"/>
        <w:rPr>
          <w:i/>
          <w:iCs/>
          <w:color w:val="00312A"/>
        </w:rPr>
      </w:pPr>
      <w:r>
        <w:rPr>
          <w:i/>
          <w:iCs/>
          <w:color w:val="00312A"/>
        </w:rPr>
        <w:t>we spend a lot of money on ads… there’s also waste. … an agent who really will help us become [more precise]… we’ve seen a point five per— point five, uh, ROAS increase.</w:t>
      </w:r>
    </w:p>
    <w:p w14:paraId="28CE0315" w14:textId="77777777" w:rsidR="00401741" w:rsidRDefault="00000000">
      <w:pPr>
        <w:ind w:left="720"/>
        <w:rPr>
          <w:color w:val="00312A"/>
        </w:rPr>
      </w:pPr>
      <w:r>
        <w:rPr>
          <w:color w:val="00312A"/>
        </w:rPr>
        <w:t>— Interviewee 8</w:t>
      </w:r>
    </w:p>
    <w:p w14:paraId="025906D0" w14:textId="77777777" w:rsidR="00401741" w:rsidRDefault="00000000">
      <w:pPr>
        <w:pStyle w:val="Heading4"/>
        <w:rPr>
          <w:color w:val="00312A"/>
        </w:rPr>
      </w:pPr>
      <w:r>
        <w:rPr>
          <w:color w:val="00312A"/>
        </w:rPr>
        <w:t>Internal process automation</w:t>
      </w:r>
    </w:p>
    <w:p w14:paraId="2C67064C" w14:textId="77777777" w:rsidR="00401741" w:rsidRDefault="00000000">
      <w:pPr>
        <w:rPr>
          <w:color w:val="00312A"/>
        </w:rPr>
      </w:pPr>
      <w:r>
        <w:rPr>
          <w:color w:val="00312A"/>
        </w:rPr>
        <w:t xml:space="preserve">Internal process automation is the archetype where human-AI collaboration is most clearly structured. Workflows that previously required a human to run scheduled queries, review outputs, populate reports, and compose communications are executed by chained AI </w:t>
      </w:r>
      <w:r>
        <w:rPr>
          <w:color w:val="00312A"/>
        </w:rPr>
        <w:lastRenderedPageBreak/>
        <w:t>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14:paraId="076955F3" w14:textId="77777777" w:rsidR="00401741" w:rsidRDefault="00000000">
      <w:pPr>
        <w:rPr>
          <w:color w:val="00312A"/>
        </w:rPr>
      </w:pPr>
      <w:r>
        <w:rPr>
          <w:color w:val="00312A"/>
        </w:rPr>
        <w:t>The internal automation archetype extends beyond commercial marketing contexts. Interviewee 2, working at a national sports federation, described an initiative to apply agentic AI to volunteer scheduling — matching volunteers to club roles, shifts, and locations across hundreds of member clubs — as an illustration of how process automation addresses coordination costs that commercial metrics do not easily capture.</w:t>
      </w:r>
    </w:p>
    <w:p w14:paraId="6F130891" w14:textId="77777777" w:rsidR="00401741" w:rsidRDefault="00000000">
      <w:pPr>
        <w:rPr>
          <w:color w:val="00312A"/>
        </w:rPr>
      </w:pPr>
      <w:r>
        <w:rPr>
          <w:color w:val="00312A"/>
        </w:rPr>
        <w:t>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14:paraId="483C92D8" w14:textId="77777777" w:rsidR="00401741" w:rsidRDefault="00000000">
      <w:pPr>
        <w:rPr>
          <w:color w:val="00312A"/>
        </w:rPr>
      </w:pPr>
      <w:r>
        <w:rPr>
          <w:color w:val="00312A"/>
        </w:rPr>
        <w:t>The dynamics are illustrated by an experiment described by Interviewee 15. A team deployed AI-generated BDR emails and positioned them as personalized outreach; customers recognized the automation almost immediately:</w:t>
      </w:r>
    </w:p>
    <w:p w14:paraId="56DA3F29" w14:textId="77777777" w:rsidR="00401741" w:rsidRDefault="00000000">
      <w:pPr>
        <w:ind w:left="720"/>
        <w:rPr>
          <w:i/>
          <w:iCs/>
          <w:color w:val="00312A"/>
        </w:rPr>
      </w:pPr>
      <w:r>
        <w:rPr>
          <w:i/>
          <w:iCs/>
          <w:color w:val="00312A"/>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0DB5E7CE" w14:textId="77777777" w:rsidR="00401741" w:rsidRDefault="00000000">
      <w:pPr>
        <w:ind w:left="720"/>
        <w:rPr>
          <w:color w:val="00312A"/>
        </w:rPr>
      </w:pPr>
      <w:r>
        <w:rPr>
          <w:color w:val="00312A"/>
        </w:rPr>
        <w:t>— Interviewee 15</w:t>
      </w:r>
    </w:p>
    <w:p w14:paraId="168A907F" w14:textId="77777777" w:rsidR="00401741" w:rsidRDefault="00000000">
      <w:pPr>
        <w:rPr>
          <w:color w:val="00312A"/>
        </w:rPr>
      </w:pPr>
      <w:r>
        <w:rPr>
          <w:color w:val="00312A"/>
        </w:rPr>
        <w:t xml:space="preserve">The optics gap has two organizational implications. First, it creates confusion about what AI actually does. When employees hear that the organization is ‘using agentic AI’ in pitches and </w:t>
      </w:r>
      <w:r>
        <w:rPr>
          <w:color w:val="00312A"/>
        </w:rPr>
        <w:lastRenderedPageBreak/>
        <w:t>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14:paraId="5CD616A0" w14:textId="77777777" w:rsidR="00401741" w:rsidRDefault="00000000">
      <w:pPr>
        <w:pStyle w:val="Heading3"/>
        <w:rPr>
          <w:color w:val="00312A"/>
        </w:rPr>
      </w:pPr>
      <w:bookmarkStart w:id="191" w:name="_niqmcast9jsc" w:colFirst="0" w:colLast="0"/>
      <w:bookmarkEnd w:id="191"/>
      <w:r>
        <w:rPr>
          <w:color w:val="00312A"/>
        </w:rPr>
        <w:t>4.3.2</w:t>
      </w:r>
      <w:r>
        <w:rPr>
          <w:color w:val="00312A"/>
        </w:rPr>
        <w:tab/>
        <w:t>Leveraging Feature &amp; Applying strategies</w:t>
      </w:r>
    </w:p>
    <w:p w14:paraId="1C2EE4B3" w14:textId="77777777" w:rsidR="00401741" w:rsidRDefault="00000000">
      <w:pPr>
        <w:rPr>
          <w:color w:val="00312A"/>
        </w:rPr>
      </w:pPr>
      <w:r>
        <w:rPr>
          <w:color w:val="00312A"/>
        </w:rPr>
        <w:t>The manner in which AI is implemented determines, in large part, what value is produced. Two feature categories and four strategic patterns emerge across the data as particularly consequential for value realization.</w:t>
      </w:r>
    </w:p>
    <w:p w14:paraId="4E086212" w14:textId="77777777" w:rsidR="00401741" w:rsidRDefault="00000000">
      <w:pPr>
        <w:rPr>
          <w:color w:val="00312A"/>
        </w:rPr>
      </w:pPr>
      <w:r>
        <w:rPr>
          <w:color w:val="00312A"/>
        </w:rPr>
        <w:t>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what the user provides in a single prompt. Interviewee 6 framed the context argument by contrasting her AI-powered customer-service agent with the outsourced human agents it had partly replaced:</w:t>
      </w:r>
    </w:p>
    <w:p w14:paraId="32A72B79" w14:textId="77777777" w:rsidR="00401741" w:rsidRDefault="00000000">
      <w:pPr>
        <w:ind w:left="720"/>
        <w:rPr>
          <w:color w:val="00312A"/>
        </w:rPr>
      </w:pPr>
      <w:r>
        <w:rPr>
          <w:color w:val="00312A"/>
        </w:rPr>
        <w:t>I already dare to claim that the quality is much higher, than even if an agent does it, because we have all of our agents outsourced i</w:t>
      </w:r>
      <w:r>
        <w:rPr>
          <w:color w:val="00312A"/>
          <w:highlight w:val="yellow"/>
        </w:rPr>
        <w:t>n [a specific country]</w:t>
      </w:r>
      <w:r>
        <w:rPr>
          <w:color w:val="00312A"/>
        </w:rPr>
        <w:t>. They’re amazing, they’re fantastic people, but they are not always as aware as a database, obviously. Like, they don’t have the whole database in their head. (Interview 6)</w:t>
      </w:r>
    </w:p>
    <w:p w14:paraId="523BA01D" w14:textId="77777777" w:rsidR="00401741" w:rsidRDefault="00000000">
      <w:pPr>
        <w:rPr>
          <w:color w:val="00312A"/>
        </w:rPr>
      </w:pPr>
      <w:r>
        <w:rPr>
          <w:color w:val="00312A"/>
        </w:rPr>
        <w:t xml:space="preserve">On the strategy side, four patterns recur. Evaluating output — maintaining human judgment over the quality, accuracy, and brand-fit of AI-generated material — is described across virtually every interview as the primary risk management strategy. Interviewee 10 argued </w:t>
      </w:r>
      <w:r>
        <w:rPr>
          <w:color w:val="00312A"/>
        </w:rPr>
        <w:lastRenderedPageBreak/>
        <w:t>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w:t>
      </w:r>
    </w:p>
    <w:p w14:paraId="547A6C99" w14:textId="77777777" w:rsidR="00401741" w:rsidRDefault="00000000">
      <w:pPr>
        <w:rPr>
          <w:color w:val="00312A"/>
        </w:rPr>
      </w:pPr>
      <w:r>
        <w:rPr>
          <w:color w:val="00312A"/>
        </w:rPr>
        <w:t>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14:paraId="77A51148" w14:textId="77777777" w:rsidR="00401741" w:rsidRDefault="00000000">
      <w:pPr>
        <w:pStyle w:val="Heading2"/>
        <w:rPr>
          <w:color w:val="00312A"/>
        </w:rPr>
      </w:pPr>
      <w:bookmarkStart w:id="192" w:name="_d3o8hfs61axc" w:colFirst="0" w:colLast="0"/>
      <w:bookmarkEnd w:id="192"/>
      <w:r>
        <w:rPr>
          <w:color w:val="00312A"/>
        </w:rPr>
        <w:t>4.4</w:t>
      </w:r>
      <w:r>
        <w:rPr>
          <w:color w:val="00312A"/>
        </w:rPr>
        <w:tab/>
        <w:t xml:space="preserve">Value </w:t>
      </w:r>
      <w:commentRangeStart w:id="193"/>
      <w:r>
        <w:rPr>
          <w:color w:val="00312A"/>
        </w:rPr>
        <w:t>Outcomes</w:t>
      </w:r>
      <w:commentRangeEnd w:id="193"/>
      <w:r>
        <w:rPr>
          <w:rStyle w:val="CommentReference"/>
          <w:color w:val="00312A"/>
          <w:sz w:val="22"/>
          <w:szCs w:val="22"/>
        </w:rPr>
        <w:commentReference w:id="193"/>
      </w:r>
    </w:p>
    <w:p w14:paraId="1294DFFC" w14:textId="77777777" w:rsidR="00401741" w:rsidRDefault="00000000">
      <w:pPr>
        <w:rPr>
          <w:color w:val="00312A"/>
        </w:rPr>
      </w:pPr>
      <w:r>
        <w:rPr>
          <w:color w:val="00312A"/>
        </w:rPr>
        <w:t>Applying . The data reveal consistent patterns of benefit, like efficiency, quality, and personalization, alongside patterns of sacrifice and risk. Which part of the portfolio is captured depends heavily on the managerial behaviors described in section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14:paraId="74617E84" w14:textId="77777777" w:rsidR="00401741" w:rsidRDefault="00000000">
      <w:pPr>
        <w:rPr>
          <w:color w:val="00312A"/>
        </w:rPr>
      </w:pPr>
      <w:r>
        <w:rPr>
          <w:color w:val="00312A"/>
        </w:rPr>
        <w:t xml:space="preserve">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w:t>
      </w:r>
      <w:r>
        <w:rPr>
          <w:color w:val="00312A"/>
        </w:rPr>
        <w:lastRenderedPageBreak/>
        <w:t>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14:paraId="5B3F8217" w14:textId="77777777" w:rsidR="00401741" w:rsidRDefault="00000000">
      <w:pPr>
        <w:pStyle w:val="Heading3"/>
        <w:rPr>
          <w:color w:val="00312A"/>
        </w:rPr>
      </w:pPr>
      <w:bookmarkStart w:id="194" w:name="_psp9v76zeahl" w:colFirst="0" w:colLast="0"/>
      <w:bookmarkEnd w:id="194"/>
      <w:r>
        <w:rPr>
          <w:color w:val="00312A"/>
        </w:rPr>
        <w:t>4.4.1</w:t>
      </w:r>
      <w:r>
        <w:rPr>
          <w:color w:val="00312A"/>
        </w:rPr>
        <w:tab/>
        <w:t>Benefits</w:t>
      </w:r>
    </w:p>
    <w:p w14:paraId="2E6E9B2D" w14:textId="77777777" w:rsidR="00401741" w:rsidRDefault="00000000">
      <w:pPr>
        <w:rPr>
          <w:color w:val="00312A"/>
        </w:rPr>
      </w:pPr>
      <w:r>
        <w:rPr>
          <w:color w:val="00312A"/>
        </w:rPr>
        <w:t>Benefits from agentic AI in marketing cluster around five themes: efficiency and speed, scalability beyond human capacity, extension of personal and team skillsets, improvement in the quality and depth of outputs, and improved personalization at scale.</w:t>
      </w:r>
    </w:p>
    <w:p w14:paraId="6443D99F" w14:textId="77777777" w:rsidR="00401741" w:rsidRDefault="00000000">
      <w:pPr>
        <w:rPr>
          <w:color w:val="00312A"/>
        </w:rPr>
      </w:pPr>
      <w:r>
        <w:rPr>
          <w:color w:val="00312A"/>
        </w:rPr>
        <w:t>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14:paraId="1A00A585" w14:textId="77777777" w:rsidR="00401741" w:rsidRDefault="00000000">
      <w:pPr>
        <w:ind w:left="720"/>
        <w:rPr>
          <w:i/>
          <w:iCs/>
          <w:color w:val="00312A"/>
        </w:rPr>
      </w:pPr>
      <w:r>
        <w:rPr>
          <w:i/>
          <w:iCs/>
          <w:color w:val="00312A"/>
        </w:rPr>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5DAA35A" w14:textId="77777777" w:rsidR="00401741" w:rsidRDefault="00000000">
      <w:pPr>
        <w:ind w:left="720"/>
        <w:rPr>
          <w:color w:val="00312A"/>
        </w:rPr>
      </w:pPr>
      <w:r>
        <w:rPr>
          <w:color w:val="00312A"/>
        </w:rPr>
        <w:t>— Interviewee 13</w:t>
      </w:r>
    </w:p>
    <w:p w14:paraId="4FB98AD6" w14:textId="77777777" w:rsidR="00401741" w:rsidRDefault="00000000">
      <w:pPr>
        <w:rPr>
          <w:color w:val="00312A"/>
        </w:rPr>
      </w:pPr>
      <w:r>
        <w:rPr>
          <w:color w:val="00312A"/>
        </w:rPr>
        <w:t xml:space="preserve">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t>
      </w:r>
      <w:r>
        <w:rPr>
          <w:color w:val="00312A"/>
        </w:rPr>
        <w:lastRenderedPageBreak/>
        <w:t>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14:paraId="1C10171A" w14:textId="77777777" w:rsidR="00401741" w:rsidRDefault="00000000">
      <w:pPr>
        <w:rPr>
          <w:color w:val="00312A"/>
        </w:rPr>
      </w:pPr>
      <w:r>
        <w:rPr>
          <w:color w:val="00312A"/>
        </w:rPr>
        <w:t>The scale benefit is perhaps most vividly expressed in content production. Interviewee 11, an external AI advisor working with clients on content strategy, described a fully automated pipeline built for a recruitment client:</w:t>
      </w:r>
    </w:p>
    <w:p w14:paraId="3052EE61" w14:textId="77777777" w:rsidR="00401741" w:rsidRDefault="00000000">
      <w:pPr>
        <w:ind w:left="720"/>
        <w:rPr>
          <w:i/>
          <w:iCs/>
          <w:color w:val="00312A"/>
        </w:rPr>
      </w:pPr>
      <w:r>
        <w:rPr>
          <w:i/>
          <w:iCs/>
          <w:color w:val="00312A"/>
        </w:rPr>
        <w:t>So we created something about thousand web pages fully automated.</w:t>
      </w:r>
    </w:p>
    <w:p w14:paraId="788FBFF9" w14:textId="77777777" w:rsidR="00401741" w:rsidRDefault="00000000">
      <w:pPr>
        <w:ind w:left="720"/>
        <w:rPr>
          <w:color w:val="00312A"/>
        </w:rPr>
      </w:pPr>
      <w:r>
        <w:rPr>
          <w:color w:val="00312A"/>
        </w:rPr>
        <w:t>— Interviewee 11</w:t>
      </w:r>
    </w:p>
    <w:p w14:paraId="3DC4B143" w14:textId="77777777" w:rsidR="00401741" w:rsidRDefault="00000000">
      <w:pPr>
        <w:rPr>
          <w:color w:val="00312A"/>
        </w:rPr>
      </w:pPr>
      <w:r>
        <w:rPr>
          <w:color w:val="00312A"/>
        </w:rPr>
        <w:t>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14:paraId="3DD13048" w14:textId="77777777" w:rsidR="00401741" w:rsidRDefault="00000000">
      <w:pPr>
        <w:rPr>
          <w:color w:val="00312A"/>
        </w:rPr>
      </w:pPr>
      <w:r>
        <w:rPr>
          <w:color w:val="00312A"/>
        </w:rPr>
        <w:t>The most concrete commercial benefit figure in the data comes from Interviewee 6, who was asked directly about the return on investment from a multi-vendor chatbot programme that handles membership queries and drives commercial conversions:</w:t>
      </w:r>
    </w:p>
    <w:p w14:paraId="1D3604F0" w14:textId="77777777" w:rsidR="00401741" w:rsidRDefault="00000000">
      <w:pPr>
        <w:ind w:left="720"/>
        <w:rPr>
          <w:i/>
          <w:iCs/>
          <w:color w:val="00312A"/>
        </w:rPr>
      </w:pPr>
      <w:r>
        <w:rPr>
          <w:i/>
          <w:iCs/>
          <w:color w:val="00312A"/>
        </w:rPr>
        <w:t>Yeah, I would say 10X. Let’s say 10X. Because it’s not two and it’s also not 200.</w:t>
      </w:r>
    </w:p>
    <w:p w14:paraId="3C68294E" w14:textId="77777777" w:rsidR="00401741" w:rsidRDefault="00000000">
      <w:pPr>
        <w:ind w:left="720"/>
        <w:rPr>
          <w:color w:val="00312A"/>
        </w:rPr>
      </w:pPr>
      <w:r>
        <w:rPr>
          <w:color w:val="00312A"/>
        </w:rPr>
        <w:t>— Interviewee 6</w:t>
      </w:r>
    </w:p>
    <w:p w14:paraId="03055F12" w14:textId="77777777" w:rsidR="00401741" w:rsidRDefault="00000000">
      <w:pPr>
        <w:rPr>
          <w:color w:val="00312A"/>
        </w:rPr>
      </w:pPr>
      <w:r>
        <w:rPr>
          <w:color w:val="00312A"/>
        </w:rPr>
        <w:t>Improving the depth and quality of insights, and improving personalization, round out the benefit portfolio. The insight improvement benefit is closely connected to the database-as-context feature described in section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001CDED4" w14:textId="77777777" w:rsidR="00401741" w:rsidRDefault="00000000">
      <w:pPr>
        <w:pStyle w:val="Heading3"/>
        <w:rPr>
          <w:color w:val="00312A"/>
        </w:rPr>
      </w:pPr>
      <w:bookmarkStart w:id="195" w:name="_vkh433kqk3oi" w:colFirst="0" w:colLast="0"/>
      <w:bookmarkEnd w:id="195"/>
      <w:r>
        <w:rPr>
          <w:color w:val="00312A"/>
        </w:rPr>
        <w:lastRenderedPageBreak/>
        <w:t>4.4.2</w:t>
      </w:r>
      <w:r>
        <w:rPr>
          <w:color w:val="00312A"/>
        </w:rPr>
        <w:tab/>
        <w:t>Sacrifices</w:t>
      </w:r>
    </w:p>
    <w:p w14:paraId="6E9D21B7" w14:textId="77777777" w:rsidR="00401741" w:rsidRDefault="00000000">
      <w:pPr>
        <w:rPr>
          <w:color w:val="00312A"/>
        </w:rPr>
      </w:pPr>
      <w:r>
        <w:rPr>
          <w:color w:val="00312A"/>
        </w:rPr>
        <w:t>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14:paraId="1D234AE2" w14:textId="77777777" w:rsidR="00401741" w:rsidRDefault="00000000">
      <w:pPr>
        <w:rPr>
          <w:color w:val="00312A"/>
        </w:rPr>
      </w:pPr>
      <w:r>
        <w:rPr>
          <w:color w:val="00312A"/>
        </w:rPr>
        <w:t>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14:paraId="6DFC8ED9" w14:textId="77777777" w:rsidR="00401741" w:rsidRDefault="00000000">
      <w:pPr>
        <w:rPr>
          <w:color w:val="00312A"/>
        </w:rPr>
      </w:pPr>
      <w:r>
        <w:rPr>
          <w:color w:val="00312A"/>
        </w:rPr>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0D01175E" w14:textId="77777777" w:rsidR="00401741" w:rsidRDefault="00000000">
      <w:pPr>
        <w:ind w:left="720"/>
        <w:rPr>
          <w:i/>
          <w:iCs/>
          <w:color w:val="00312A"/>
        </w:rPr>
      </w:pPr>
      <w:r>
        <w:rPr>
          <w:i/>
          <w:iCs/>
          <w:color w:val="00312A"/>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7DEA206D" w14:textId="77777777" w:rsidR="00401741" w:rsidRDefault="00000000">
      <w:pPr>
        <w:ind w:left="720"/>
        <w:rPr>
          <w:color w:val="00312A"/>
        </w:rPr>
      </w:pPr>
      <w:r>
        <w:rPr>
          <w:color w:val="00312A"/>
        </w:rPr>
        <w:t>— Interviewee 13</w:t>
      </w:r>
    </w:p>
    <w:p w14:paraId="19EAE70B" w14:textId="77777777" w:rsidR="00401741" w:rsidRDefault="00000000">
      <w:pPr>
        <w:rPr>
          <w:color w:val="00312A"/>
        </w:rPr>
      </w:pPr>
      <w:r>
        <w:rPr>
          <w:color w:val="00312A"/>
        </w:rPr>
        <w:t xml:space="preserve">Authenticity is a more subtle sacrifice. AI-generated content — particularly in outreach and customer communications — can be recognized as artificial, and that recognition damages </w:t>
      </w:r>
      <w:r>
        <w:rPr>
          <w:color w:val="00312A"/>
        </w:rPr>
        <w:lastRenderedPageBreak/>
        <w:t>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14:paraId="63AE44C5" w14:textId="77777777" w:rsidR="00401741" w:rsidRDefault="00000000">
      <w:pPr>
        <w:pStyle w:val="Heading3"/>
        <w:rPr>
          <w:color w:val="00312A"/>
          <w:highlight w:val="yellow"/>
        </w:rPr>
      </w:pPr>
      <w:bookmarkStart w:id="196" w:name="_i62wq5quevoe" w:colFirst="0" w:colLast="0"/>
      <w:bookmarkEnd w:id="196"/>
      <w:r>
        <w:rPr>
          <w:color w:val="00312A"/>
        </w:rPr>
        <w:t>4.4.3</w:t>
      </w:r>
      <w:r>
        <w:rPr>
          <w:color w:val="00312A"/>
        </w:rPr>
        <w:tab/>
        <w:t>Risks</w:t>
      </w:r>
    </w:p>
    <w:p w14:paraId="2F91271D" w14:textId="77777777" w:rsidR="00401741" w:rsidRDefault="00000000">
      <w:pPr>
        <w:rPr>
          <w:color w:val="00312A"/>
        </w:rPr>
      </w:pPr>
      <w:r>
        <w:rPr>
          <w:color w:val="00312A"/>
        </w:rP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6E964C70" w14:textId="77777777" w:rsidR="00401741" w:rsidRDefault="00000000">
      <w:pPr>
        <w:rPr>
          <w:color w:val="00312A"/>
        </w:rPr>
      </w:pPr>
      <w:r>
        <w:rPr>
          <w:color w:val="00312A"/>
        </w:rPr>
        <w:t>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section 4.3.2) structurally necessary rather than optional.</w:t>
      </w:r>
    </w:p>
    <w:p w14:paraId="16FF5AC7" w14:textId="77777777" w:rsidR="00401741" w:rsidRDefault="00000000">
      <w:pPr>
        <w:rPr>
          <w:color w:val="00312A"/>
        </w:rPr>
      </w:pPr>
      <w:r>
        <w:rPr>
          <w:color w:val="00312A"/>
        </w:rP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5D4A41F5" w14:textId="77777777" w:rsidR="00401741" w:rsidRDefault="00000000">
      <w:pPr>
        <w:ind w:left="720"/>
        <w:rPr>
          <w:i/>
          <w:iCs/>
          <w:color w:val="00312A"/>
        </w:rPr>
      </w:pPr>
      <w:r>
        <w:rPr>
          <w:i/>
          <w:iCs/>
          <w:color w:val="00312A"/>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04D140A7" w14:textId="77777777" w:rsidR="00401741" w:rsidRDefault="00000000">
      <w:pPr>
        <w:ind w:left="720"/>
        <w:rPr>
          <w:color w:val="00312A"/>
        </w:rPr>
      </w:pPr>
      <w:r>
        <w:rPr>
          <w:color w:val="00312A"/>
        </w:rPr>
        <w:lastRenderedPageBreak/>
        <w:t>— Interviewee 13</w:t>
      </w:r>
    </w:p>
    <w:p w14:paraId="6AAA08AD" w14:textId="77777777" w:rsidR="00401741" w:rsidRDefault="00000000">
      <w:pPr>
        <w:rPr>
          <w:color w:val="00312A"/>
        </w:rPr>
      </w:pPr>
      <w:r>
        <w:rPr>
          <w:color w:val="00312A"/>
        </w:rPr>
        <w:t>Brand risk is the final category (11 code applications). AI can generate content that is off-brand, tonally inappropriate, or culturally misjudged, and in automated workflows it can do so at scale before human review catches it. Interviewee 6 named brand control as the primary governance concern for her marketing use cases: “it’s mainly brand control, I would say. It’s also going to say some stupid stuff, and that is a very important … one.” The mitigation strategies are identical to those described in section 4.3.2: evaluating output before customer exposure, embedding brand voice in the system prompt, and restricting autonomous action to validated use-case categories.</w:t>
      </w:r>
    </w:p>
    <w:p w14:paraId="181BD607" w14:textId="77777777" w:rsidR="00401741" w:rsidRDefault="00000000">
      <w:pPr>
        <w:pStyle w:val="Heading2"/>
        <w:rPr>
          <w:color w:val="00312A"/>
        </w:rPr>
      </w:pPr>
      <w:r>
        <w:rPr>
          <w:color w:val="00312A"/>
        </w:rPr>
        <w:t xml:space="preserve">4.5 </w:t>
      </w:r>
      <w:r>
        <w:rPr>
          <w:color w:val="00312A"/>
        </w:rPr>
        <w:tab/>
        <w:t>Paradoxes</w:t>
      </w:r>
    </w:p>
    <w:p w14:paraId="7EEE83B6" w14:textId="77777777" w:rsidR="00401741" w:rsidRDefault="00000000">
      <w:pPr>
        <w:rPr>
          <w:color w:val="00312A"/>
        </w:rPr>
      </w:pPr>
      <w:r>
        <w:rPr>
          <w:color w:val="00312A"/>
        </w:rPr>
        <w:t>Running through the data, a recurring structural pattern emerges: the same capability that creates a risk also provides the means to address it. Agentic AI threatens brand coherence, and agentic AI is deployed to enforce brand guidelines. Hallucinations undermine output 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14:paraId="1F3FCDA9" w14:textId="77777777" w:rsidR="00401741" w:rsidRDefault="00000000">
      <w:pPr>
        <w:rPr>
          <w:color w:val="00312A"/>
        </w:rPr>
      </w:pPr>
      <w:r>
        <w:rPr>
          <w:color w:val="00312A"/>
        </w:rPr>
        <w:t>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14:paraId="6DC19FA3" w14:textId="77777777" w:rsidR="00401741" w:rsidRDefault="00000000">
      <w:pPr>
        <w:pStyle w:val="Heading3"/>
        <w:rPr>
          <w:color w:val="00312A"/>
        </w:rPr>
      </w:pPr>
      <w:r>
        <w:rPr>
          <w:color w:val="00312A"/>
        </w:rPr>
        <w:lastRenderedPageBreak/>
        <w:t>4.5.1</w:t>
      </w:r>
      <w:r>
        <w:rPr>
          <w:color w:val="00312A"/>
        </w:rPr>
        <w:tab/>
        <w:t>Branding Paradox</w:t>
      </w:r>
    </w:p>
    <w:p w14:paraId="381628DA" w14:textId="77777777" w:rsidR="00401741" w:rsidRDefault="00000000">
      <w:pPr>
        <w:rPr>
          <w:color w:val="00312A"/>
        </w:rPr>
      </w:pPr>
      <w:r>
        <w:rPr>
          <w:color w:val="00312A"/>
        </w:rPr>
        <w:t>AI-generated content introduces brand risk in two ways: it may produce off-brand tone, imagery, or claims, and at scale it may homogenize output across organizations using similar models and prompts. Several participants named brand control as their primary governance 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14:paraId="4529F7C1" w14:textId="77777777" w:rsidR="00401741" w:rsidRDefault="00000000">
      <w:pPr>
        <w:rPr>
          <w:color w:val="00312A"/>
        </w:rPr>
      </w:pPr>
      <w:r>
        <w:rPr>
          <w:color w:val="00312A"/>
        </w:rPr>
        <w:t>Yet the same organizations raising brand risk are also deploying agentic AI as a brand governance tool. Interviewee 3 described an assistant trained on brand guidelines and persona documents that evaluates content for brand alignment before publication, collapsing a multi-stage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14:paraId="761288AB" w14:textId="77777777" w:rsidR="00401741" w:rsidRDefault="00000000">
      <w:pPr>
        <w:rPr>
          <w:color w:val="00312A"/>
        </w:rPr>
      </w:pPr>
      <w:r>
        <w:rPr>
          <w:color w:val="00312A"/>
        </w:rPr>
        <w:t>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14:paraId="4011F4FE" w14:textId="77777777" w:rsidR="00401741" w:rsidRDefault="00000000">
      <w:pPr>
        <w:pStyle w:val="Heading3"/>
        <w:rPr>
          <w:color w:val="00312A"/>
        </w:rPr>
      </w:pPr>
      <w:r>
        <w:rPr>
          <w:color w:val="00312A"/>
        </w:rPr>
        <w:lastRenderedPageBreak/>
        <w:t>4.5.2</w:t>
      </w:r>
      <w:r>
        <w:rPr>
          <w:color w:val="00312A"/>
        </w:rPr>
        <w:tab/>
        <w:t>Hallucinating Paradox</w:t>
      </w:r>
    </w:p>
    <w:p w14:paraId="0BF08B45" w14:textId="77777777" w:rsidR="00401741" w:rsidRDefault="00000000">
      <w:pPr>
        <w:rPr>
          <w:color w:val="00312A"/>
        </w:rPr>
      </w:pPr>
      <w:r>
        <w:rPr>
          <w:color w:val="00312A"/>
        </w:rPr>
        <w:t>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arguing that invoking hallucination as an adoption barrier is “often an excuse not to start” and that it is “not your biggest blocker right now.”</w:t>
      </w:r>
    </w:p>
    <w:p w14:paraId="261B8520" w14:textId="77777777" w:rsidR="00401741" w:rsidRDefault="00000000">
      <w:pPr>
        <w:rPr>
          <w:color w:val="00312A"/>
        </w:rPr>
      </w:pPr>
      <w:r>
        <w:rPr>
          <w:color w:val="00312A"/>
        </w:rPr>
        <w:t>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some level of error is accepted as normal and managed through review — the same standard already applied to human junior analysts.</w:t>
      </w:r>
    </w:p>
    <w:p w14:paraId="08CED2CD" w14:textId="77777777" w:rsidR="00401741" w:rsidRDefault="00000000">
      <w:pPr>
        <w:rPr>
          <w:color w:val="00312A"/>
        </w:rPr>
      </w:pPr>
      <w:r>
        <w:rPr>
          <w:color w:val="00312A"/>
        </w:rPr>
        <w:t>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14:paraId="0179C277" w14:textId="77777777" w:rsidR="00401741" w:rsidRDefault="00000000">
      <w:pPr>
        <w:pStyle w:val="Heading3"/>
        <w:rPr>
          <w:color w:val="00312A"/>
        </w:rPr>
      </w:pPr>
      <w:r>
        <w:rPr>
          <w:color w:val="00312A"/>
        </w:rPr>
        <w:lastRenderedPageBreak/>
        <w:t>4.5.3</w:t>
      </w:r>
      <w:r>
        <w:rPr>
          <w:color w:val="00312A"/>
        </w:rPr>
        <w:tab/>
        <w:t>Implementation Paradox</w:t>
      </w:r>
    </w:p>
    <w:p w14:paraId="3726075A" w14:textId="77777777" w:rsidR="00401741" w:rsidRDefault="00000000">
      <w:pPr>
        <w:rPr>
          <w:color w:val="00312A"/>
        </w:rPr>
      </w:pPr>
      <w:r>
        <w:rPr>
          <w:color w:val="00312A"/>
        </w:rPr>
        <w:t>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section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tools are bought and first experiments succeed, but no one is accountable for embedding the capability in working practice.</w:t>
      </w:r>
    </w:p>
    <w:p w14:paraId="48F4E369" w14:textId="77777777" w:rsidR="00401741" w:rsidRDefault="00000000">
      <w:pPr>
        <w:rPr>
          <w:color w:val="00312A"/>
        </w:rPr>
      </w:pPr>
      <w:r>
        <w:rPr>
          <w:color w:val="00312A"/>
        </w:rPr>
        <w:t>The optics-versus-reality pattern identified in section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work before it creates consistent value for the organization. The participants who describe the strongest returns — Interviewees 4, 6, 13 — are precisely those who invested systematically in this operationalization work rather than treating the prototype as the endpoint.</w:t>
      </w:r>
    </w:p>
    <w:p w14:paraId="75C4FEAB" w14:textId="77777777" w:rsidR="00401741" w:rsidRDefault="00000000">
      <w:pPr>
        <w:rPr>
          <w:color w:val="00312A"/>
        </w:rPr>
      </w:pPr>
      <w:r>
        <w:rPr>
          <w:color w:val="00312A"/>
        </w:rPr>
        <w:t>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14:paraId="216AE9EC" w14:textId="77777777" w:rsidR="00401741" w:rsidRDefault="00000000">
      <w:pPr>
        <w:pStyle w:val="Heading3"/>
        <w:rPr>
          <w:b/>
          <w:bCs/>
          <w:color w:val="00312A"/>
        </w:rPr>
      </w:pPr>
      <w:r>
        <w:rPr>
          <w:color w:val="00312A"/>
        </w:rPr>
        <w:lastRenderedPageBreak/>
        <w:t>4.5.4</w:t>
      </w:r>
      <w:r>
        <w:rPr>
          <w:color w:val="00312A"/>
        </w:rPr>
        <w:tab/>
        <w:t>The autonomy-control paradox</w:t>
      </w:r>
    </w:p>
    <w:p w14:paraId="1D9CC9B2" w14:textId="77777777" w:rsidR="00401741" w:rsidRDefault="00000000">
      <w:pPr>
        <w:rPr>
          <w:color w:val="00312A"/>
        </w:rPr>
      </w:pPr>
      <w:r>
        <w:rPr>
          <w:color w:val="00312A"/>
        </w:rPr>
        <w:t>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14:paraId="22F265AB" w14:textId="77777777" w:rsidR="00401741" w:rsidRDefault="00000000">
      <w:pPr>
        <w:rPr>
          <w:color w:val="00312A"/>
        </w:rPr>
      </w:pPr>
      <w:r>
        <w:rPr>
          <w:color w:val="00312A"/>
        </w:rPr>
        <w:t>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14:paraId="483306D8" w14:textId="77777777" w:rsidR="00401741" w:rsidRDefault="00000000">
      <w:pPr>
        <w:rPr>
          <w:color w:val="00312A"/>
        </w:rPr>
      </w:pPr>
      <w:r>
        <w:rPr>
          <w:color w:val="00312A"/>
        </w:rPr>
        <w:t>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14:paraId="689A6F5F" w14:textId="77777777" w:rsidR="00401741" w:rsidRDefault="00000000">
      <w:pPr>
        <w:pStyle w:val="Heading3"/>
        <w:rPr>
          <w:b/>
          <w:bCs/>
          <w:color w:val="00312A"/>
        </w:rPr>
      </w:pPr>
      <w:r>
        <w:rPr>
          <w:color w:val="00312A"/>
        </w:rPr>
        <w:lastRenderedPageBreak/>
        <w:t>4.5.5</w:t>
      </w:r>
      <w:r>
        <w:rPr>
          <w:color w:val="00312A"/>
        </w:rPr>
        <w:tab/>
        <w:t>The junior paradox</w:t>
      </w:r>
    </w:p>
    <w:p w14:paraId="07AF86BA" w14:textId="77777777" w:rsidR="00401741" w:rsidRDefault="00000000">
      <w:pPr>
        <w:rPr>
          <w:color w:val="00312A"/>
        </w:rPr>
      </w:pPr>
      <w:r>
        <w:rPr>
          <w:color w:val="00312A"/>
        </w:rPr>
        <w:t>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14:paraId="73D040AB" w14:textId="77777777" w:rsidR="00401741" w:rsidRDefault="00000000">
      <w:pPr>
        <w:rPr>
          <w:color w:val="00312A"/>
        </w:rPr>
      </w:pPr>
      <w:r>
        <w:rPr>
          <w:color w:val="00312A"/>
        </w:rPr>
        <w:t>The opposing pole of the paradox is that young professionals entering the workforce today are substantially more AI-native than the senior practitioners who currently lead 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14:paraId="174DDBAE" w14:textId="77777777" w:rsidR="00401741" w:rsidRDefault="00000000">
      <w:pPr>
        <w:rPr>
          <w:color w:val="00312A"/>
        </w:rPr>
      </w:pPr>
      <w:r>
        <w:rPr>
          <w:color w:val="00312A"/>
        </w:rPr>
        <w:t>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14:paraId="20F169EB" w14:textId="77777777" w:rsidR="00401741" w:rsidRDefault="00000000">
      <w:pPr>
        <w:pStyle w:val="Heading2"/>
        <w:rPr>
          <w:color w:val="00312A"/>
        </w:rPr>
      </w:pPr>
      <w:bookmarkStart w:id="197" w:name="_bi3ndv3n11ww" w:colFirst="0" w:colLast="0"/>
      <w:bookmarkEnd w:id="197"/>
      <w:commentRangeStart w:id="198"/>
      <w:r>
        <w:rPr>
          <w:color w:val="00312A"/>
        </w:rPr>
        <w:lastRenderedPageBreak/>
        <w:t>4.x.</w:t>
      </w:r>
      <w:r>
        <w:rPr>
          <w:color w:val="00312A"/>
        </w:rPr>
        <w:tab/>
        <w:t>Placeholder for coding table and trustworthiness indication.</w:t>
      </w:r>
    </w:p>
    <w:p w14:paraId="68792FB0" w14:textId="77777777" w:rsidR="00401741" w:rsidRDefault="00000000">
      <w:pPr>
        <w:rPr>
          <w:color w:val="00312A"/>
        </w:rPr>
      </w:pPr>
      <w:r>
        <w:rPr>
          <w:color w:val="00312A"/>
        </w:rPr>
        <w:t>(</w:t>
      </w:r>
      <w:hyperlink r:id="rId19">
        <w:r w:rsidR="00401741">
          <w:rPr>
            <w:color w:val="00312A"/>
            <w:u w:val="single"/>
          </w:rPr>
          <w:t>example paper</w:t>
        </w:r>
      </w:hyperlink>
      <w:r>
        <w:rPr>
          <w:color w:val="00312A"/>
        </w:rPr>
        <w:t>)... seek additional data</w:t>
      </w:r>
      <w:commentRangeEnd w:id="198"/>
      <w:r>
        <w:rPr>
          <w:rStyle w:val="CommentReference"/>
          <w:color w:val="00312A"/>
          <w:sz w:val="22"/>
          <w:szCs w:val="22"/>
        </w:rPr>
        <w:commentReference w:id="198"/>
      </w:r>
    </w:p>
    <w:p w14:paraId="0C27728B" w14:textId="77777777" w:rsidR="00401741" w:rsidRDefault="00000000">
      <w:pPr>
        <w:rPr>
          <w:b/>
          <w:bCs/>
          <w:color w:val="00312A"/>
        </w:rPr>
      </w:pPr>
      <w:bookmarkStart w:id="199" w:name="_q5epuhs454bw" w:colFirst="0" w:colLast="0"/>
      <w:bookmarkEnd w:id="199"/>
      <w:r>
        <w:br w:type="page"/>
      </w:r>
    </w:p>
    <w:p w14:paraId="6061FEC8" w14:textId="77777777" w:rsidR="00401741" w:rsidRDefault="00000000">
      <w:pPr>
        <w:pStyle w:val="Heading1"/>
        <w:rPr>
          <w:color w:val="00312A"/>
        </w:rPr>
      </w:pPr>
      <w:r>
        <w:rPr>
          <w:color w:val="00312A"/>
        </w:rPr>
        <w:lastRenderedPageBreak/>
        <w:t>5.</w:t>
      </w:r>
      <w:r>
        <w:rPr>
          <w:color w:val="00312A"/>
        </w:rPr>
        <w:tab/>
        <w:t>Discussion</w:t>
      </w:r>
    </w:p>
    <w:p w14:paraId="2A783904" w14:textId="77777777" w:rsidR="00401741" w:rsidRDefault="00000000">
      <w:pPr>
        <w:rPr>
          <w:i/>
          <w:iCs/>
          <w:color w:val="00312A"/>
        </w:rPr>
      </w:pPr>
      <w:r>
        <w:rPr>
          <w:i/>
          <w:iCs/>
          <w:color w:val="00312A"/>
        </w:rPr>
        <w:t>Connect the outcomes…</w:t>
      </w:r>
    </w:p>
    <w:p w14:paraId="613019AE" w14:textId="77777777" w:rsidR="00401741" w:rsidRDefault="00000000">
      <w:pPr>
        <w:pStyle w:val="Heading2"/>
        <w:rPr>
          <w:color w:val="00312A"/>
        </w:rPr>
      </w:pPr>
      <w:bookmarkStart w:id="200" w:name="_7rbdabewznnc" w:colFirst="0" w:colLast="0"/>
      <w:bookmarkEnd w:id="200"/>
      <w:r>
        <w:rPr>
          <w:color w:val="00312A"/>
        </w:rPr>
        <w:t>5.1</w:t>
      </w:r>
      <w:r>
        <w:rPr>
          <w:color w:val="00312A"/>
        </w:rPr>
        <w:tab/>
        <w:t>Contributions to Theory</w:t>
      </w:r>
    </w:p>
    <w:p w14:paraId="0D561024" w14:textId="77777777" w:rsidR="00401741" w:rsidRDefault="00401741">
      <w:pPr>
        <w:rPr>
          <w:color w:val="00312A"/>
        </w:rPr>
      </w:pPr>
    </w:p>
    <w:p w14:paraId="39B5E615" w14:textId="77777777" w:rsidR="00401741" w:rsidRDefault="00000000">
      <w:pPr>
        <w:pStyle w:val="Heading2"/>
        <w:rPr>
          <w:color w:val="00312A"/>
        </w:rPr>
      </w:pPr>
      <w:bookmarkStart w:id="201" w:name="_vqcghgtkedix" w:colFirst="0" w:colLast="0"/>
      <w:bookmarkEnd w:id="201"/>
      <w:r>
        <w:rPr>
          <w:color w:val="00312A"/>
        </w:rPr>
        <w:t>5.2</w:t>
      </w:r>
      <w:r>
        <w:rPr>
          <w:color w:val="00312A"/>
        </w:rPr>
        <w:tab/>
        <w:t>Practical implications</w:t>
      </w:r>
    </w:p>
    <w:p w14:paraId="12488587" w14:textId="77777777" w:rsidR="00401741" w:rsidRDefault="00000000">
      <w:pPr>
        <w:numPr>
          <w:ilvl w:val="0"/>
          <w:numId w:val="7"/>
        </w:numPr>
        <w:rPr>
          <w:color w:val="00312A"/>
        </w:rPr>
      </w:pPr>
      <w:r>
        <w:rPr>
          <w:color w:val="00312A"/>
        </w:rPr>
        <w:t>Adoption of agentic AI is hard. It is vital to invest, educate, and create space for experimentation to ensure successful implementation and adoption of AI.</w:t>
      </w:r>
    </w:p>
    <w:p w14:paraId="033753FA" w14:textId="77777777" w:rsidR="00401741" w:rsidRDefault="00000000">
      <w:pPr>
        <w:numPr>
          <w:ilvl w:val="0"/>
          <w:numId w:val="7"/>
        </w:numPr>
        <w:rPr>
          <w:color w:val="00312A"/>
        </w:rPr>
      </w:pPr>
      <w:r>
        <w:rPr>
          <w:color w:val="00312A"/>
        </w:rPr>
        <w:t>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14:paraId="7C9D5FAE" w14:textId="77777777" w:rsidR="00401741" w:rsidRDefault="00000000">
      <w:pPr>
        <w:numPr>
          <w:ilvl w:val="0"/>
          <w:numId w:val="7"/>
        </w:numPr>
        <w:rPr>
          <w:color w:val="00312A"/>
        </w:rPr>
      </w:pPr>
      <w:r>
        <w:rPr>
          <w:color w:val="00312A"/>
        </w:rPr>
        <w:t>…</w:t>
      </w:r>
    </w:p>
    <w:p w14:paraId="3C6C8974" w14:textId="77777777" w:rsidR="00401741" w:rsidRDefault="00000000">
      <w:pPr>
        <w:pStyle w:val="Heading2"/>
        <w:rPr>
          <w:color w:val="00312A"/>
        </w:rPr>
      </w:pPr>
      <w:bookmarkStart w:id="202" w:name="_mnyukkjx9iq" w:colFirst="0" w:colLast="0"/>
      <w:bookmarkEnd w:id="202"/>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lastRenderedPageBreak/>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w:t>
      </w:r>
      <w:r>
        <w:rPr>
          <w:color w:val="00312A"/>
        </w:rPr>
        <w:lastRenderedPageBreak/>
        <w:t>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203" w:name="_dd6zel2y4t5x" w:colFirst="0" w:colLast="0"/>
      <w:bookmarkEnd w:id="203"/>
      <w:r>
        <w:t>6.</w:t>
      </w:r>
      <w:r>
        <w:tab/>
        <w:t>Conclusion</w:t>
      </w:r>
    </w:p>
    <w:p w14:paraId="57B87D0F" w14:textId="77777777" w:rsidR="00401741" w:rsidRDefault="00000000">
      <w:pPr>
        <w:pStyle w:val="Heading1"/>
      </w:pPr>
      <w:bookmarkStart w:id="204" w:name="_9375lqp6ztft" w:colFirst="0" w:colLast="0"/>
      <w:bookmarkEnd w:id="204"/>
      <w:r>
        <w:br w:type="page"/>
      </w:r>
    </w:p>
    <w:p w14:paraId="5BA28DFA" w14:textId="77777777" w:rsidR="00401741" w:rsidRDefault="00000000">
      <w:pPr>
        <w:pStyle w:val="Heading1"/>
        <w:rPr>
          <w:color w:val="222222"/>
          <w:highlight w:val="white"/>
        </w:rPr>
      </w:pPr>
      <w:bookmarkStart w:id="205" w:name="_kgmnd1ymad1c" w:colFirst="0" w:colLast="0"/>
      <w:bookmarkEnd w:id="205"/>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0">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1">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sidRPr="009267BF">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2">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3">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06"/>
      <w:r w:rsidRPr="009267BF">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4">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06"/>
      <w:r>
        <w:rPr>
          <w:rStyle w:val="CommentReference"/>
          <w:strike/>
          <w:sz w:val="20"/>
          <w:szCs w:val="20"/>
          <w:highlight w:val="white"/>
        </w:rPr>
        <w:commentReference w:id="206"/>
      </w:r>
    </w:p>
    <w:p w14:paraId="3A3835CB" w14:textId="77777777" w:rsidR="00401741" w:rsidRDefault="00000000">
      <w:pPr>
        <w:ind w:left="720" w:hanging="720"/>
        <w:rPr>
          <w:strike/>
          <w:sz w:val="20"/>
          <w:szCs w:val="20"/>
          <w:highlight w:val="white"/>
        </w:rPr>
      </w:pPr>
      <w:commentRangeStart w:id="207"/>
      <w:r w:rsidRPr="009267BF">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07"/>
      <w:r>
        <w:rPr>
          <w:rStyle w:val="CommentReference"/>
          <w:strike/>
          <w:sz w:val="20"/>
          <w:szCs w:val="20"/>
          <w:highlight w:val="white"/>
        </w:rPr>
        <w:commentReference w:id="207"/>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5">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sidRPr="009267BF">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sidRPr="009267BF">
        <w:rPr>
          <w:i/>
          <w:iCs/>
          <w:highlight w:val="white"/>
          <w:lang w:val="de-DE"/>
        </w:rPr>
        <w:t>Management Decision</w:t>
      </w:r>
      <w:r w:rsidRPr="009267BF">
        <w:rPr>
          <w:highlight w:val="white"/>
          <w:lang w:val="de-DE"/>
        </w:rPr>
        <w:t xml:space="preserve">, </w:t>
      </w:r>
      <w:r w:rsidRPr="009267BF">
        <w:rPr>
          <w:i/>
          <w:iCs/>
          <w:highlight w:val="white"/>
          <w:lang w:val="de-DE"/>
        </w:rPr>
        <w:t>61</w:t>
      </w:r>
      <w:r w:rsidRPr="009267BF">
        <w:rPr>
          <w:highlight w:val="white"/>
          <w:lang w:val="de-DE"/>
        </w:rPr>
        <w:t xml:space="preserve">(13), 295-320. </w:t>
      </w:r>
    </w:p>
    <w:p w14:paraId="563C3A62" w14:textId="77777777" w:rsidR="00401741" w:rsidRDefault="00000000">
      <w:pPr>
        <w:ind w:left="720" w:hanging="720"/>
        <w:rPr>
          <w:highlight w:val="white"/>
        </w:rPr>
      </w:pPr>
      <w:r w:rsidRPr="009267BF">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6">
        <w:r w:rsidR="00401741">
          <w:rPr>
            <w:u w:val="single"/>
          </w:rPr>
          <w:t xml:space="preserve"> </w:t>
        </w:r>
      </w:hyperlink>
      <w:hyperlink r:id="rId27">
        <w:r w:rsidR="00401741">
          <w:rPr>
            <w:color w:val="1155CC"/>
            <w:u w:val="single"/>
          </w:rPr>
          <w:t>https://doi.org/10.1016/j.bushor.2021.03.006</w:t>
        </w:r>
      </w:hyperlink>
    </w:p>
    <w:p w14:paraId="008C81D1" w14:textId="77777777" w:rsidR="00401741" w:rsidRDefault="00000000">
      <w:pPr>
        <w:ind w:left="720" w:hanging="720"/>
        <w:rPr>
          <w:strike/>
        </w:rPr>
      </w:pPr>
      <w:commentRangeStart w:id="208"/>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8">
        <w:r w:rsidR="00401741">
          <w:rPr>
            <w:strike/>
            <w:color w:val="068EF1"/>
            <w:highlight w:val="white"/>
            <w:u w:val="single"/>
          </w:rPr>
          <w:t>https://doi.org/10.1007/s11747-020-00749-9</w:t>
        </w:r>
      </w:hyperlink>
      <w:r>
        <w:rPr>
          <w:strike/>
          <w:color w:val="18181B"/>
          <w:highlight w:val="white"/>
        </w:rPr>
        <w:t>.</w:t>
      </w:r>
      <w:r>
        <w:rPr>
          <w:strike/>
        </w:rPr>
        <w:t xml:space="preserve"> </w:t>
      </w:r>
      <w:commentRangeEnd w:id="208"/>
      <w:r>
        <w:rPr>
          <w:rStyle w:val="CommentReference"/>
          <w:strike/>
          <w:sz w:val="22"/>
          <w:szCs w:val="22"/>
        </w:rPr>
        <w:commentReference w:id="208"/>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795600DE" w14:textId="77777777" w:rsidR="00401741" w:rsidRDefault="00000000">
      <w:pPr>
        <w:ind w:left="720" w:hanging="720"/>
        <w:rPr>
          <w:highlight w:val="white"/>
        </w:rPr>
      </w:pPr>
      <w:r w:rsidRPr="009267BF">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09"/>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09"/>
      <w:r>
        <w:rPr>
          <w:rStyle w:val="CommentReference"/>
          <w:strike/>
          <w:sz w:val="22"/>
          <w:szCs w:val="22"/>
          <w:highlight w:val="white"/>
        </w:rPr>
        <w:commentReference w:id="209"/>
      </w:r>
    </w:p>
    <w:p w14:paraId="1F4525E3" w14:textId="77777777" w:rsidR="00401741" w:rsidRDefault="00000000">
      <w:pPr>
        <w:ind w:left="720" w:hanging="720"/>
      </w:pPr>
      <w:r>
        <w:t>Mayer, H., Yee, L., Chui, M., &amp; Roberts, R. (2025). AI in the workplace: A report for 2025. McKinsey &amp; Company.</w:t>
      </w:r>
      <w:hyperlink r:id="rId29">
        <w:r w:rsidR="00401741">
          <w:rPr>
            <w:u w:val="single"/>
          </w:rPr>
          <w:t xml:space="preserve"> </w:t>
        </w:r>
      </w:hyperlink>
      <w:hyperlink r:id="rId30">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1">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2">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10"/>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10"/>
      <w:r>
        <w:rPr>
          <w:rStyle w:val="CommentReference"/>
          <w:strike/>
          <w:sz w:val="22"/>
          <w:szCs w:val="22"/>
          <w:highlight w:val="white"/>
        </w:rPr>
        <w:commentReference w:id="210"/>
      </w:r>
    </w:p>
    <w:p w14:paraId="7AAE01F7" w14:textId="77777777" w:rsidR="00401741"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3">
        <w:r w:rsidR="00401741">
          <w:rPr>
            <w:u w:val="single"/>
          </w:rPr>
          <w:t xml:space="preserve"> </w:t>
        </w:r>
      </w:hyperlink>
      <w:hyperlink r:id="rId34">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5">
        <w:r w:rsidR="00401741">
          <w:rPr>
            <w:u w:val="single"/>
          </w:rPr>
          <w:t xml:space="preserve"> </w:t>
        </w:r>
      </w:hyperlink>
      <w:hyperlink r:id="rId36">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1"/>
      <w:r w:rsidRPr="009267BF">
        <w:rPr>
          <w:strike/>
          <w:lang w:val="it-IT"/>
        </w:rPr>
        <w:lastRenderedPageBreak/>
        <w:t xml:space="preserve">Vidal, J. F., Perotti, F. A., Gonzalez, R., &amp; Gasco, J. (2022). </w:t>
      </w:r>
      <w:r>
        <w:rPr>
          <w:strike/>
        </w:rPr>
        <w:t>Managing digital transformation: The view from the top. Journal of Business Research, 152, 29–41.</w:t>
      </w:r>
      <w:hyperlink r:id="rId37">
        <w:r w:rsidR="00401741">
          <w:rPr>
            <w:strike/>
            <w:u w:val="single"/>
          </w:rPr>
          <w:t xml:space="preserve"> </w:t>
        </w:r>
      </w:hyperlink>
      <w:hyperlink r:id="rId38">
        <w:r w:rsidR="00401741">
          <w:rPr>
            <w:strike/>
            <w:color w:val="1155CC"/>
            <w:u w:val="single"/>
          </w:rPr>
          <w:t>https://doi.org/10.1016/j.jbusres.2022.07.0200</w:t>
        </w:r>
      </w:hyperlink>
      <w:commentRangeEnd w:id="211"/>
      <w:r>
        <w:rPr>
          <w:rStyle w:val="CommentReference"/>
          <w:strike/>
          <w:sz w:val="22"/>
          <w:szCs w:val="22"/>
        </w:rPr>
        <w:commentReference w:id="211"/>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2" w:name="_icpp6ljm25yc" w:colFirst="0" w:colLast="0"/>
      <w:bookmarkEnd w:id="212"/>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3" w:name="_yaxctkjupl5f" w:colFirst="0" w:colLast="0"/>
      <w:bookmarkEnd w:id="213"/>
      <w:r>
        <w:t>A.1.</w:t>
      </w:r>
      <w:r>
        <w:tab/>
        <w:t>Interview Guide</w:t>
      </w:r>
    </w:p>
    <w:p w14:paraId="10752A95" w14:textId="77777777" w:rsidR="00401741" w:rsidRDefault="00000000">
      <w:pPr>
        <w:pStyle w:val="Heading3"/>
      </w:pPr>
      <w:bookmarkStart w:id="214" w:name="_fso8dir40043" w:colFirst="0" w:colLast="0"/>
      <w:bookmarkEnd w:id="214"/>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15" w:name="_xu7tl6fyia16" w:colFirst="0" w:colLast="0"/>
      <w:bookmarkEnd w:id="215"/>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16" w:name="_uslcrode5spj" w:colFirst="0" w:colLast="0"/>
      <w:bookmarkEnd w:id="216"/>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17" w:name="_4i48gt7nuy87" w:colFirst="0" w:colLast="0"/>
      <w:bookmarkEnd w:id="217"/>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18" w:name="_i4eri4z2mseg" w:colFirst="0" w:colLast="0"/>
      <w:bookmarkEnd w:id="218"/>
    </w:p>
    <w:p w14:paraId="7396CC0C" w14:textId="77777777" w:rsidR="00401741" w:rsidRDefault="00000000">
      <w:pPr>
        <w:pStyle w:val="Heading1"/>
      </w:pPr>
      <w:bookmarkStart w:id="219" w:name="_n4q94a2ei39t" w:colFirst="0" w:colLast="0"/>
      <w:bookmarkEnd w:id="219"/>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20" w:name="_z0nzv114icat" w:colFirst="0" w:colLast="0"/>
      <w:bookmarkEnd w:id="220"/>
      <w:r>
        <w:br w:type="page"/>
      </w:r>
    </w:p>
    <w:p w14:paraId="4AB19BF1" w14:textId="77777777" w:rsidR="00401741" w:rsidRDefault="00000000">
      <w:pPr>
        <w:pStyle w:val="Heading1"/>
      </w:pPr>
      <w:bookmarkStart w:id="221" w:name="_8iomnw571gh6" w:colFirst="0" w:colLast="0"/>
      <w:bookmarkEnd w:id="221"/>
      <w:r>
        <w:lastRenderedPageBreak/>
        <w:t>Appendix D. Supporting Quotes</w:t>
      </w:r>
    </w:p>
    <w:p w14:paraId="1AB83E4D" w14:textId="77777777" w:rsidR="00401741" w:rsidRDefault="00000000">
      <w:r>
        <w:t>Placeholder (</w:t>
      </w:r>
      <w:hyperlink r:id="rId40">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2" w:name="_a7k3h3b6oqi2" w:colFirst="0" w:colLast="0"/>
      <w:bookmarkEnd w:id="222"/>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2" w:author="Stefanie B." w:date="2026-05-11T12:39:00Z" w:initials="">
    <w:p w14:paraId="32CCE69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suggest to remove this to avoid introducing too many terms - stick to expert systems here</w:t>
      </w:r>
    </w:p>
  </w:comment>
  <w:comment w:id="46"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7"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51"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52"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53"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4"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5"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9"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8"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63"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62"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4"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5"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6"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9"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4"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90"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7"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8"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9"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100"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102"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5"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6"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7"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8"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1"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14"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6"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8"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20"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24"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5"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8"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9"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30"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31"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5"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6"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7"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8"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4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5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53"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5"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54"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60"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63"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64"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6" w:author="Daan Luttik" w:date="2026-05-30T16:31:00Z" w:initials="">
    <w:p w14:paraId="3FD0CB1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Mention training as a prerequisite for successful experimenting.</w:t>
      </w:r>
    </w:p>
  </w:comment>
  <w:comment w:id="167" w:author="Daan Luttik" w:date="2026-05-29T14:33:00Z" w:initials="">
    <w:p w14:paraId="480B8F3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reword</w:t>
      </w:r>
    </w:p>
  </w:comment>
  <w:comment w:id="168" w:author="Daan Luttik" w:date="2026-05-30T16:39:00Z" w:initials="">
    <w:p w14:paraId="7E810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Lacking is removed. Instead I'll discuss lacking in the context of leveraging.</w:t>
      </w:r>
    </w:p>
  </w:comment>
  <w:comment w:id="169" w:author="Daan Luttik" w:date="2026-05-30T16:27:00Z" w:initials="">
    <w:p w14:paraId="36A4B01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Talk about process thinking, AI understanding</w:t>
      </w:r>
    </w:p>
  </w:comment>
  <w:comment w:id="170" w:author="Daan Luttik" w:date="2026-05-30T16:49:00Z" w:initials="">
    <w:p w14:paraId="6704042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 data analysis</w:t>
      </w:r>
    </w:p>
  </w:comment>
  <w:comment w:id="171" w:author="Daan Luttik" w:date="2026-05-30T16:56:00Z" w:initials="">
    <w:p w14:paraId="201FFC9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Data &amp; context is part of integration... What else?</w:t>
      </w:r>
    </w:p>
  </w:comment>
  <w:comment w:id="172" w:author="Daan Luttik" w:date="2026-05-30T16:52:00Z" w:initials="">
    <w:p w14:paraId="062953E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Including; speed &amp; scalability</w:t>
      </w:r>
    </w:p>
  </w:comment>
  <w:comment w:id="173" w:author="Daan Luttik" w:date="2026-05-30T16:34:00Z" w:initials="">
    <w:p w14:paraId="7A8520E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i.e. Extended skillset</w:t>
      </w:r>
    </w:p>
  </w:comment>
  <w:comment w:id="174" w:author="Daan Luttik" w:date="2026-05-30T15:42:00Z" w:initials="">
    <w:p w14:paraId="604C498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Hard errors or content not in line with brand.</w:t>
      </w:r>
    </w:p>
  </w:comment>
  <w:comment w:id="180"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82"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84"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93"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198" w:author="Daan Luttik" w:date="2026-05-25T16:47:00Z" w:initials="">
    <w:p w14:paraId="1CFACC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Should probably be closer to the start.</w:t>
      </w:r>
    </w:p>
  </w:comment>
  <w:comment w:id="206"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07"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08"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09"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10"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1"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32CCE69A" w15:done="0"/>
  <w15:commentEx w15:paraId="79B7721E" w15:done="0"/>
  <w15:commentEx w15:paraId="0DA1D061" w15:done="0"/>
  <w15:commentEx w15:paraId="13C3C6DF" w15:done="0"/>
  <w15:commentEx w15:paraId="58B1243D" w15:done="0"/>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3FD0CB14" w15:done="0"/>
  <w15:commentEx w15:paraId="480B8F30" w15:done="0"/>
  <w15:commentEx w15:paraId="7E8104DE" w15:done="0"/>
  <w15:commentEx w15:paraId="36A4B016" w15:done="0"/>
  <w15:commentEx w15:paraId="67040425" w15:done="0"/>
  <w15:commentEx w15:paraId="201FFC93" w15:done="0"/>
  <w15:commentEx w15:paraId="062953EB" w15:done="0"/>
  <w15:commentEx w15:paraId="7A8520E7" w15:done="0"/>
  <w15:commentEx w15:paraId="604C4982" w15:done="0"/>
  <w15:commentEx w15:paraId="69ACE959" w15:done="0"/>
  <w15:commentEx w15:paraId="2980F578" w15:done="0"/>
  <w15:commentEx w15:paraId="5355B2EA" w15:done="0"/>
  <w15:commentEx w15:paraId="19BDAF4D" w15:done="0"/>
  <w15:commentEx w15:paraId="1CFACCDB"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32CCE69A" w16cid:durableId="278F9DEC"/>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3FD0CB14" w16cid:durableId="39EE6149"/>
  <w16cid:commentId w16cid:paraId="480B8F30" w16cid:durableId="3670E434"/>
  <w16cid:commentId w16cid:paraId="7E8104DE" w16cid:durableId="1CA6AACA"/>
  <w16cid:commentId w16cid:paraId="36A4B016" w16cid:durableId="6EE5F3F6"/>
  <w16cid:commentId w16cid:paraId="67040425" w16cid:durableId="5C244B63"/>
  <w16cid:commentId w16cid:paraId="201FFC93" w16cid:durableId="208FF108"/>
  <w16cid:commentId w16cid:paraId="062953EB" w16cid:durableId="56B27408"/>
  <w16cid:commentId w16cid:paraId="7A8520E7" w16cid:durableId="1B51BBB8"/>
  <w16cid:commentId w16cid:paraId="604C4982" w16cid:durableId="2769D949"/>
  <w16cid:commentId w16cid:paraId="69ACE959" w16cid:durableId="505D8706"/>
  <w16cid:commentId w16cid:paraId="2980F578" w16cid:durableId="6E082F65"/>
  <w16cid:commentId w16cid:paraId="5355B2EA" w16cid:durableId="1C973F00"/>
  <w16cid:commentId w16cid:paraId="19BDAF4D" w16cid:durableId="07F25AA7"/>
  <w16cid:commentId w16cid:paraId="1CFACCDB" w16cid:durableId="487522C6"/>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E94A7" w14:textId="77777777" w:rsidR="003370C8" w:rsidRDefault="003370C8">
      <w:pPr>
        <w:spacing w:line="240" w:lineRule="auto"/>
      </w:pPr>
      <w:r>
        <w:separator/>
      </w:r>
    </w:p>
  </w:endnote>
  <w:endnote w:type="continuationSeparator" w:id="0">
    <w:p w14:paraId="0A1931C5" w14:textId="77777777" w:rsidR="003370C8" w:rsidRDefault="003370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CD98DAE3-F5F9-424C-8032-8E4F673AED80}"/>
    <w:embedBold r:id="rId2" w:fontKey="{84421AE1-652A-46BE-999E-323197594DAC}"/>
    <w:embedItalic r:id="rId3" w:fontKey="{900AD310-7912-4456-B1E7-D4D4F42A906B}"/>
    <w:embedBoldItalic r:id="rId4" w:fontKey="{538AF0A6-B2E3-41DB-821B-8994E4DAF712}"/>
  </w:font>
  <w:font w:name="EB Garamond SemiBold">
    <w:charset w:val="00"/>
    <w:family w:val="auto"/>
    <w:pitch w:val="variable"/>
    <w:sig w:usb0="E00002FF" w:usb1="02000413" w:usb2="00000000" w:usb3="00000000" w:csb0="0000019F" w:csb1="00000000"/>
    <w:embedRegular r:id="rId5" w:fontKey="{C1505441-BEF2-491C-842D-6E6C7FAF57C4}"/>
  </w:font>
  <w:font w:name="EB Garamond Medium">
    <w:charset w:val="00"/>
    <w:family w:val="auto"/>
    <w:pitch w:val="variable"/>
    <w:sig w:usb0="E00002FF" w:usb1="02000413" w:usb2="00000000" w:usb3="00000000" w:csb0="0000019F" w:csb1="00000000"/>
    <w:embedRegular r:id="rId6" w:fontKey="{D4062A55-BD16-4CBC-9DEB-9260110CD907}"/>
  </w:font>
  <w:font w:name="Cardo">
    <w:charset w:val="00"/>
    <w:family w:val="auto"/>
    <w:pitch w:val="default"/>
    <w:embedRegular r:id="rId7" w:fontKey="{FBBBAD5C-F960-4E78-B2ED-3C34DC6C205B}"/>
  </w:font>
  <w:font w:name="Calibri">
    <w:panose1 w:val="020F0502020204030204"/>
    <w:charset w:val="00"/>
    <w:family w:val="swiss"/>
    <w:pitch w:val="variable"/>
    <w:sig w:usb0="E4002EFF" w:usb1="C200247B" w:usb2="00000009" w:usb3="00000000" w:csb0="000001FF" w:csb1="00000000"/>
    <w:embedRegular r:id="rId8" w:fontKey="{949077C4-110F-47CE-862A-3E7B86F3D2ED}"/>
  </w:font>
  <w:font w:name="Cambria">
    <w:panose1 w:val="02040503050406030204"/>
    <w:charset w:val="00"/>
    <w:family w:val="roman"/>
    <w:pitch w:val="variable"/>
    <w:sig w:usb0="E00006FF" w:usb1="420024FF" w:usb2="02000000" w:usb3="00000000" w:csb0="0000019F" w:csb1="00000000"/>
    <w:embedRegular r:id="rId9" w:fontKey="{BD71D1FA-1EFD-4E92-8AB1-EC383EE3D6C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849BA8" w14:textId="77777777" w:rsidR="003370C8" w:rsidRDefault="003370C8">
      <w:pPr>
        <w:spacing w:line="240" w:lineRule="auto"/>
      </w:pPr>
      <w:r>
        <w:separator/>
      </w:r>
    </w:p>
  </w:footnote>
  <w:footnote w:type="continuationSeparator" w:id="0">
    <w:p w14:paraId="4D856EAF" w14:textId="77777777" w:rsidR="003370C8" w:rsidRDefault="003370C8">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0"/>
  </w:num>
  <w:num w:numId="4" w16cid:durableId="238558033">
    <w:abstractNumId w:val="7"/>
  </w:num>
  <w:num w:numId="5" w16cid:durableId="1646160777">
    <w:abstractNumId w:val="6"/>
  </w:num>
  <w:num w:numId="6" w16cid:durableId="1217813735">
    <w:abstractNumId w:val="5"/>
  </w:num>
  <w:num w:numId="7" w16cid:durableId="569197200">
    <w:abstractNumId w:val="2"/>
  </w:num>
  <w:num w:numId="8" w16cid:durableId="340592914">
    <w:abstractNumId w:val="9"/>
  </w:num>
  <w:num w:numId="9" w16cid:durableId="387461117">
    <w:abstractNumId w:val="4"/>
  </w:num>
  <w:num w:numId="10" w16cid:durableId="1699353059">
    <w:abstractNumId w:val="1"/>
  </w:num>
  <w:num w:numId="11" w16cid:durableId="964115238">
    <w:abstractNumId w:val="11"/>
  </w:num>
  <w:num w:numId="12" w16cid:durableId="12859599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287922"/>
    <w:rsid w:val="00326636"/>
    <w:rsid w:val="003370C8"/>
    <w:rsid w:val="00401741"/>
    <w:rsid w:val="00591258"/>
    <w:rsid w:val="00611F20"/>
    <w:rsid w:val="00652B3F"/>
    <w:rsid w:val="008632C5"/>
    <w:rsid w:val="009267BF"/>
    <w:rsid w:val="00DD3A03"/>
    <w:rsid w:val="00F535D8"/>
    <w:rsid w:val="00FB1D74"/>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semiHidden/>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1016/j.bushor.2021.03.006" TargetMode="External"/><Relationship Id="rId39" Type="http://schemas.openxmlformats.org/officeDocument/2006/relationships/image" Target="media/image4.png"/><Relationship Id="rId21" Type="http://schemas.openxmlformats.org/officeDocument/2006/relationships/hyperlink" Target="https://www.anthropic.com/engineering/equipping-agents-for-the-real-world-with-agent-skills" TargetMode="External"/><Relationship Id="rId34" Type="http://schemas.openxmlformats.org/officeDocument/2006/relationships/hyperlink" Target="https://doi.org/10.5539/ass.v11n9p320"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anthropic.com/news/model-context-protocol" TargetMode="External"/><Relationship Id="rId29" Type="http://schemas.openxmlformats.org/officeDocument/2006/relationships/hyperlink" Target="https://www.mckinsey.com/capabilities/mckinsey-digital/our-insights/superagency-in-the-workplace-empowering-people-to-unlock-ais-full-potential-at-work"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doi.org/10.69554/xehz1946" TargetMode="External"/><Relationship Id="rId32" Type="http://schemas.openxmlformats.org/officeDocument/2006/relationships/hyperlink" Target="https://openai.com/index/function-calling-and-other-api-updates/" TargetMode="External"/><Relationship Id="rId37" Type="http://schemas.openxmlformats.org/officeDocument/2006/relationships/hyperlink" Target="https://doi.org/10.1016/j.jbusres.2022.07.020" TargetMode="External"/><Relationship Id="rId40" Type="http://schemas.openxmlformats.org/officeDocument/2006/relationships/hyperlink" Target="https://www.sciencedirect.com/science/article/pii/S0148296320305816?casa_token=-TZnYSiJItAAAAAA:2TosN3zZkh8TzkAafxZI0TgvzAI9n52IVpDxicnCelZ6WeQl9xhDpmvVVY0ewWM_RntdOMqccns" TargetMode="External"/><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help.openai.com/en/articles/20001066-skills-in-chatgpt" TargetMode="External"/><Relationship Id="rId28" Type="http://schemas.openxmlformats.org/officeDocument/2006/relationships/hyperlink" Target="https://doi.org/10.1007/s11747-020-00749-9"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openxmlformats.org/officeDocument/2006/relationships/hyperlink" Target="https://www.sciencedirect.com/science/article/pii/S0148296320305816?casa_token=-TZnYSiJItAAAAAA:2TosN3zZkh8TzkAafxZI0TgvzAI9n52IVpDxicnCelZ6WeQl9xhDpmvVVY0ewWM_RntdOMqccns" TargetMode="External"/><Relationship Id="rId31" Type="http://schemas.openxmlformats.org/officeDocument/2006/relationships/hyperlink" Target="https://openai.com/index/chatgpt/" TargetMode="Externa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claude.com/blog/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1002/(SICI)1097-0266(199708)18:7%3c509::AID-SMJ882%3e3.0.CO;2-Z" TargetMode="Externa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48550/arXiv.2405.21015" TargetMode="External"/><Relationship Id="rId33" Type="http://schemas.openxmlformats.org/officeDocument/2006/relationships/hyperlink" Target="https://doi.org/10.5539/ass.v11n9p320" TargetMode="External"/><Relationship Id="rId38" Type="http://schemas.openxmlformats.org/officeDocument/2006/relationships/hyperlink" Target="https://doi.org/10.1016/j.jbusres.2022.07.020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70</Pages>
  <Words>18098</Words>
  <Characters>99543</Characters>
  <Application>Microsoft Office Word</Application>
  <DocSecurity>0</DocSecurity>
  <Lines>829</Lines>
  <Paragraphs>234</Paragraphs>
  <ScaleCrop>false</ScaleCrop>
  <Company/>
  <LinksUpToDate>false</LinksUpToDate>
  <CharactersWithSpaces>117407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6</cp:revision>
  <dcterms:created xsi:type="dcterms:W3CDTF">2026-06-01T19:34:00Z</dcterms:created>
  <dcterms:modified xsi:type="dcterms:W3CDTF">2026-06-05T17:23:00Z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