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rsidR="00000000">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rsidR="009267BF">
        <w:tab/>
      </w:r>
      <w:r>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rsidR="009267BF">
        <w:tab/>
      </w:r>
      <w:r>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77777777"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t>Creating the context for effective change</w:t>
      </w:r>
      <w:commentRangeEnd w:id="184"/>
      <w:r>
        <w:rPr>
          <w:rStyle w:val="CommentReference"/>
          <w:color w:val="000000"/>
          <w:sz w:val="22"/>
          <w:szCs w:val="22"/>
        </w:rPr>
        <w:commentReference w:id="184"/>
      </w:r>
    </w:p>
    <w:p w14:paraId="506C3DFF" w14:textId="77777777" w:rsidR="009267BF" w:rsidRDefault="00000000">
      <w:r>
        <w:rPr>
          <w:i/>
          <w:iCs/>
        </w:rPr>
        <w:t>Internal conditions</w:t>
      </w:r>
      <w:r>
        <w:t xml:space="preserve"> describe a set of conditions within the organization of focus. These conditions can be critical for the organization's ability to implement, use, or create value using agentic AI. Three interlocking themes recur throughout the data:</w:t>
      </w:r>
      <w:r w:rsidR="009267BF">
        <w:t xml:space="preserve"> (1)</w:t>
      </w:r>
      <w:r>
        <w:t xml:space="preserve"> the capacity to change</w:t>
      </w:r>
      <w:r w:rsidR="009267BF">
        <w:t>, which includes</w:t>
      </w:r>
      <w:r>
        <w:t xml:space="preserve"> </w:t>
      </w:r>
      <w:r w:rsidR="009267BF">
        <w:t xml:space="preserve">elements like the available </w:t>
      </w:r>
      <w:r>
        <w:t xml:space="preserve">knowledge, culture, and organizational agility; </w:t>
      </w:r>
      <w:r w:rsidR="009267BF">
        <w:t xml:space="preserve">(2) </w:t>
      </w:r>
      <w:r>
        <w:t xml:space="preserve">the availability of enabling resources such as data infrastructure and technical tools; and </w:t>
      </w:r>
      <w:r w:rsidR="009267BF">
        <w:t xml:space="preserve">(3) </w:t>
      </w:r>
      <w:r>
        <w:t xml:space="preserve">the quality of leadership and governance. </w:t>
      </w:r>
    </w:p>
    <w:p w14:paraId="05C933DA" w14:textId="77777777" w:rsidR="008632C5" w:rsidRDefault="008632C5" w:rsidP="00326636">
      <w:pPr>
        <w:rPr>
          <w:i/>
          <w:iCs/>
        </w:rPr>
      </w:pPr>
      <w:r w:rsidRPr="008632C5">
        <w:t>Managers respond to internal conditions in three distinct ways. Leveraging is the use of a favorable condition to amplify the organization's ability to adopt and create value with agentic AI. Navigating is adapting the way agentic AI is adopted to fit the existing constraints, typically (though not necessarily) accepting them as given. Reshaping is actively working to change the condition itself. A notable pattern in the research was that managers defaulted to navigation: unfavorable conditions were largely treated as fixed features of the environment to be worked around, rather than as variables open to active redesign.</w:t>
      </w:r>
    </w:p>
    <w:p w14:paraId="41C75068" w14:textId="1411B13D" w:rsidR="00401741" w:rsidRPr="00652B3F" w:rsidRDefault="00000000" w:rsidP="00611F20">
      <w:pPr>
        <w:pStyle w:val="Heading3"/>
      </w:pPr>
      <w:r w:rsidRPr="00652B3F">
        <w:t>4.2.1</w:t>
      </w:r>
      <w:r w:rsidRPr="00652B3F">
        <w:tab/>
        <w:t>Capacity to change</w:t>
      </w:r>
    </w:p>
    <w:p w14:paraId="16647A14" w14:textId="5AF98A62" w:rsidR="00401741" w:rsidRDefault="00000000">
      <w:r>
        <w:t xml:space="preserve">The most consistently identified barrier to adopting agentic AI is not technical but organizational: the capacity to change. This encompasses </w:t>
      </w:r>
      <w:r w:rsidR="002940E3">
        <w:t>the e</w:t>
      </w:r>
      <w:r w:rsidR="002940E3">
        <w:t>mployees’ openness to new ways of working</w:t>
      </w:r>
      <w:r w:rsidR="002940E3">
        <w:t xml:space="preserve">, </w:t>
      </w:r>
      <w:r>
        <w:t>the level of AI understanding</w:t>
      </w:r>
      <w:r w:rsidR="002940E3">
        <w:t xml:space="preserve"> (typically referred to as AI literacy)</w:t>
      </w:r>
      <w:r>
        <w:t xml:space="preserve"> within the organization</w:t>
      </w:r>
      <w:r w:rsidR="002940E3">
        <w:t xml:space="preserve">, </w:t>
      </w:r>
      <w:r>
        <w:t xml:space="preserve">and the </w:t>
      </w:r>
      <w:commentRangeStart w:id="185"/>
      <w:r>
        <w:t>organizational ability to act quickly</w:t>
      </w:r>
      <w:r w:rsidR="002940E3">
        <w:t xml:space="preserve"> under </w:t>
      </w:r>
      <w:r>
        <w:t>uncertainty</w:t>
      </w:r>
      <w:commentRangeEnd w:id="185"/>
      <w:r w:rsidR="002940E3">
        <w:rPr>
          <w:rStyle w:val="CommentReference"/>
          <w:sz w:val="22"/>
          <w:szCs w:val="22"/>
        </w:rPr>
        <w:commentReference w:id="185"/>
      </w:r>
      <w:r>
        <w:t>.</w:t>
      </w:r>
    </w:p>
    <w:p w14:paraId="27AC1201" w14:textId="293919B3" w:rsidR="00401741" w:rsidRDefault="00000000">
      <w:r>
        <w:t xml:space="preserve">Resistance emerged as </w:t>
      </w:r>
      <w:r w:rsidR="002940E3">
        <w:t>a</w:t>
      </w:r>
      <w:r>
        <w:t xml:space="preserve">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w:t>
      </w:r>
      <w:r w:rsidR="00FF706E">
        <w:t xml:space="preserve">, and it works well, and they know it, and they’re </w:t>
      </w:r>
      <w:r w:rsidR="00FF706E">
        <w:lastRenderedPageBreak/>
        <w:t>comfortable.</w:t>
      </w:r>
      <w:r w:rsidR="002940E3">
        <w:t xml:space="preserve"> […] </w:t>
      </w:r>
      <w:r>
        <w:t>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rsidRPr="00AC12A9">
        <w:t>“T</w:t>
      </w:r>
      <w:r>
        <w:t>hey</w:t>
      </w:r>
      <w:r w:rsidRPr="00AC12A9">
        <w:t xml:space="preserve"> were very skeptical. Uh, “Oh, I need to learn a new thing while running my business.” Well, if you learn these new things, you can do ten times, ten times besides the things that you do. Uh, so got a lot of pushback there.</w:t>
      </w:r>
    </w:p>
    <w:p w14:paraId="15A18834" w14:textId="77777777"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 to see how data, tools, and processes interact —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F4BADC4" w14:textId="77777777" w:rsidR="00FB1D74" w:rsidRDefault="00000000">
      <w:ins w:id="186" w:author="Claude" w:date="2026-06-01T00:00:00Z">
        <w:r>
          <w:rPr>
            <w:i/>
          </w:rPr>
          <w:t>Experimenting with AI</w:t>
        </w:r>
        <w:r>
          <w:t xml:space="preserve"> refers to running small-scale trials of agentic tools and workflows to generate practical knowledge and build organizational confidence. </w:t>
        </w:r>
        <w:r>
          <w:rPr>
            <w:i/>
          </w:rPr>
          <w:t>Educating and training</w:t>
        </w:r>
        <w:r>
          <w:t xml:space="preserve"> refers to the deliberate effort to raise AI literacy and capability across the organization.</w:t>
        </w:r>
      </w:ins>
    </w:p>
    <w:p w14:paraId="35CF2408" w14:textId="77777777" w:rsidR="00401741" w:rsidRDefault="00000000">
      <w:r>
        <w:t xml:space="preserve">In response to these barriers, the data shows that experimenting with AI (37 code applications, 17 documents) and educating and training (28 code applications, 14 documents) are the two dominant mechanisms through which managers build organizational capacity to </w:t>
      </w:r>
      <w:r>
        <w:lastRenderedPageBreak/>
        <w:t>change.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13 described enabling this at the team level: “Provide freedom to experiment and don’t set this atmosphere of fear that AI is going to replace you.”</w:t>
      </w:r>
    </w:p>
    <w:p w14:paraId="66A612A8" w14:textId="77777777" w:rsidR="00401741" w:rsidRDefault="00000000">
      <w:r>
        <w:t>However, education alone is insufficient to sustain change. Interviewee 17 observed a common pattern encountered in her training work: “After two or three trainings companies basically stop, because then they go back to what they started with.” Sustained capacity-building requires not just initial education but ongoing structural embedding of learning.</w:t>
      </w:r>
    </w:p>
    <w:p w14:paraId="423C8265" w14:textId="74313AF6" w:rsidR="00401741" w:rsidRPr="00591258" w:rsidRDefault="00000000" w:rsidP="00591258">
      <w:pPr>
        <w:pStyle w:val="Heading3"/>
        <w:rPr>
          <w:color w:val="24292E"/>
        </w:rPr>
      </w:pPr>
      <w:bookmarkStart w:id="187" w:name="_xw6d9a4ef7wu" w:colFirst="0" w:colLast="0"/>
      <w:bookmarkEnd w:id="187"/>
      <w:r>
        <w:rPr>
          <w:color w:val="24292E"/>
        </w:rPr>
        <w:t>4.2.2</w:t>
      </w:r>
      <w:r>
        <w:rPr>
          <w:color w:val="24292E"/>
        </w:rPr>
        <w:tab/>
        <w:t>Available resources</w:t>
      </w:r>
    </w:p>
    <w:p w14:paraId="26633136" w14:textId="77777777" w:rsidR="00401741" w:rsidRDefault="00000000">
      <w:r>
        <w:t>A second cluster of internal conditions concerns the availability of enabling resources: the data, tools, and technical infrastructure that make AI implementation feasible. Having data and tools available and accessible emerged as a critical enabler (21 code applications, 12 documents), while lacking solid data infrastructure was a significant barrier (8 code applications, 6 documents).</w:t>
      </w:r>
    </w:p>
    <w:p w14:paraId="4663BA43" w14:textId="77777777" w:rsidR="00401741" w:rsidRDefault="00000000">
      <w:r>
        <w:t>Data infrastructure emerged as the foundational prerequisite. Interviewee 2 described his organization’s situation plainly: “The infrastructure is not yet in place, and the work on it is really big.” He elaborated that this is not a failure of will but of competing priorities: every improvement to the underlying data platform competes for attention with immediate operational demands. Without a robust and accessible data layer, AI systems cannot be reliably built or deployed.</w:t>
      </w:r>
    </w:p>
    <w:p w14:paraId="7AED676A" w14:textId="77777777" w:rsidR="00401741" w:rsidRDefault="00000000">
      <w:r>
        <w:t>A deeper resource constraint is the absence of systems thinking — the ability to understand how data flows connect across tools, departments, and processes. Interviewee 13 described this as the root cause behind many apparent AI failures:</w:t>
      </w:r>
    </w:p>
    <w:p w14:paraId="00A54DDD" w14:textId="77777777" w:rsidR="00401741" w:rsidRDefault="00000000">
      <w:pPr>
        <w:ind w:left="720"/>
      </w:pPr>
      <w:r>
        <w:t xml:space="preserve">“The stupidest example is … people want to understand their marketing data better. And it’s really just like you have 20 different sources, you don’t know how to </w:t>
      </w:r>
      <w:r>
        <w:lastRenderedPageBreak/>
        <w:t>connect them, you don’t know how to put this all together. … The culprit is really still they don’t understand what the issues are.”</w:t>
      </w:r>
    </w:p>
    <w:p w14:paraId="60A8D09B" w14:textId="77777777" w:rsidR="00401741" w:rsidRDefault="00000000">
      <w:r>
        <w:t>The problem is not data access per se, but the analytical capacity to know what data is needed, in what form, and for what purpose. Interviewee 1 noted that this type of deep process knowledge — a feel for system logic — is precisely what is hardest to augment with AI, because it requires a level of structured thinking that many teams have not yet developed.</w:t>
      </w:r>
    </w:p>
    <w:p w14:paraId="4757A26D" w14:textId="77777777" w:rsidR="00401741" w:rsidRDefault="00000000">
      <w:r>
        <w:t>Where these foundational resources are available, they become powerful enablers. Interviewee 4 described his own setup: “I connected an MCP to their Google Analytics and Google Search Console. So I have direct access to that data source in my cloud, and I can run cron jobs and have an agent run reports.” Interviewee 5 similarly observed that once the back-end infrastructure is in place, rapid experimentation becomes possible: “The back-end stuff needs to be extremely robust, and then … you can really build quickly.” Both cases illustrate how data access and tool availability translate directly into the ability to deploy agentic workflows.</w:t>
      </w:r>
    </w:p>
    <w:p w14:paraId="07FF05EB" w14:textId="77777777" w:rsidR="00401741" w:rsidRDefault="00000000">
      <w:r>
        <w:t>Budget appeared as a secondary resource constraint (2 code applications). Interviewee 9 captured the tension: “The passion is there, the need is there, the want is there, the brains are there. It’s time, money, and resources.” While budget is not the primary barrier in the data, it becomes a bottleneck when resource availability determines whether AI initiatives can scale from pilot to production.</w:t>
      </w:r>
    </w:p>
    <w:p w14:paraId="5D92C570" w14:textId="77777777" w:rsidR="00401741" w:rsidRDefault="00000000">
      <w:pPr>
        <w:pStyle w:val="Heading3"/>
      </w:pPr>
      <w:bookmarkStart w:id="188" w:name="_qy9fnmmddxdy" w:colFirst="0" w:colLast="0"/>
      <w:bookmarkEnd w:id="188"/>
      <w:r>
        <w:t>4.2.3</w:t>
      </w:r>
      <w:r>
        <w:tab/>
        <w:t>Leadership &amp; Governance</w:t>
      </w:r>
    </w:p>
    <w:p w14:paraId="62AD34F3" w14:textId="77777777" w:rsidR="00401741" w:rsidRDefault="00401741"/>
    <w:p w14:paraId="29D53142" w14:textId="77777777" w:rsidR="00401741" w:rsidRDefault="00000000">
      <w:r>
        <w:t>The third cluster of internal conditions concerns leadership and governance — the organizational structures and behaviors that either enable or impede AI adoption. The data surfaces three related dynamics: the role of individual AI champions, the importance of leadership backing, and the friction created by bureaucratic governance.</w:t>
      </w:r>
    </w:p>
    <w:p w14:paraId="72CF88CA" w14:textId="77777777" w:rsidR="00401741" w:rsidRDefault="00000000">
      <w:r>
        <w:t xml:space="preserve">Individual AI champions emerged as a disproportionately influential factor (5 code applications but high narrative weight across the corpus). An AI champion is a person who, </w:t>
      </w:r>
      <w:r>
        <w:lastRenderedPageBreak/>
        <w:t>often without formal mandate, drives AI initiatives forward through personal initiative, visible results, and internal advocacy. Interviewee 9 described a vivid example from her organization:</w:t>
      </w:r>
    </w:p>
    <w:p w14:paraId="1EBFA917" w14:textId="77777777" w:rsidR="00401741" w:rsidRDefault="00000000">
      <w:pPr>
        <w:ind w:left="720"/>
      </w:pPr>
      <w:r>
        <w:t>“Affinity Hub was created originally by … our global creative director that dabbles in dev, and he created it, and it’s like blown up, and so now there’s millions of dollars of funding.”</w:t>
      </w:r>
    </w:p>
    <w:p w14:paraId="39C6AD00" w14:textId="77777777" w:rsidR="00401741" w:rsidRDefault="00000000">
      <w:r>
        <w:t>A single individual’s initiative, when it produces visible results, can unlock significant organizational investment. Interviewee 6 embodied this champion role in her own organization — consistently pushing AI initiatives forward, absorbing resistance, and creating space for others to experiment.</w:t>
      </w:r>
    </w:p>
    <w:p w14:paraId="15E7A415" w14:textId="77777777" w:rsidR="00401741" w:rsidRDefault="00000000">
      <w:r>
        <w:t>Leadership backing amplifies the champion effect (14 code applications, 10 documents). Without visible endorsement from leadership, AI initiatives tend to stall at the pilot stage. Interviewee 4 noted that the current moment requires leaders to help employees make sense of change: “People are drinking from a fire hose. They need to have that leadership that tells them their importance, they’re part of the team, and their work matters.” Interviewee 17 identified three conditions that must align for AI adoption to succeed: “Leadership wants us to work with AI. But can employees do that too? Do they do it and do they want to? Those are basically three things. And when those three things align with each other, you get a fantastic AI implementation.”</w:t>
      </w:r>
    </w:p>
    <w:p w14:paraId="6555E442" w14:textId="77777777" w:rsidR="00FB1D74" w:rsidRDefault="00000000">
      <w:ins w:id="189" w:author="Claude" w:date="2026-06-01T00:00:00Z">
        <w:r>
          <w:rPr>
            <w:i/>
          </w:rPr>
          <w:t>Bringing people along</w:t>
        </w:r>
        <w:r>
          <w:t xml:space="preserve"> refers to the managerial process of building alignment, managing resistance, and developing shared commitment to AI adoption within the organization.</w:t>
        </w:r>
      </w:ins>
    </w:p>
    <w:p w14:paraId="728E6D40" w14:textId="77777777" w:rsidR="00401741" w:rsidRDefault="00000000">
      <w:r>
        <w:t xml:space="preserve">The process of bringing people along — change management at the team and organizational level — was one of the most richly coded themes in this block (24 code applications, 13 documents). Interviewee 6 captured the essential managerial move: “This is the vision. This is where we’re going. Help me get there.” Interviewee 13 described a practical approach: using lighthouse projects as demonstration cases that make the value of AI tangible to </w:t>
      </w:r>
      <w:r>
        <w:lastRenderedPageBreak/>
        <w:t>skeptical colleagues. “Show them the first one that can be automated or made a lot quicker … then, well, then often they understand much better what the use cases would be.”</w:t>
      </w:r>
    </w:p>
    <w:p w14:paraId="5D023638" w14:textId="77777777" w:rsidR="00401741" w:rsidRDefault="00000000">
      <w:r>
        <w:t>Alongside these enabling behaviors, bureaucratic governance emerged as a significant opposing force (21 code applications, 13 documents). Governance friction appeared in several forms: IT security and procurement processes slowing deployment, legal and compliance concerns blocking tool use, and organizational politics preventing experimentation. Interviewee 13 observed a pattern in large enterprises:</w:t>
      </w:r>
    </w:p>
    <w:p w14:paraId="38E6F9DB" w14:textId="77777777" w:rsidR="00401741" w:rsidRDefault="00000000">
      <w:pPr>
        <w:ind w:left="720"/>
      </w:pPr>
      <w:r>
        <w:t>“They are not allowed to use agentic AI a lot … there’s this weird distinction people make. It’s totally fine to buy any kind of tool you don’t know anything about and put it into the system. But agentic AI? That’s completely out of range.”</w:t>
      </w:r>
    </w:p>
    <w:p w14:paraId="100C1589" w14:textId="77777777" w:rsidR="00401741" w:rsidRDefault="00000000">
      <w:r>
        <w:t>Interviewee 6 noted that governance structures, while legitimate, can prevent organizations from learning: “If we would’ve been stopped at the beginning — ‘You cannot use this system because you’re already on this system’ — I think that is something that’s really holding people back.”</w:t>
      </w:r>
    </w:p>
    <w:p w14:paraId="3AA2ED7B" w14:textId="77777777" w:rsidR="00401741" w:rsidRDefault="00000000">
      <w:r>
        <w:t>Taken together, the internal conditions described in sections 4.2.1 to 4.2.3 represent the organizational substrate on which AI value creation depends. How managers navigate these conditions — leveraging favorable ones and working around or reshaping unfavorable ones — directly shapes the adoption processes described in section 4.3.</w:t>
      </w:r>
    </w:p>
    <w:p w14:paraId="177D50D1" w14:textId="77777777" w:rsidR="00401741" w:rsidRDefault="00000000">
      <w:pPr>
        <w:pStyle w:val="Heading2"/>
        <w:rPr>
          <w:color w:val="00312A"/>
        </w:rPr>
      </w:pPr>
      <w:bookmarkStart w:id="190" w:name="_hojo1f9yxiy" w:colFirst="0" w:colLast="0"/>
      <w:bookmarkEnd w:id="190"/>
      <w:r>
        <w:rPr>
          <w:color w:val="00312A"/>
        </w:rPr>
        <w:t>4.3</w:t>
      </w:r>
      <w:r>
        <w:rPr>
          <w:color w:val="00312A"/>
        </w:rPr>
        <w:tab/>
        <w:t>Applying AI</w:t>
      </w:r>
    </w:p>
    <w:p w14:paraId="3D922031" w14:textId="77777777" w:rsidR="00401741" w:rsidRDefault="00000000">
      <w:pPr>
        <w:pStyle w:val="Heading3"/>
        <w:rPr>
          <w:color w:val="00312A"/>
        </w:rPr>
      </w:pPr>
      <w:bookmarkStart w:id="191" w:name="_iuvuby6hzug8" w:colFirst="0" w:colLast="0"/>
      <w:bookmarkEnd w:id="191"/>
      <w:r>
        <w:rPr>
          <w:color w:val="00312A"/>
        </w:rPr>
        <w:t>4.3.1</w:t>
      </w:r>
      <w:r>
        <w:rPr>
          <w:color w:val="00312A"/>
        </w:rPr>
        <w:tab/>
        <w:t>Use Cases</w:t>
      </w:r>
    </w:p>
    <w:p w14:paraId="29E9CF78" w14:textId="77777777" w:rsidR="00401741"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09C8F601" w14:textId="77777777" w:rsidR="00401741" w:rsidRDefault="00000000">
      <w:pPr>
        <w:pStyle w:val="Heading4"/>
        <w:rPr>
          <w:color w:val="00312A"/>
        </w:rPr>
      </w:pPr>
      <w:r>
        <w:rPr>
          <w:color w:val="00312A"/>
        </w:rPr>
        <w:lastRenderedPageBreak/>
        <w:t>Generic and personal-productivity use cases</w:t>
      </w:r>
    </w:p>
    <w:p w14:paraId="7D923BCF" w14:textId="77777777" w:rsidR="00401741" w:rsidRDefault="00000000">
      <w:pPr>
        <w:rPr>
          <w:color w:val="00312A"/>
        </w:rPr>
      </w:pPr>
      <w:r>
        <w:rPr>
          <w:color w:val="00312A"/>
        </w:rP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6E0D5DEC" w14:textId="77777777" w:rsidR="00401741" w:rsidRDefault="00000000">
      <w:pPr>
        <w:ind w:left="720"/>
        <w:rPr>
          <w:i/>
          <w:iCs/>
          <w:color w:val="00312A"/>
        </w:rPr>
      </w:pPr>
      <w:r>
        <w:rPr>
          <w:i/>
          <w:iCs/>
          <w:color w:val="00312A"/>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11D90BF7" w14:textId="77777777" w:rsidR="00401741" w:rsidRDefault="00000000">
      <w:pPr>
        <w:ind w:left="720"/>
        <w:rPr>
          <w:color w:val="00312A"/>
        </w:rPr>
      </w:pPr>
      <w:r>
        <w:rPr>
          <w:color w:val="00312A"/>
        </w:rPr>
        <w:t>— Interviewee 13</w:t>
      </w:r>
    </w:p>
    <w:p w14:paraId="4EACC57E" w14:textId="77777777" w:rsidR="00401741" w:rsidRDefault="00000000">
      <w:pPr>
        <w:rPr>
          <w:color w:val="00312A"/>
        </w:rPr>
      </w:pPr>
      <w:r>
        <w:rPr>
          <w:color w:val="00312A"/>
        </w:rPr>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5521468B" w14:textId="77777777" w:rsidR="00401741" w:rsidRDefault="00000000">
      <w:pPr>
        <w:rPr>
          <w:color w:val="00312A"/>
        </w:rPr>
      </w:pPr>
      <w:r>
        <w:rPr>
          <w:color w:val="00312A"/>
        </w:rPr>
        <w:t xml:space="preserve">Brand governance is an adjacent use case in this generic-productivity cluster. Interviewee 3, working in a marketing team with strong leadership encouragement to experiment, described an assistant trained on the company’s brand guidelines and persona </w:t>
      </w:r>
      <w:r>
        <w:rPr>
          <w:color w:val="00312A"/>
        </w:rPr>
        <w:lastRenderedPageBreak/>
        <w:t>documents that evaluates whether new content is brand-aligned before publication — collapsing what had been a long approval chain into a real-time check.</w:t>
      </w:r>
    </w:p>
    <w:p w14:paraId="789C1F2E" w14:textId="77777777" w:rsidR="00401741" w:rsidRDefault="00000000">
      <w:pPr>
        <w:pStyle w:val="Heading4"/>
        <w:rPr>
          <w:color w:val="00312A"/>
        </w:rPr>
      </w:pPr>
      <w:r>
        <w:rPr>
          <w:color w:val="00312A"/>
        </w:rPr>
        <w:t>Customer-facing agents</w:t>
      </w:r>
    </w:p>
    <w:p w14:paraId="18651C01" w14:textId="77777777" w:rsidR="00401741" w:rsidRDefault="00000000">
      <w:pPr>
        <w:rPr>
          <w:color w:val="00312A"/>
        </w:rPr>
      </w:pPr>
      <w:r>
        <w:rPr>
          <w:color w:val="00312A"/>
        </w:rP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79F0023D" w14:textId="77777777" w:rsidR="00401741" w:rsidRDefault="00000000">
      <w:pPr>
        <w:rPr>
          <w:color w:val="00312A"/>
        </w:rPr>
      </w:pPr>
      <w:r>
        <w:rPr>
          <w:color w:val="00312A"/>
        </w:rPr>
        <w:t>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14:paraId="0792E0FD" w14:textId="77777777" w:rsidR="00401741" w:rsidRDefault="00000000">
      <w:pPr>
        <w:ind w:left="720"/>
        <w:rPr>
          <w:i/>
          <w:iCs/>
          <w:color w:val="00312A"/>
        </w:rPr>
      </w:pPr>
      <w:r>
        <w:rPr>
          <w:i/>
          <w:iCs/>
          <w:color w:val="00312A"/>
        </w:rPr>
        <w:t>we spend a lot of money on ads… there’s also waste. … an agent who really will help us become [more precise]… we’ve seen a point five per— point five, uh, ROAS increase.</w:t>
      </w:r>
    </w:p>
    <w:p w14:paraId="28CE0315" w14:textId="77777777" w:rsidR="00401741" w:rsidRDefault="00000000">
      <w:pPr>
        <w:ind w:left="720"/>
        <w:rPr>
          <w:color w:val="00312A"/>
        </w:rPr>
      </w:pPr>
      <w:r>
        <w:rPr>
          <w:color w:val="00312A"/>
        </w:rPr>
        <w:t>— Interviewee 8</w:t>
      </w:r>
    </w:p>
    <w:p w14:paraId="025906D0" w14:textId="77777777" w:rsidR="00401741" w:rsidRDefault="00000000">
      <w:pPr>
        <w:pStyle w:val="Heading4"/>
        <w:rPr>
          <w:color w:val="00312A"/>
        </w:rPr>
      </w:pPr>
      <w:r>
        <w:rPr>
          <w:color w:val="00312A"/>
        </w:rPr>
        <w:t>Internal process automation</w:t>
      </w:r>
    </w:p>
    <w:p w14:paraId="2C67064C" w14:textId="77777777" w:rsidR="00401741" w:rsidRDefault="00000000">
      <w:pPr>
        <w:rPr>
          <w:color w:val="00312A"/>
        </w:rPr>
      </w:pPr>
      <w:r>
        <w:rPr>
          <w:color w:val="00312A"/>
        </w:rPr>
        <w:t xml:space="preserve">Internal process automation is the archetype where human-AI collaboration is most clearly structured. Workflows that previously required a human to run scheduled queries, review outputs, populate reports, and compose communications are executed by chained AI </w:t>
      </w:r>
      <w:r>
        <w:rPr>
          <w:color w:val="00312A"/>
        </w:rPr>
        <w:lastRenderedPageBreak/>
        <w:t>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076955F3" w14:textId="77777777" w:rsidR="00401741" w:rsidRDefault="00000000">
      <w:pPr>
        <w:rPr>
          <w:color w:val="00312A"/>
        </w:rPr>
      </w:pPr>
      <w:r>
        <w:rPr>
          <w:color w:val="00312A"/>
        </w:rP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6F130891" w14:textId="77777777" w:rsidR="00401741" w:rsidRDefault="00000000">
      <w:pPr>
        <w:rPr>
          <w:color w:val="00312A"/>
        </w:rPr>
      </w:pPr>
      <w:r>
        <w:rPr>
          <w:color w:val="00312A"/>
        </w:rP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483C92D8" w14:textId="77777777" w:rsidR="00401741" w:rsidRDefault="00000000">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56DA3F29" w14:textId="77777777" w:rsidR="00401741"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DB5E7CE" w14:textId="77777777" w:rsidR="00401741" w:rsidRDefault="00000000">
      <w:pPr>
        <w:ind w:left="720"/>
        <w:rPr>
          <w:color w:val="00312A"/>
        </w:rPr>
      </w:pPr>
      <w:r>
        <w:rPr>
          <w:color w:val="00312A"/>
        </w:rPr>
        <w:t>— Interviewee 15</w:t>
      </w:r>
    </w:p>
    <w:p w14:paraId="168A907F" w14:textId="77777777" w:rsidR="00401741" w:rsidRDefault="00000000">
      <w:pPr>
        <w:rPr>
          <w:color w:val="00312A"/>
        </w:rPr>
      </w:pPr>
      <w:r>
        <w:rPr>
          <w:color w:val="00312A"/>
        </w:rPr>
        <w:t xml:space="preserve">The optics gap has two organizational implications. First, it creates confusion about what AI actually does. When employees hear that the organization is ‘using agentic AI’ in pitches and </w:t>
      </w:r>
      <w:r>
        <w:rPr>
          <w:color w:val="00312A"/>
        </w:rPr>
        <w:lastRenderedPageBreak/>
        <w:t>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5CD616A0" w14:textId="77777777" w:rsidR="00401741" w:rsidRDefault="00000000">
      <w:pPr>
        <w:pStyle w:val="Heading3"/>
        <w:rPr>
          <w:color w:val="00312A"/>
        </w:rPr>
      </w:pPr>
      <w:bookmarkStart w:id="192" w:name="_niqmcast9jsc" w:colFirst="0" w:colLast="0"/>
      <w:bookmarkEnd w:id="192"/>
      <w:r>
        <w:rPr>
          <w:color w:val="00312A"/>
        </w:rPr>
        <w:t>4.3.2</w:t>
      </w:r>
      <w:r>
        <w:rPr>
          <w:color w:val="00312A"/>
        </w:rPr>
        <w:tab/>
        <w:t>Leveraging Feature &amp; Applying strategies</w:t>
      </w:r>
    </w:p>
    <w:p w14:paraId="1C2EE4B3" w14:textId="77777777" w:rsidR="00401741"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E086212" w14:textId="77777777" w:rsidR="00401741" w:rsidRDefault="00000000">
      <w:pPr>
        <w:rPr>
          <w:color w:val="00312A"/>
        </w:rPr>
      </w:pPr>
      <w:r>
        <w:rPr>
          <w:color w:val="00312A"/>
        </w:rPr>
        <w:t>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14:paraId="32A72B79" w14:textId="77777777" w:rsidR="00401741"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523BA01D" w14:textId="77777777" w:rsidR="00401741" w:rsidRDefault="00000000">
      <w:pPr>
        <w:rPr>
          <w:color w:val="00312A"/>
        </w:rPr>
      </w:pPr>
      <w:r>
        <w:rPr>
          <w:color w:val="00312A"/>
        </w:rP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w:t>
      </w:r>
      <w:r>
        <w:rPr>
          <w:color w:val="00312A"/>
        </w:rPr>
        <w:lastRenderedPageBreak/>
        <w:t>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14:paraId="547A6C99" w14:textId="77777777" w:rsidR="00401741" w:rsidRDefault="00000000">
      <w:pPr>
        <w:rPr>
          <w:color w:val="00312A"/>
        </w:rPr>
      </w:pPr>
      <w:r>
        <w:rPr>
          <w:color w:val="00312A"/>
        </w:rP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77A51148" w14:textId="77777777" w:rsidR="00401741" w:rsidRDefault="00000000">
      <w:pPr>
        <w:pStyle w:val="Heading2"/>
        <w:rPr>
          <w:color w:val="00312A"/>
        </w:rPr>
      </w:pPr>
      <w:bookmarkStart w:id="193" w:name="_d3o8hfs61axc" w:colFirst="0" w:colLast="0"/>
      <w:bookmarkEnd w:id="193"/>
      <w:r>
        <w:rPr>
          <w:color w:val="00312A"/>
        </w:rPr>
        <w:t>4.4</w:t>
      </w:r>
      <w:r>
        <w:rPr>
          <w:color w:val="00312A"/>
        </w:rPr>
        <w:tab/>
        <w:t xml:space="preserve">Value </w:t>
      </w:r>
      <w:commentRangeStart w:id="194"/>
      <w:r>
        <w:rPr>
          <w:color w:val="00312A"/>
        </w:rPr>
        <w:t>Outcomes</w:t>
      </w:r>
      <w:commentRangeEnd w:id="194"/>
      <w:r>
        <w:rPr>
          <w:rStyle w:val="CommentReference"/>
          <w:color w:val="00312A"/>
          <w:sz w:val="22"/>
          <w:szCs w:val="22"/>
        </w:rPr>
        <w:commentReference w:id="194"/>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 xml:space="preserve">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w:t>
      </w:r>
      <w:r>
        <w:rPr>
          <w:color w:val="00312A"/>
        </w:rPr>
        <w:lastRenderedPageBreak/>
        <w:t>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195" w:name="_psp9v76zeahl" w:colFirst="0" w:colLast="0"/>
      <w:bookmarkEnd w:id="195"/>
      <w:r>
        <w:rPr>
          <w:color w:val="00312A"/>
        </w:rPr>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 xml:space="preserve">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t>
      </w:r>
      <w:r>
        <w:rPr>
          <w:color w:val="00312A"/>
        </w:rPr>
        <w:lastRenderedPageBreak/>
        <w:t>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3DD13048" w14:textId="77777777" w:rsidR="00401741" w:rsidRDefault="00000000">
      <w:pPr>
        <w:rPr>
          <w:color w:val="00312A"/>
        </w:rPr>
      </w:pPr>
      <w:r>
        <w:rPr>
          <w:color w:val="00312A"/>
        </w:rPr>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196" w:name="_vkh433kqk3oi" w:colFirst="0" w:colLast="0"/>
      <w:bookmarkEnd w:id="196"/>
      <w:r>
        <w:rPr>
          <w:color w:val="00312A"/>
        </w:rPr>
        <w:lastRenderedPageBreak/>
        <w:t>4.4.2</w:t>
      </w:r>
      <w:r>
        <w:rPr>
          <w:color w:val="00312A"/>
        </w:rPr>
        <w:tab/>
        <w:t>Sacrifices</w:t>
      </w:r>
    </w:p>
    <w:p w14:paraId="6E9D21B7" w14:textId="77777777" w:rsidR="00401741" w:rsidRDefault="00000000">
      <w:pPr>
        <w:rPr>
          <w:color w:val="00312A"/>
        </w:rPr>
      </w:pPr>
      <w:r>
        <w:rPr>
          <w:color w:val="00312A"/>
        </w:rP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6DFC8ED9" w14:textId="77777777" w:rsidR="00401741" w:rsidRDefault="00000000">
      <w:pPr>
        <w:rPr>
          <w:color w:val="00312A"/>
        </w:rPr>
      </w:pPr>
      <w:r>
        <w:rPr>
          <w:color w:val="00312A"/>
        </w:rP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 xml:space="preserve">Authenticity is a more subtle sacrifice. AI-generated content — particularly in outreach and customer communications — can be recognized as artificial, and that recognition damages </w:t>
      </w:r>
      <w:r>
        <w:rPr>
          <w:color w:val="00312A"/>
        </w:rPr>
        <w:lastRenderedPageBreak/>
        <w:t>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197" w:name="_i62wq5quevoe" w:colFirst="0" w:colLast="0"/>
      <w:bookmarkEnd w:id="197"/>
      <w:r>
        <w:rPr>
          <w:color w:val="00312A"/>
        </w:rPr>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lastRenderedPageBreak/>
        <w:t>— Interviewee 13</w:t>
      </w:r>
    </w:p>
    <w:p w14:paraId="6AAA08AD" w14:textId="77777777" w:rsidR="00401741" w:rsidRDefault="00000000">
      <w:pPr>
        <w:rPr>
          <w:color w:val="00312A"/>
        </w:rPr>
      </w:pPr>
      <w:r>
        <w:rPr>
          <w:color w:val="00312A"/>
        </w:rP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t xml:space="preserve">4.5 </w:t>
      </w:r>
      <w:r>
        <w:rPr>
          <w:color w:val="00312A"/>
        </w:rPr>
        <w:tab/>
        <w:t>Paradoxes</w:t>
      </w:r>
    </w:p>
    <w:p w14:paraId="7EEE83B6" w14:textId="77777777" w:rsidR="00401741" w:rsidRDefault="00000000">
      <w:pPr>
        <w:rPr>
          <w:color w:val="00312A"/>
        </w:rPr>
      </w:pPr>
      <w:r>
        <w:rPr>
          <w:color w:val="00312A"/>
        </w:rPr>
        <w:t>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lastRenderedPageBreak/>
        <w:t>4.5.1</w:t>
      </w:r>
      <w:r>
        <w:rPr>
          <w:color w:val="00312A"/>
        </w:rPr>
        <w:tab/>
        <w:t>Branding Paradox</w:t>
      </w:r>
    </w:p>
    <w:p w14:paraId="381628DA" w14:textId="77777777" w:rsidR="00401741" w:rsidRDefault="00000000">
      <w:pPr>
        <w:rPr>
          <w:color w:val="00312A"/>
        </w:rPr>
      </w:pPr>
      <w:r>
        <w:rPr>
          <w:color w:val="00312A"/>
        </w:rPr>
        <w:t>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lastRenderedPageBreak/>
        <w:t>4.5.2</w:t>
      </w:r>
      <w:r>
        <w:rPr>
          <w:color w:val="00312A"/>
        </w:rPr>
        <w:tab/>
        <w:t>Hallucinating Paradox</w:t>
      </w:r>
    </w:p>
    <w:p w14:paraId="0BF08B45" w14:textId="77777777" w:rsidR="00401741"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lastRenderedPageBreak/>
        <w:t>4.5.3</w:t>
      </w:r>
      <w:r>
        <w:rPr>
          <w:color w:val="00312A"/>
        </w:rPr>
        <w:tab/>
        <w:t>Implementation Paradox</w:t>
      </w:r>
    </w:p>
    <w:p w14:paraId="3726075A" w14:textId="77777777" w:rsidR="00401741"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48F4E369" w14:textId="77777777" w:rsidR="00401741" w:rsidRDefault="00000000">
      <w:pPr>
        <w:rPr>
          <w:color w:val="00312A"/>
        </w:rPr>
      </w:pPr>
      <w:r>
        <w:rPr>
          <w:color w:val="00312A"/>
        </w:rPr>
        <w:t>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lastRenderedPageBreak/>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lastRenderedPageBreak/>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0F169EB" w14:textId="77777777" w:rsidR="00401741" w:rsidRDefault="00000000">
      <w:pPr>
        <w:pStyle w:val="Heading2"/>
        <w:rPr>
          <w:color w:val="00312A"/>
        </w:rPr>
      </w:pPr>
      <w:bookmarkStart w:id="198" w:name="_bi3ndv3n11ww" w:colFirst="0" w:colLast="0"/>
      <w:bookmarkEnd w:id="198"/>
      <w:commentRangeStart w:id="199"/>
      <w:r>
        <w:rPr>
          <w:color w:val="00312A"/>
        </w:rPr>
        <w:lastRenderedPageBreak/>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20">
        <w:r w:rsidR="00401741">
          <w:rPr>
            <w:color w:val="00312A"/>
            <w:u w:val="single"/>
          </w:rPr>
          <w:t>example paper</w:t>
        </w:r>
      </w:hyperlink>
      <w:r>
        <w:rPr>
          <w:color w:val="00312A"/>
        </w:rPr>
        <w:t>)... seek additional data</w:t>
      </w:r>
      <w:commentRangeEnd w:id="199"/>
      <w:r>
        <w:rPr>
          <w:rStyle w:val="CommentReference"/>
          <w:color w:val="00312A"/>
          <w:sz w:val="22"/>
          <w:szCs w:val="22"/>
        </w:rPr>
        <w:commentReference w:id="199"/>
      </w:r>
    </w:p>
    <w:p w14:paraId="0C27728B" w14:textId="77777777" w:rsidR="00401741" w:rsidRDefault="00000000">
      <w:pPr>
        <w:rPr>
          <w:b/>
          <w:bCs/>
          <w:color w:val="00312A"/>
        </w:rPr>
      </w:pPr>
      <w:bookmarkStart w:id="200" w:name="_q5epuhs454bw" w:colFirst="0" w:colLast="0"/>
      <w:bookmarkEnd w:id="200"/>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201" w:name="_7rbdabewznnc" w:colFirst="0" w:colLast="0"/>
      <w:bookmarkEnd w:id="201"/>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2" w:name="_vqcghgtkedix" w:colFirst="0" w:colLast="0"/>
      <w:bookmarkEnd w:id="202"/>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3" w:name="_mnyukkjx9iq" w:colFirst="0" w:colLast="0"/>
      <w:bookmarkEnd w:id="203"/>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4" w:name="_dd6zel2y4t5x" w:colFirst="0" w:colLast="0"/>
      <w:bookmarkEnd w:id="204"/>
      <w:r>
        <w:t>6.</w:t>
      </w:r>
      <w:r>
        <w:tab/>
        <w:t>Conclusion</w:t>
      </w:r>
    </w:p>
    <w:p w14:paraId="57B87D0F" w14:textId="77777777" w:rsidR="00401741" w:rsidRDefault="00000000">
      <w:pPr>
        <w:pStyle w:val="Heading1"/>
      </w:pPr>
      <w:bookmarkStart w:id="205" w:name="_9375lqp6ztft" w:colFirst="0" w:colLast="0"/>
      <w:bookmarkEnd w:id="205"/>
      <w:r>
        <w:br w:type="page"/>
      </w:r>
    </w:p>
    <w:p w14:paraId="5BA28DFA" w14:textId="77777777" w:rsidR="00401741" w:rsidRDefault="00000000">
      <w:pPr>
        <w:pStyle w:val="Heading1"/>
        <w:rPr>
          <w:color w:val="222222"/>
          <w:highlight w:val="white"/>
        </w:rPr>
      </w:pPr>
      <w:bookmarkStart w:id="206" w:name="_kgmnd1ymad1c" w:colFirst="0" w:colLast="0"/>
      <w:bookmarkEnd w:id="206"/>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1">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2">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sidRPr="009267BF">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3">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4">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7"/>
      <w:r w:rsidRPr="009267BF">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5">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7"/>
      <w:r>
        <w:rPr>
          <w:rStyle w:val="CommentReference"/>
          <w:strike/>
          <w:sz w:val="20"/>
          <w:szCs w:val="20"/>
          <w:highlight w:val="white"/>
        </w:rPr>
        <w:commentReference w:id="207"/>
      </w:r>
    </w:p>
    <w:p w14:paraId="3A3835CB" w14:textId="77777777" w:rsidR="00401741" w:rsidRDefault="00000000">
      <w:pPr>
        <w:ind w:left="720" w:hanging="720"/>
        <w:rPr>
          <w:strike/>
          <w:sz w:val="20"/>
          <w:szCs w:val="20"/>
          <w:highlight w:val="white"/>
        </w:rPr>
      </w:pPr>
      <w:commentRangeStart w:id="208"/>
      <w:r w:rsidRPr="009267BF">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8"/>
      <w:r>
        <w:rPr>
          <w:rStyle w:val="CommentReference"/>
          <w:strike/>
          <w:sz w:val="20"/>
          <w:szCs w:val="20"/>
          <w:highlight w:val="white"/>
        </w:rPr>
        <w:commentReference w:id="208"/>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6">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sidRPr="009267BF">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sidRPr="009267BF">
        <w:rPr>
          <w:i/>
          <w:iCs/>
          <w:highlight w:val="white"/>
          <w:lang w:val="de-DE"/>
        </w:rPr>
        <w:t>Management Decision</w:t>
      </w:r>
      <w:r w:rsidRPr="009267BF">
        <w:rPr>
          <w:highlight w:val="white"/>
          <w:lang w:val="de-DE"/>
        </w:rPr>
        <w:t xml:space="preserve">, </w:t>
      </w:r>
      <w:r w:rsidRPr="009267BF">
        <w:rPr>
          <w:i/>
          <w:iCs/>
          <w:highlight w:val="white"/>
          <w:lang w:val="de-DE"/>
        </w:rPr>
        <w:t>61</w:t>
      </w:r>
      <w:r w:rsidRPr="009267BF">
        <w:rPr>
          <w:highlight w:val="white"/>
          <w:lang w:val="de-DE"/>
        </w:rPr>
        <w:t xml:space="preserve">(13), 295-320. </w:t>
      </w:r>
    </w:p>
    <w:p w14:paraId="563C3A62" w14:textId="77777777" w:rsidR="00401741" w:rsidRDefault="00000000">
      <w:pPr>
        <w:ind w:left="720" w:hanging="720"/>
        <w:rPr>
          <w:highlight w:val="white"/>
        </w:rPr>
      </w:pPr>
      <w:r w:rsidRPr="009267BF">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7">
        <w:r w:rsidR="00401741">
          <w:rPr>
            <w:u w:val="single"/>
          </w:rPr>
          <w:t xml:space="preserve"> </w:t>
        </w:r>
      </w:hyperlink>
      <w:hyperlink r:id="rId28">
        <w:r w:rsidR="00401741">
          <w:rPr>
            <w:color w:val="1155CC"/>
            <w:u w:val="single"/>
          </w:rPr>
          <w:t>https://doi.org/10.1016/j.bushor.2021.03.006</w:t>
        </w:r>
      </w:hyperlink>
    </w:p>
    <w:p w14:paraId="008C81D1" w14:textId="77777777" w:rsidR="00401741" w:rsidRDefault="00000000">
      <w:pPr>
        <w:ind w:left="720" w:hanging="720"/>
        <w:rPr>
          <w:strike/>
        </w:rPr>
      </w:pPr>
      <w:commentRangeStart w:id="209"/>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9">
        <w:r w:rsidR="00401741">
          <w:rPr>
            <w:strike/>
            <w:color w:val="068EF1"/>
            <w:highlight w:val="white"/>
            <w:u w:val="single"/>
          </w:rPr>
          <w:t>https://doi.org/10.1007/s11747-020-00749-9</w:t>
        </w:r>
      </w:hyperlink>
      <w:r>
        <w:rPr>
          <w:strike/>
          <w:color w:val="18181B"/>
          <w:highlight w:val="white"/>
        </w:rPr>
        <w:t>.</w:t>
      </w:r>
      <w:r>
        <w:rPr>
          <w:strike/>
        </w:rPr>
        <w:t xml:space="preserve"> </w:t>
      </w:r>
      <w:commentRangeEnd w:id="209"/>
      <w:r>
        <w:rPr>
          <w:rStyle w:val="CommentReference"/>
          <w:strike/>
          <w:sz w:val="22"/>
          <w:szCs w:val="22"/>
        </w:rPr>
        <w:commentReference w:id="209"/>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sidRPr="009267BF">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10"/>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10"/>
      <w:r>
        <w:rPr>
          <w:rStyle w:val="CommentReference"/>
          <w:strike/>
          <w:sz w:val="22"/>
          <w:szCs w:val="22"/>
          <w:highlight w:val="white"/>
        </w:rPr>
        <w:commentReference w:id="210"/>
      </w:r>
    </w:p>
    <w:p w14:paraId="1F4525E3" w14:textId="77777777" w:rsidR="00401741" w:rsidRDefault="00000000">
      <w:pPr>
        <w:ind w:left="720" w:hanging="720"/>
      </w:pPr>
      <w:r>
        <w:t>Mayer, H., Yee, L., Chui, M., &amp; Roberts, R. (2025). AI in the workplace: A report for 2025. McKinsey &amp; Company.</w:t>
      </w:r>
      <w:hyperlink r:id="rId30">
        <w:r w:rsidR="00401741">
          <w:rPr>
            <w:u w:val="single"/>
          </w:rPr>
          <w:t xml:space="preserve"> </w:t>
        </w:r>
      </w:hyperlink>
      <w:hyperlink r:id="rId31">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2">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3">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1"/>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1"/>
      <w:r>
        <w:rPr>
          <w:rStyle w:val="CommentReference"/>
          <w:strike/>
          <w:sz w:val="22"/>
          <w:szCs w:val="22"/>
          <w:highlight w:val="white"/>
        </w:rPr>
        <w:commentReference w:id="211"/>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4">
        <w:r w:rsidR="00401741">
          <w:rPr>
            <w:u w:val="single"/>
          </w:rPr>
          <w:t xml:space="preserve"> </w:t>
        </w:r>
      </w:hyperlink>
      <w:hyperlink r:id="rId35">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6">
        <w:r w:rsidR="00401741">
          <w:rPr>
            <w:u w:val="single"/>
          </w:rPr>
          <w:t xml:space="preserve"> </w:t>
        </w:r>
      </w:hyperlink>
      <w:hyperlink r:id="rId37">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2"/>
      <w:r w:rsidRPr="009267BF">
        <w:rPr>
          <w:strike/>
          <w:lang w:val="it-IT"/>
        </w:rPr>
        <w:lastRenderedPageBreak/>
        <w:t xml:space="preserve">Vidal, J. F., Perotti, F. A., Gonzalez, R., &amp; Gasco, J. (2022). </w:t>
      </w:r>
      <w:r>
        <w:rPr>
          <w:strike/>
        </w:rPr>
        <w:t>Managing digital transformation: The view from the top. Journal of Business Research, 152, 29–41.</w:t>
      </w:r>
      <w:hyperlink r:id="rId38">
        <w:r w:rsidR="00401741">
          <w:rPr>
            <w:strike/>
            <w:u w:val="single"/>
          </w:rPr>
          <w:t xml:space="preserve"> </w:t>
        </w:r>
      </w:hyperlink>
      <w:hyperlink r:id="rId39">
        <w:r w:rsidR="00401741">
          <w:rPr>
            <w:strike/>
            <w:color w:val="1155CC"/>
            <w:u w:val="single"/>
          </w:rPr>
          <w:t>https://doi.org/10.1016/j.jbusres.2022.07.0200</w:t>
        </w:r>
      </w:hyperlink>
      <w:commentRangeEnd w:id="212"/>
      <w:r>
        <w:rPr>
          <w:rStyle w:val="CommentReference"/>
          <w:strike/>
          <w:sz w:val="22"/>
          <w:szCs w:val="22"/>
        </w:rPr>
        <w:commentReference w:id="212"/>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3" w:name="_icpp6ljm25yc" w:colFirst="0" w:colLast="0"/>
      <w:bookmarkEnd w:id="213"/>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4" w:name="_yaxctkjupl5f" w:colFirst="0" w:colLast="0"/>
      <w:bookmarkEnd w:id="214"/>
      <w:r>
        <w:t>A.1.</w:t>
      </w:r>
      <w:r>
        <w:tab/>
        <w:t>Interview Guide</w:t>
      </w:r>
    </w:p>
    <w:p w14:paraId="10752A95" w14:textId="77777777" w:rsidR="00401741" w:rsidRDefault="00000000">
      <w:pPr>
        <w:pStyle w:val="Heading3"/>
      </w:pPr>
      <w:bookmarkStart w:id="215" w:name="_fso8dir40043" w:colFirst="0" w:colLast="0"/>
      <w:bookmarkEnd w:id="215"/>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6" w:name="_xu7tl6fyia16" w:colFirst="0" w:colLast="0"/>
      <w:bookmarkEnd w:id="216"/>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17" w:name="_uslcrode5spj" w:colFirst="0" w:colLast="0"/>
      <w:bookmarkEnd w:id="217"/>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18" w:name="_4i48gt7nuy87" w:colFirst="0" w:colLast="0"/>
      <w:bookmarkEnd w:id="218"/>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19" w:name="_i4eri4z2mseg" w:colFirst="0" w:colLast="0"/>
      <w:bookmarkEnd w:id="219"/>
    </w:p>
    <w:p w14:paraId="7396CC0C" w14:textId="77777777" w:rsidR="00401741" w:rsidRDefault="00000000">
      <w:pPr>
        <w:pStyle w:val="Heading1"/>
      </w:pPr>
      <w:bookmarkStart w:id="220" w:name="_n4q94a2ei39t" w:colFirst="0" w:colLast="0"/>
      <w:bookmarkEnd w:id="220"/>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1" w:name="_z0nzv114icat" w:colFirst="0" w:colLast="0"/>
      <w:bookmarkEnd w:id="221"/>
      <w:r>
        <w:br w:type="page"/>
      </w:r>
    </w:p>
    <w:p w14:paraId="4AB19BF1" w14:textId="77777777" w:rsidR="00401741" w:rsidRDefault="00000000">
      <w:pPr>
        <w:pStyle w:val="Heading1"/>
      </w:pPr>
      <w:bookmarkStart w:id="222" w:name="_8iomnw571gh6" w:colFirst="0" w:colLast="0"/>
      <w:bookmarkEnd w:id="222"/>
      <w:r>
        <w:lastRenderedPageBreak/>
        <w:t>Appendix D. Supporting Quotes</w:t>
      </w:r>
    </w:p>
    <w:p w14:paraId="1AB83E4D" w14:textId="77777777" w:rsidR="00401741" w:rsidRDefault="00000000">
      <w:r>
        <w:t>Placeholder (</w:t>
      </w:r>
      <w:hyperlink r:id="rId41">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3" w:name="_a7k3h3b6oqi2" w:colFirst="0" w:colLast="0"/>
      <w:bookmarkEnd w:id="223"/>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4"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99"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07"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8"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9"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10"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1"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2"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0"/>
  <w15:commentEx w15:paraId="323EB003" w15:done="0"/>
  <w15:commentEx w15:paraId="19BDAF4D"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BFE4F7" w16cex:dateUtc="2026-06-05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4944C" w14:textId="77777777" w:rsidR="00E44EA4" w:rsidRDefault="00E44EA4">
      <w:pPr>
        <w:spacing w:line="240" w:lineRule="auto"/>
      </w:pPr>
      <w:r>
        <w:separator/>
      </w:r>
    </w:p>
  </w:endnote>
  <w:endnote w:type="continuationSeparator" w:id="0">
    <w:p w14:paraId="080D75B8" w14:textId="77777777" w:rsidR="00E44EA4" w:rsidRDefault="00E44E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C4768DBF-A8B5-41CA-A1EC-1D3814C797F1}"/>
    <w:embedBold r:id="rId2" w:fontKey="{F450B1FB-95A8-4A23-B5D7-6C85D3696424}"/>
    <w:embedItalic r:id="rId3" w:fontKey="{9807A625-C316-456C-BCD8-5D133B679C7B}"/>
    <w:embedBoldItalic r:id="rId4" w:fontKey="{5657852E-C33F-4EAB-97C1-0779111A09E7}"/>
  </w:font>
  <w:font w:name="EB Garamond SemiBold">
    <w:charset w:val="00"/>
    <w:family w:val="auto"/>
    <w:pitch w:val="variable"/>
    <w:sig w:usb0="E00002FF" w:usb1="02000413" w:usb2="00000000" w:usb3="00000000" w:csb0="0000019F" w:csb1="00000000"/>
    <w:embedRegular r:id="rId5" w:fontKey="{E4950797-916D-46F1-AF7E-D96C0CADC03F}"/>
  </w:font>
  <w:font w:name="EB Garamond Medium">
    <w:charset w:val="00"/>
    <w:family w:val="auto"/>
    <w:pitch w:val="variable"/>
    <w:sig w:usb0="E00002FF" w:usb1="02000413" w:usb2="00000000" w:usb3="00000000" w:csb0="0000019F" w:csb1="00000000"/>
    <w:embedRegular r:id="rId6" w:fontKey="{BC4A36A7-7EDB-4F44-9245-8ACC5F6156D2}"/>
  </w:font>
  <w:font w:name="Cardo">
    <w:charset w:val="00"/>
    <w:family w:val="auto"/>
    <w:pitch w:val="default"/>
    <w:embedRegular r:id="rId7" w:fontKey="{AC07A4CD-5383-4C07-8D20-CA964CF68988}"/>
  </w:font>
  <w:font w:name="Calibri">
    <w:panose1 w:val="020F0502020204030204"/>
    <w:charset w:val="00"/>
    <w:family w:val="swiss"/>
    <w:pitch w:val="variable"/>
    <w:sig w:usb0="E4002EFF" w:usb1="C200247B" w:usb2="00000009" w:usb3="00000000" w:csb0="000001FF" w:csb1="00000000"/>
    <w:embedRegular r:id="rId8" w:fontKey="{AC7CE4ED-5525-4DD9-9F23-591237DBAD6E}"/>
  </w:font>
  <w:font w:name="Cambria">
    <w:panose1 w:val="02040503050406030204"/>
    <w:charset w:val="00"/>
    <w:family w:val="roman"/>
    <w:pitch w:val="variable"/>
    <w:sig w:usb0="E00006FF" w:usb1="420024FF" w:usb2="02000000" w:usb3="00000000" w:csb0="0000019F" w:csb1="00000000"/>
    <w:embedRegular r:id="rId9" w:fontKey="{24A9FF19-3CEA-42F0-B6AF-DD5D71E489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4A8D5" w14:textId="77777777" w:rsidR="00E44EA4" w:rsidRDefault="00E44EA4">
      <w:pPr>
        <w:spacing w:line="240" w:lineRule="auto"/>
      </w:pPr>
      <w:r>
        <w:separator/>
      </w:r>
    </w:p>
  </w:footnote>
  <w:footnote w:type="continuationSeparator" w:id="0">
    <w:p w14:paraId="04361DD6" w14:textId="77777777" w:rsidR="00E44EA4" w:rsidRDefault="00E44EA4">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0"/>
  </w:num>
  <w:num w:numId="4" w16cid:durableId="238558033">
    <w:abstractNumId w:val="7"/>
  </w:num>
  <w:num w:numId="5" w16cid:durableId="1646160777">
    <w:abstractNumId w:val="6"/>
  </w:num>
  <w:num w:numId="6" w16cid:durableId="1217813735">
    <w:abstractNumId w:val="5"/>
  </w:num>
  <w:num w:numId="7" w16cid:durableId="569197200">
    <w:abstractNumId w:val="2"/>
  </w:num>
  <w:num w:numId="8" w16cid:durableId="340592914">
    <w:abstractNumId w:val="9"/>
  </w:num>
  <w:num w:numId="9" w16cid:durableId="387461117">
    <w:abstractNumId w:val="4"/>
  </w:num>
  <w:num w:numId="10" w16cid:durableId="1699353059">
    <w:abstractNumId w:val="1"/>
  </w:num>
  <w:num w:numId="11" w16cid:durableId="964115238">
    <w:abstractNumId w:val="11"/>
  </w:num>
  <w:num w:numId="12" w16cid:durableId="12859599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287922"/>
    <w:rsid w:val="002940E3"/>
    <w:rsid w:val="00326636"/>
    <w:rsid w:val="003370C8"/>
    <w:rsid w:val="00401741"/>
    <w:rsid w:val="00591258"/>
    <w:rsid w:val="005B6108"/>
    <w:rsid w:val="00611F20"/>
    <w:rsid w:val="00652B3F"/>
    <w:rsid w:val="008632C5"/>
    <w:rsid w:val="009267BF"/>
    <w:rsid w:val="00AC12A9"/>
    <w:rsid w:val="00DD3A03"/>
    <w:rsid w:val="00E44EA4"/>
    <w:rsid w:val="00F535D8"/>
    <w:rsid w:val="00FB1D74"/>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2940E3"/>
    <w:pPr>
      <w:spacing w:before="200" w:after="160"/>
      <w:ind w:left="862" w:right="862" w:firstLine="0"/>
    </w:pPr>
    <w:rPr>
      <w:iCs/>
      <w:color w:val="404040" w:themeColor="text1" w:themeTint="BF"/>
    </w:rPr>
  </w:style>
  <w:style w:type="character" w:customStyle="1" w:styleId="QuoteChar">
    <w:name w:val="Quote Char"/>
    <w:basedOn w:val="DefaultParagraphFont"/>
    <w:link w:val="Quote"/>
    <w:uiPriority w:val="29"/>
    <w:rsid w:val="002940E3"/>
    <w:rPr>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48550/arXiv.2405.21015" TargetMode="External"/><Relationship Id="rId39" Type="http://schemas.openxmlformats.org/officeDocument/2006/relationships/hyperlink" Target="https://doi.org/10.1016/j.jbusres.2022.07.0200" TargetMode="External"/><Relationship Id="rId21" Type="http://schemas.openxmlformats.org/officeDocument/2006/relationships/hyperlink" Target="https://www.anthropic.com/news/model-context-protocol"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sciencedirect.com/science/article/pii/S0148296320305816?casa_token=-TZnYSiJItAAAAAA:2TosN3zZkh8TzkAafxZI0TgvzAI9n52IVpDxicnCelZ6WeQl9xhDpmvVVY0ewWM_RntdOMqccns" TargetMode="External"/><Relationship Id="rId29" Type="http://schemas.openxmlformats.org/officeDocument/2006/relationships/hyperlink" Target="https://doi.org/10.1007/s11747-020-00749-9"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help.openai.com/en/articles/20001066-skills-in-chatgpt" TargetMode="External"/><Relationship Id="rId32" Type="http://schemas.openxmlformats.org/officeDocument/2006/relationships/hyperlink" Target="https://openai.com/index/chatgpt/"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claude.com/blog/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engineering/equipping-agents-for-the-real-world-with-agent-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5539/ass.v11n9p320"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69554/xehz1946" TargetMode="External"/><Relationship Id="rId33" Type="http://schemas.openxmlformats.org/officeDocument/2006/relationships/hyperlink" Target="https://openai.com/index/function-calling-and-other-api-updates/" TargetMode="External"/><Relationship Id="rId38" Type="http://schemas.openxmlformats.org/officeDocument/2006/relationships/hyperlink" Target="https://doi.org/10.1016/j.jbusres.2022.07.02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70</Pages>
  <Words>18148</Words>
  <Characters>99814</Characters>
  <Application>Microsoft Office Word</Application>
  <DocSecurity>0</DocSecurity>
  <Lines>831</Lines>
  <Paragraphs>235</Paragraphs>
  <ScaleCrop>false</ScaleCrop>
  <Company/>
  <LinksUpToDate>false</LinksUpToDate>
  <CharactersWithSpaces>117727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8</cp:revision>
  <dcterms:created xsi:type="dcterms:W3CDTF">2026-06-01T19:34:00Z</dcterms:created>
  <dcterms:modified xsi:type="dcterms:W3CDTF">2026-06-05T17:42:00Z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