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3352C12C" w14:textId="77777777"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5" w:name="_cw3ny2ib92ok" w:colFirst="0" w:colLast="0"/>
      <w:bookmarkEnd w:id="15"/>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05223793" w14:textId="77777777" w:rsidR="00401741"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31" w:name="_j1ug5ud2kv2v" w:colFirst="0" w:colLast="0"/>
      <w:bookmarkEnd w:id="31"/>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49D346C6" w14:textId="77777777" w:rsidR="00401741" w:rsidRDefault="00000000">
      <w:pPr>
        <w:pStyle w:val="Heading2"/>
      </w:pPr>
      <w:bookmarkStart w:id="33" w:name="_2z5npmz6k6sb" w:colFirst="0" w:colLast="0"/>
      <w:bookmarkEnd w:id="33"/>
      <w:r>
        <w:t>1.4. Structure of the Thesis</w:t>
      </w:r>
      <w:r>
        <w:br w:type="page"/>
      </w:r>
    </w:p>
    <w:p w14:paraId="494EFDBC" w14:textId="77777777" w:rsidR="00401741" w:rsidRDefault="00000000">
      <w:pPr>
        <w:pStyle w:val="Heading1"/>
      </w:pPr>
      <w:bookmarkStart w:id="34" w:name="_fyrgbopm813k" w:colFirst="0" w:colLast="0"/>
      <w:bookmarkEnd w:id="34"/>
      <w:r>
        <w:lastRenderedPageBreak/>
        <w:t xml:space="preserve">2. </w:t>
      </w:r>
      <w:r>
        <w:tab/>
        <w:t>Literature Review (~4k words)</w:t>
      </w:r>
    </w:p>
    <w:p w14:paraId="7668ED09" w14:textId="77777777" w:rsidR="00401741" w:rsidRDefault="00000000">
      <w:commentRangeStart w:id="35"/>
      <w:commentRangeStart w:id="36"/>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325A6702" w14:textId="77777777" w:rsidR="00401741"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57D466A1" w:rsidR="00401741" w:rsidRDefault="00000000">
      <w:r>
        <w:lastRenderedPageBreak/>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w:t>
      </w:r>
      <w:ins w:id="42" w:author="Stefanie B." w:date="2026-05-11T12:39:00Z">
        <w:r>
          <w:t xml:space="preserve">the </w:t>
        </w:r>
      </w:ins>
      <w:r>
        <w:t xml:space="preserve">rule-based logic </w:t>
      </w:r>
      <w:ins w:id="43"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4"/>
      <w:r>
        <w:t>qualification</w:t>
      </w:r>
      <w:commentRangeEnd w:id="44"/>
      <w:r>
        <w:rPr>
          <w:rStyle w:val="CommentReference"/>
          <w:sz w:val="22"/>
          <w:szCs w:val="22"/>
        </w:rPr>
        <w:commentReference w:id="44"/>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5"/>
      <w:r>
        <w:t>2022</w:t>
      </w:r>
      <w:commentRangeEnd w:id="45"/>
      <w:r>
        <w:rPr>
          <w:rStyle w:val="CommentReference"/>
          <w:sz w:val="22"/>
          <w:szCs w:val="22"/>
        </w:rPr>
        <w:commentReference w:id="45"/>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5A279901" w:rsidR="00401741" w:rsidRDefault="00000000">
      <w:r>
        <w:t xml:space="preserve">Deep learning is a specific form of machine learning that uses neural networks consisting of multiple </w:t>
      </w:r>
      <w:commentRangeStart w:id="46"/>
      <w:r>
        <w:t>layers</w:t>
      </w:r>
      <w:commentRangeEnd w:id="46"/>
      <w:r>
        <w:rPr>
          <w:rStyle w:val="CommentReference"/>
          <w:sz w:val="22"/>
          <w:szCs w:val="22"/>
        </w:rPr>
        <w:commentReference w:id="46"/>
      </w:r>
      <w:r>
        <w:t xml:space="preserve"> (</w:t>
      </w:r>
      <w:r>
        <w:rPr>
          <w:highlight w:val="white"/>
          <w:lang w:val="en-US"/>
        </w:rPr>
        <w:t>LeCun</w:t>
      </w:r>
      <w:r>
        <w:rPr>
          <w:lang w:val="en-US"/>
        </w:rPr>
        <w:t xml:space="preserve"> et al., 2015)</w:t>
      </w:r>
      <w:r>
        <w:t xml:space="preserve">. Training a deep learning model requires a large amount of data and </w:t>
      </w:r>
      <w:commentRangeStart w:id="47"/>
      <w:r>
        <w:t>computation</w:t>
      </w:r>
      <w:commentRangeEnd w:id="47"/>
      <w:r>
        <w:rPr>
          <w:rStyle w:val="CommentReference"/>
          <w:sz w:val="22"/>
          <w:szCs w:val="22"/>
        </w:rPr>
        <w:commentReference w:id="47"/>
      </w:r>
      <w:r>
        <w:t>; this has created a situation where it has only become prevalent after A</w:t>
      </w:r>
      <w:commentRangeStart w:id="48"/>
      <w:r>
        <w:t>lexNet (Krizhevsky et al., 2012), even though the concept has been around since 1958</w:t>
      </w:r>
      <w:commentRangeEnd w:id="48"/>
      <w:r>
        <w:rPr>
          <w:rStyle w:val="CommentReference"/>
          <w:sz w:val="22"/>
          <w:szCs w:val="22"/>
        </w:rPr>
        <w:commentReference w:id="48"/>
      </w:r>
      <w:r>
        <w:t xml:space="preserve">. Probably the best-known early applications of deep learning in marketing revolve around </w:t>
      </w:r>
      <w:commentRangeStart w:id="49"/>
      <w:r>
        <w:t>chatbots</w:t>
      </w:r>
      <w:commentRangeEnd w:id="49"/>
      <w:r>
        <w:rPr>
          <w:rStyle w:val="CommentReference"/>
          <w:sz w:val="22"/>
          <w:szCs w:val="22"/>
        </w:rPr>
        <w:commentReference w:id="49"/>
      </w:r>
      <w:r>
        <w:t xml:space="preserve">. After </w:t>
      </w:r>
      <w:commentRangeStart w:id="50"/>
      <w:r>
        <w:t>word2vec</w:t>
      </w:r>
      <w:commentRangeEnd w:id="50"/>
      <w:r>
        <w:rPr>
          <w:rStyle w:val="CommentReference"/>
          <w:sz w:val="22"/>
          <w:szCs w:val="22"/>
        </w:rPr>
        <w:commentReference w:id="50"/>
      </w:r>
      <w:r>
        <w:t xml:space="preserve"> (Mikolov et al., 2013), which gave a numerical representation of words, it became possible to match user questions to question-and-answer sets that were explicitly collected. This gave rise to early chatbots, which could answer </w:t>
      </w:r>
      <w:commentRangeStart w:id="51"/>
      <w:r>
        <w:t xml:space="preserve">FAQ </w:t>
      </w:r>
      <w:commentRangeEnd w:id="51"/>
      <w:r>
        <w:rPr>
          <w:rStyle w:val="CommentReference"/>
          <w:sz w:val="22"/>
          <w:szCs w:val="22"/>
        </w:rPr>
        <w:commentReference w:id="51"/>
      </w:r>
      <w:r>
        <w:t>questions (</w:t>
      </w:r>
      <w:r>
        <w:rPr>
          <w:highlight w:val="white"/>
        </w:rPr>
        <w:t>Dutta et al., 2021)</w:t>
      </w:r>
      <w:r>
        <w:t>.</w:t>
      </w:r>
    </w:p>
    <w:p w14:paraId="57B20B8C" w14:textId="77777777" w:rsidR="00401741" w:rsidRDefault="00000000">
      <w:pPr>
        <w:pStyle w:val="Heading3"/>
      </w:pPr>
      <w:bookmarkStart w:id="52" w:name="_fqeqowri1ro4" w:colFirst="0" w:colLast="0"/>
      <w:bookmarkEnd w:id="52"/>
      <w:r>
        <w:lastRenderedPageBreak/>
        <w:t>2.1.1.</w:t>
      </w:r>
      <w:r>
        <w:tab/>
        <w:t>The Rise of the LLM</w:t>
      </w:r>
    </w:p>
    <w:p w14:paraId="6471EEE5" w14:textId="4B532DE1" w:rsidR="00401741" w:rsidRDefault="00000000">
      <w:pPr>
        <w:rPr>
          <w:del w:id="53" w:author="Stefanie B." w:date="2026-05-11T12:43:00Z"/>
        </w:rPr>
      </w:pPr>
      <w:r>
        <w:t xml:space="preserve">But the real breakthrough came with the paper “Attention is All You Need” (Vaswani et al., 2016), which introduced the Transformer model (the T in </w:t>
      </w:r>
      <w:commentRangeStart w:id="54"/>
      <w:commentRangeStart w:id="55"/>
      <w:r>
        <w:t>GPT</w:t>
      </w:r>
      <w:commentRangeEnd w:id="55"/>
      <w:r>
        <w:rPr>
          <w:rStyle w:val="CommentReference"/>
          <w:sz w:val="22"/>
          <w:szCs w:val="22"/>
        </w:rPr>
        <w:commentReference w:id="55"/>
      </w:r>
      <w:commentRangeEnd w:id="54"/>
      <w:r>
        <w:rPr>
          <w:rStyle w:val="CommentReference"/>
          <w:sz w:val="22"/>
          <w:szCs w:val="22"/>
        </w:rPr>
        <w:commentReference w:id="54"/>
      </w:r>
      <w:r>
        <w:t>). Training these systems became costly (</w:t>
      </w:r>
      <w:r>
        <w:rPr>
          <w:highlight w:val="white"/>
        </w:rPr>
        <w:t>Cottier, 2024</w:t>
      </w:r>
      <w:r>
        <w:t>)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56"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57"/>
      <w:commentRangeStart w:id="58"/>
      <w:r>
        <w:t>2018</w:t>
      </w:r>
      <w:commentRangeEnd w:id="58"/>
      <w:r>
        <w:rPr>
          <w:rStyle w:val="CommentReference"/>
          <w:sz w:val="22"/>
          <w:szCs w:val="22"/>
        </w:rPr>
        <w:commentReference w:id="58"/>
      </w:r>
      <w:commentRangeEnd w:id="57"/>
      <w:r>
        <w:rPr>
          <w:rStyle w:val="CommentReference"/>
          <w:sz w:val="22"/>
          <w:szCs w:val="22"/>
        </w:rPr>
        <w:commentReference w:id="57"/>
      </w:r>
      <w:r>
        <w:t>). A key element here is the term “</w:t>
      </w:r>
      <w:commentRangeStart w:id="59"/>
      <w:r>
        <w:t>pretrained</w:t>
      </w:r>
      <w:commentRangeEnd w:id="59"/>
      <w:r>
        <w:rPr>
          <w:rStyle w:val="CommentReference"/>
          <w:sz w:val="22"/>
          <w:szCs w:val="22"/>
        </w:rPr>
        <w:commentReference w:id="59"/>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0"/>
      <w:r>
        <w:t>models</w:t>
      </w:r>
      <w:commentRangeEnd w:id="60"/>
      <w:r>
        <w:rPr>
          <w:rStyle w:val="CommentReference"/>
          <w:sz w:val="22"/>
          <w:szCs w:val="22"/>
        </w:rPr>
        <w:commentReference w:id="60"/>
      </w:r>
      <w:r>
        <w:t xml:space="preserve"> (</w:t>
      </w:r>
      <w:r>
        <w:rPr>
          <w:highlight w:val="white"/>
        </w:rPr>
        <w:t>Burkhardt &amp; Rieder, 2024)</w:t>
      </w:r>
      <w:r>
        <w:t xml:space="preserve">. This </w:t>
      </w:r>
      <w:commentRangeStart w:id="61"/>
      <w:ins w:id="62" w:author="Stefanie B." w:date="2026-05-11T12:44:00Z">
        <w:r>
          <w:t xml:space="preserve">development </w:t>
        </w:r>
      </w:ins>
      <w:commentRangeEnd w:id="61"/>
      <w:r>
        <w:rPr>
          <w:rStyle w:val="CommentReference"/>
          <w:sz w:val="22"/>
          <w:szCs w:val="22"/>
        </w:rPr>
        <w:commentReference w:id="61"/>
      </w:r>
      <w:r>
        <w:t>shift from up-front costs to usage-based costs makes AI much more applicable for small-scale use cases and quick experimentation (</w:t>
      </w:r>
      <w:r>
        <w:rPr>
          <w:highlight w:val="white"/>
        </w:rPr>
        <w:t xml:space="preserve">Burkhardt &amp; Rieder, </w:t>
      </w:r>
      <w:commentRangeStart w:id="63"/>
      <w:r>
        <w:rPr>
          <w:highlight w:val="white"/>
        </w:rPr>
        <w:t>2024</w:t>
      </w:r>
      <w:commentRangeEnd w:id="63"/>
      <w:r>
        <w:rPr>
          <w:rStyle w:val="CommentReference"/>
          <w:sz w:val="22"/>
          <w:szCs w:val="22"/>
          <w:highlight w:val="white"/>
        </w:rPr>
        <w:commentReference w:id="63"/>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4"/>
      <w:r>
        <w:t xml:space="preserve">text </w:t>
      </w:r>
      <w:commentRangeEnd w:id="64"/>
      <w:r>
        <w:rPr>
          <w:rStyle w:val="CommentReference"/>
          <w:sz w:val="22"/>
          <w:szCs w:val="22"/>
        </w:rPr>
        <w:commentReference w:id="64"/>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65" w:name="_n7fdo5m5v3pp" w:colFirst="0" w:colLast="0"/>
      <w:bookmarkEnd w:id="65"/>
      <w:r>
        <w:t>2.1.2.</w:t>
      </w:r>
      <w:r>
        <w:tab/>
        <w:t>The impact of ChatGPT</w:t>
      </w:r>
    </w:p>
    <w:p w14:paraId="7551610A" w14:textId="77777777" w:rsidR="00401741" w:rsidRDefault="00000000">
      <w:r>
        <w:t xml:space="preserve">ChatGPT was the introduction of </w:t>
      </w:r>
      <w:ins w:id="66" w:author="Stefanie B." w:date="2026-05-11T12:53:00Z">
        <w:r>
          <w:t>Gen</w:t>
        </w:r>
      </w:ins>
      <w:r>
        <w:t xml:space="preserve">AI to the broader public as a simple question-and-answer machine (OpenAI, 2022). ChatGPT </w:t>
      </w:r>
      <w:ins w:id="67" w:author="Stefanie B." w:date="2026-05-11T12:53:00Z">
        <w:r>
          <w:t xml:space="preserve">can </w:t>
        </w:r>
      </w:ins>
      <w:del w:id="68"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r>
      <w:r>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69"/>
      <w:r>
        <w:t>2025</w:t>
      </w:r>
      <w:commentRangeEnd w:id="69"/>
      <w:r>
        <w:rPr>
          <w:rStyle w:val="CommentReference"/>
          <w:sz w:val="22"/>
          <w:szCs w:val="22"/>
        </w:rPr>
        <w:commentReference w:id="69"/>
      </w:r>
      <w:r>
        <w:t>)</w:t>
      </w:r>
      <w:ins w:id="70" w:author="Stefanie B." w:date="2026-05-11T12:53:00Z">
        <w:r>
          <w:t xml:space="preserve">. </w:t>
        </w:r>
      </w:ins>
    </w:p>
    <w:p w14:paraId="4E04B80A" w14:textId="77777777" w:rsidR="00401741" w:rsidRDefault="00000000">
      <w:pPr>
        <w:pStyle w:val="Heading3"/>
      </w:pPr>
      <w:bookmarkStart w:id="71" w:name="_7k1mujnido4y" w:colFirst="0" w:colLast="0"/>
      <w:bookmarkEnd w:id="71"/>
      <w:r>
        <w:t>2.1.3.</w:t>
      </w:r>
      <w:r>
        <w:tab/>
        <w:t>The Move to Agentic</w:t>
      </w:r>
    </w:p>
    <w:p w14:paraId="261537C5" w14:textId="77777777" w:rsidR="00401741" w:rsidRDefault="00000000">
      <w:r>
        <w:t xml:space="preserve">Just before the release of ChatGPT, the concept of Retrieval Augmented Generation (RAG) was introduced (Lewis et al., </w:t>
      </w:r>
      <w:commentRangeStart w:id="72"/>
      <w:r>
        <w:t>2020</w:t>
      </w:r>
      <w:commentRangeEnd w:id="72"/>
      <w:r>
        <w:rPr>
          <w:rStyle w:val="CommentReference"/>
          <w:sz w:val="22"/>
          <w:szCs w:val="22"/>
        </w:rPr>
        <w:commentReference w:id="72"/>
      </w:r>
      <w:r>
        <w:t xml:space="preserve">). This </w:t>
      </w:r>
      <w:ins w:id="73" w:author="Stefanie B." w:date="2026-05-11T12:55:00Z">
        <w:r>
          <w:t xml:space="preserve">development </w:t>
        </w:r>
      </w:ins>
      <w:r>
        <w:t xml:space="preserve">was immediately relevant for business to </w:t>
      </w:r>
      <w:ins w:id="74" w:author="Stefanie B." w:date="2026-05-11T12:54:00Z">
        <w:r>
          <w:t>put</w:t>
        </w:r>
      </w:ins>
      <w:del w:id="75" w:author="Stefanie B." w:date="2026-05-11T12:54:00Z">
        <w:r>
          <w:delText xml:space="preserve">get </w:delText>
        </w:r>
      </w:del>
      <w:ins w:id="76"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77" w:author="Stefanie B." w:date="2026-05-11T12:55:00Z">
        <w:r>
          <w:t xml:space="preserve">RAG </w:t>
        </w:r>
      </w:ins>
      <w:del w:id="78" w:author="Stefanie B." w:date="2026-05-11T12:55:00Z">
        <w:r>
          <w:delText xml:space="preserve">This </w:delText>
        </w:r>
      </w:del>
      <w:r>
        <w:t xml:space="preserve">powers the AI system with additional knowledge that typically is directly related to the posed prompt (Lewis et al., 2020; Gao et al., </w:t>
      </w:r>
      <w:commentRangeStart w:id="79"/>
      <w:commentRangeStart w:id="80"/>
      <w:r>
        <w:t>2023</w:t>
      </w:r>
      <w:commentRangeEnd w:id="80"/>
      <w:r>
        <w:rPr>
          <w:rStyle w:val="CommentReference"/>
          <w:sz w:val="22"/>
          <w:szCs w:val="22"/>
        </w:rPr>
        <w:commentReference w:id="80"/>
      </w:r>
      <w:commentRangeEnd w:id="79"/>
      <w:r>
        <w:rPr>
          <w:rStyle w:val="CommentReference"/>
          <w:sz w:val="22"/>
          <w:szCs w:val="22"/>
        </w:rPr>
        <w:commentReference w:id="79"/>
      </w:r>
      <w:r>
        <w:t>).</w:t>
      </w:r>
      <w:ins w:id="81" w:author="Stefanie B." w:date="2026-05-11T12:55:00Z">
        <w:r>
          <w:t xml:space="preserve"> </w:t>
        </w:r>
      </w:ins>
    </w:p>
    <w:p w14:paraId="170935C5" w14:textId="77777777" w:rsidR="00401741" w:rsidRDefault="00000000">
      <w:commentRangeStart w:id="82"/>
      <w:r>
        <w:t xml:space="preserve">After the ability </w:t>
      </w:r>
      <w:ins w:id="83" w:author="Stefanie B." w:date="2026-05-11T12:55:00Z">
        <w:r>
          <w:t xml:space="preserve">of AI </w:t>
        </w:r>
      </w:ins>
      <w:r>
        <w:t xml:space="preserve">to retrieve external </w:t>
      </w:r>
      <w:commentRangeStart w:id="84"/>
      <w:r>
        <w:t>context</w:t>
      </w:r>
      <w:commentRangeEnd w:id="84"/>
      <w:r>
        <w:rPr>
          <w:rStyle w:val="CommentReference"/>
          <w:sz w:val="22"/>
          <w:szCs w:val="22"/>
        </w:rPr>
        <w:commentReference w:id="84"/>
      </w:r>
      <w:r>
        <w:t>, the ability to act was a vital next step in the</w:t>
      </w:r>
      <w:commentRangeStart w:id="85"/>
      <w:r>
        <w:t xml:space="preserve"> development of agentic systems. </w:t>
      </w:r>
      <w:commentRangeEnd w:id="85"/>
      <w:r>
        <w:rPr>
          <w:rStyle w:val="CommentReference"/>
          <w:sz w:val="22"/>
          <w:szCs w:val="22"/>
        </w:rPr>
        <w:commentReference w:id="85"/>
      </w:r>
      <w:r>
        <w:t xml:space="preserve">A key conceptual step was the </w:t>
      </w:r>
      <w:commentRangeStart w:id="86"/>
      <w:r>
        <w:t>ReAct</w:t>
      </w:r>
      <w:commentRangeEnd w:id="86"/>
      <w:r>
        <w:rPr>
          <w:rStyle w:val="CommentReference"/>
          <w:sz w:val="22"/>
          <w:szCs w:val="22"/>
        </w:rPr>
        <w:commentReference w:id="86"/>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87" w:author="Stefanie B." w:date="2026-05-11T12:58:00Z">
        <w:r>
          <w:delText>I.e.,</w:delText>
        </w:r>
      </w:del>
      <w:r>
        <w:t xml:space="preserve"> </w:t>
      </w:r>
      <w:ins w:id="88" w:author="Stefanie B." w:date="2026-05-11T12:59:00Z">
        <w:r>
          <w:t>T</w:t>
        </w:r>
      </w:ins>
      <w:del w:id="89" w:author="Stefanie B." w:date="2026-05-11T12:59:00Z">
        <w:r>
          <w:delText>t</w:delText>
        </w:r>
      </w:del>
      <w:r>
        <w:t>his</w:t>
      </w:r>
      <w:ins w:id="90" w:author="Stefanie B." w:date="2026-05-11T12:59:00Z">
        <w:r>
          <w:t xml:space="preserve"> ability to act</w:t>
        </w:r>
      </w:ins>
      <w:r>
        <w:t xml:space="preserve"> results in a situation where an AI agent can work within systems at the behest of the user (Hughes et al., 2025). </w:t>
      </w:r>
      <w:commentRangeEnd w:id="82"/>
      <w:r>
        <w:rPr>
          <w:rStyle w:val="CommentReference"/>
          <w:sz w:val="22"/>
          <w:szCs w:val="22"/>
        </w:rPr>
        <w:commentReference w:id="82"/>
      </w:r>
    </w:p>
    <w:p w14:paraId="576078B1" w14:textId="77777777" w:rsidR="00401741" w:rsidRDefault="00000000">
      <w:r>
        <w:t>After the ReAct framework, many innovations, standards, and implementations that have built on this concept have improved the quality and availability of</w:t>
      </w:r>
      <w:commentRangeStart w:id="91"/>
      <w:r>
        <w:t xml:space="preserve"> AI agents. </w:t>
      </w:r>
      <w:commentRangeEnd w:id="91"/>
      <w:r>
        <w:rPr>
          <w:rStyle w:val="CommentReference"/>
          <w:sz w:val="22"/>
          <w:szCs w:val="22"/>
        </w:rPr>
        <w:commentReference w:id="91"/>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92"/>
      <w:r>
        <w:t>software</w:t>
      </w:r>
      <w:commentRangeEnd w:id="92"/>
      <w:r>
        <w:rPr>
          <w:rStyle w:val="CommentReference"/>
          <w:sz w:val="22"/>
          <w:szCs w:val="22"/>
        </w:rPr>
        <w:commentReference w:id="92"/>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93"/>
      <w:r>
        <w:t>calling</w:t>
      </w:r>
      <w:commentRangeEnd w:id="93"/>
      <w:r>
        <w:rPr>
          <w:rStyle w:val="CommentReference"/>
          <w:sz w:val="22"/>
          <w:szCs w:val="22"/>
        </w:rPr>
        <w:commentReference w:id="93"/>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4"/>
      <w:r>
        <w:t xml:space="preserve">CRM </w:t>
      </w:r>
      <w:commentRangeEnd w:id="94"/>
      <w:r>
        <w:rPr>
          <w:rStyle w:val="CommentReference"/>
          <w:sz w:val="22"/>
          <w:szCs w:val="22"/>
        </w:rPr>
        <w:commentReference w:id="94"/>
      </w:r>
      <w:r>
        <w:t xml:space="preserve">systems, and the like (Hughes et al., </w:t>
      </w:r>
      <w:commentRangeStart w:id="95"/>
      <w:r>
        <w:t>2025</w:t>
      </w:r>
      <w:commentRangeEnd w:id="95"/>
      <w:r>
        <w:rPr>
          <w:rStyle w:val="CommentReference"/>
          <w:sz w:val="22"/>
          <w:szCs w:val="22"/>
        </w:rPr>
        <w:commentReference w:id="95"/>
      </w:r>
      <w:r>
        <w:t>).</w:t>
      </w:r>
    </w:p>
    <w:p w14:paraId="4A1B922A" w14:textId="77777777" w:rsidR="00401741" w:rsidRDefault="00000000">
      <w:pPr>
        <w:pStyle w:val="Heading3"/>
      </w:pPr>
      <w:bookmarkStart w:id="96" w:name="_ub1qv02kke7k" w:colFirst="0" w:colLast="0"/>
      <w:bookmarkEnd w:id="96"/>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97"/>
      <w:r>
        <w:rPr>
          <w:highlight w:val="white"/>
        </w:rPr>
        <w:t>interprets</w:t>
      </w:r>
      <w:commentRangeEnd w:id="97"/>
      <w:r>
        <w:rPr>
          <w:rStyle w:val="CommentReference"/>
          <w:sz w:val="22"/>
          <w:szCs w:val="22"/>
          <w:highlight w:val="white"/>
        </w:rPr>
        <w:commentReference w:id="97"/>
      </w:r>
      <w:r>
        <w:rPr>
          <w:highlight w:val="white"/>
        </w:rPr>
        <w:t>.”</w:t>
      </w:r>
    </w:p>
    <w:p w14:paraId="429650DF" w14:textId="77777777" w:rsidR="00401741" w:rsidRDefault="00000000">
      <w:pPr>
        <w:pStyle w:val="Heading2"/>
        <w:rPr>
          <w:color w:val="00312A"/>
        </w:rPr>
      </w:pPr>
      <w:bookmarkStart w:id="98" w:name="_2vf6sqrz2b2s" w:colFirst="0" w:colLast="0"/>
      <w:bookmarkEnd w:id="98"/>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99"/>
      <w:r>
        <w:rPr>
          <w:color w:val="00312A"/>
        </w:rPr>
        <w:t>performance</w:t>
      </w:r>
      <w:commentRangeEnd w:id="99"/>
      <w:r>
        <w:rPr>
          <w:rStyle w:val="CommentReference"/>
          <w:color w:val="00312A"/>
          <w:sz w:val="22"/>
          <w:szCs w:val="22"/>
        </w:rPr>
        <w:commentReference w:id="99"/>
      </w:r>
      <w:r>
        <w:rPr>
          <w:color w:val="00312A"/>
        </w:rPr>
        <w:t xml:space="preserve">. The AI marketing literature shows that AI can contribute across the marketing process rather than only within </w:t>
      </w:r>
      <w:commentRangeStart w:id="100"/>
      <w:r>
        <w:rPr>
          <w:color w:val="00312A"/>
        </w:rPr>
        <w:t>communications</w:t>
      </w:r>
      <w:commentRangeEnd w:id="100"/>
      <w:r>
        <w:rPr>
          <w:rStyle w:val="CommentReference"/>
          <w:color w:val="00312A"/>
          <w:sz w:val="22"/>
          <w:szCs w:val="22"/>
        </w:rPr>
        <w:commentReference w:id="100"/>
      </w:r>
      <w:r>
        <w:rPr>
          <w:color w:val="00312A"/>
        </w:rPr>
        <w:t>.</w:t>
      </w:r>
    </w:p>
    <w:p w14:paraId="4BE96CB1" w14:textId="77777777" w:rsidR="00401741" w:rsidRDefault="00000000">
      <w:pPr>
        <w:rPr>
          <w:color w:val="00312A"/>
        </w:rPr>
      </w:pPr>
      <w:r>
        <w:rPr>
          <w:color w:val="00312A"/>
        </w:rPr>
        <w:t xml:space="preserve">Generative </w:t>
      </w:r>
      <w:commentRangeStart w:id="101"/>
      <w:r>
        <w:rPr>
          <w:color w:val="00312A"/>
        </w:rPr>
        <w:t>AI</w:t>
      </w:r>
      <w:commentRangeEnd w:id="101"/>
      <w:r>
        <w:rPr>
          <w:rStyle w:val="CommentReference"/>
          <w:color w:val="00312A"/>
          <w:sz w:val="22"/>
          <w:szCs w:val="22"/>
        </w:rPr>
        <w:commentReference w:id="101"/>
      </w:r>
      <w:r>
        <w:rPr>
          <w:color w:val="00312A"/>
        </w:rPr>
        <w:t xml:space="preserve"> adds a new layer to this literature. Mogaji and Jain (2024) and Jain et al. (2024) call for further research into how generative AI changes consumer behavior, marketing </w:t>
      </w:r>
      <w:r>
        <w:rPr>
          <w:color w:val="00312A"/>
        </w:rP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2"/>
      <w:r>
        <w:rPr>
          <w:color w:val="00312A"/>
        </w:rPr>
        <w:t>how marketing managers create value with agentic systems beyond content generation.</w:t>
      </w:r>
      <w:commentRangeEnd w:id="102"/>
      <w:r>
        <w:rPr>
          <w:rStyle w:val="CommentReference"/>
          <w:color w:val="00312A"/>
          <w:sz w:val="22"/>
          <w:szCs w:val="22"/>
        </w:rPr>
        <w:commentReference w:id="102"/>
      </w:r>
    </w:p>
    <w:p w14:paraId="54FBA4FB" w14:textId="77777777" w:rsidR="00401741" w:rsidRDefault="00000000">
      <w:pPr>
        <w:rPr>
          <w:color w:val="00312A"/>
        </w:rPr>
      </w:pPr>
      <w:commentRangeStart w:id="103"/>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4"/>
      <w:r>
        <w:rPr>
          <w:color w:val="00312A"/>
        </w:rPr>
        <w:t>productivity</w:t>
      </w:r>
      <w:commentRangeEnd w:id="104"/>
      <w:r>
        <w:rPr>
          <w:rStyle w:val="CommentReference"/>
          <w:color w:val="00312A"/>
          <w:sz w:val="22"/>
          <w:szCs w:val="22"/>
        </w:rPr>
        <w:commentReference w:id="104"/>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3"/>
      <w:r>
        <w:rPr>
          <w:rStyle w:val="CommentReference"/>
          <w:color w:val="00312A"/>
          <w:sz w:val="22"/>
          <w:szCs w:val="22"/>
        </w:rPr>
        <w:commentReference w:id="103"/>
      </w:r>
    </w:p>
    <w:p w14:paraId="58F9883D" w14:textId="77777777" w:rsidR="00401741" w:rsidRDefault="00000000">
      <w:pPr>
        <w:pStyle w:val="Heading2"/>
        <w:rPr>
          <w:color w:val="00312A"/>
        </w:rPr>
      </w:pPr>
      <w:bookmarkStart w:id="105" w:name="_z3s6q9rk0mxk" w:colFirst="0" w:colLast="0"/>
      <w:bookmarkEnd w:id="105"/>
      <w:r>
        <w:rPr>
          <w:color w:val="00312A"/>
        </w:rPr>
        <w:lastRenderedPageBreak/>
        <w:t>2.3.</w:t>
      </w:r>
      <w:r>
        <w:rPr>
          <w:color w:val="00312A"/>
        </w:rPr>
        <w:tab/>
        <w:t>Learnings from earlier waves of digital transformation</w:t>
      </w:r>
    </w:p>
    <w:p w14:paraId="77EC603A" w14:textId="77777777" w:rsidR="00401741" w:rsidRDefault="00000000">
      <w:pPr>
        <w:rPr>
          <w:color w:val="00312A"/>
        </w:rPr>
      </w:pPr>
      <w:commentRangeStart w:id="106"/>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07"/>
      <w:r>
        <w:rPr>
          <w:color w:val="00312A"/>
        </w:rPr>
        <w:t>identity</w:t>
      </w:r>
      <w:commentRangeEnd w:id="107"/>
      <w:r>
        <w:rPr>
          <w:rStyle w:val="CommentReference"/>
          <w:color w:val="00312A"/>
          <w:sz w:val="22"/>
          <w:szCs w:val="22"/>
        </w:rPr>
        <w:commentReference w:id="107"/>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06"/>
      <w:r>
        <w:rPr>
          <w:rStyle w:val="CommentReference"/>
          <w:color w:val="00312A"/>
          <w:sz w:val="22"/>
          <w:szCs w:val="22"/>
        </w:rPr>
        <w:commentReference w:id="106"/>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108"/>
      <w:r>
        <w:rPr>
          <w:color w:val="00312A"/>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rPr>
          <w:color w:val="00312A"/>
        </w:rP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08"/>
      <w:r>
        <w:rPr>
          <w:rStyle w:val="CommentReference"/>
          <w:color w:val="00312A"/>
          <w:sz w:val="22"/>
          <w:szCs w:val="22"/>
        </w:rPr>
        <w:commentReference w:id="108"/>
      </w:r>
    </w:p>
    <w:p w14:paraId="7189F9DB" w14:textId="77777777" w:rsidR="00401741" w:rsidRDefault="00000000">
      <w:pPr>
        <w:rPr>
          <w:strike/>
          <w:color w:val="00312A"/>
        </w:rPr>
      </w:pPr>
      <w:commentRangeStart w:id="109"/>
      <w:commentRangeStart w:id="110"/>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0"/>
      <w:r>
        <w:rPr>
          <w:rStyle w:val="CommentReference"/>
          <w:strike/>
          <w:color w:val="00312A"/>
          <w:sz w:val="22"/>
          <w:szCs w:val="22"/>
        </w:rPr>
        <w:commentReference w:id="110"/>
      </w:r>
      <w:commentRangeEnd w:id="109"/>
      <w:r>
        <w:rPr>
          <w:rStyle w:val="CommentReference"/>
          <w:strike/>
          <w:color w:val="00312A"/>
          <w:sz w:val="22"/>
          <w:szCs w:val="22"/>
        </w:rPr>
        <w:commentReference w:id="109"/>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111"/>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1"/>
      <w:r>
        <w:rPr>
          <w:rStyle w:val="CommentReference"/>
          <w:color w:val="00312A"/>
          <w:sz w:val="22"/>
          <w:szCs w:val="22"/>
        </w:rPr>
        <w:commentReference w:id="111"/>
      </w:r>
    </w:p>
    <w:p w14:paraId="0EA8937D" w14:textId="77777777" w:rsidR="00401741" w:rsidRDefault="00000000">
      <w:pPr>
        <w:rPr>
          <w:color w:val="00312A"/>
        </w:rPr>
      </w:pPr>
      <w:r>
        <w:rPr>
          <w:color w:val="00312A"/>
        </w:rPr>
        <w:t xml:space="preserve">A second lesson from digital transformation is that measurement must change when the technology changes the work </w:t>
      </w:r>
      <w:commentRangeStart w:id="112"/>
      <w:r>
        <w:rPr>
          <w:color w:val="00312A"/>
        </w:rPr>
        <w:t>system</w:t>
      </w:r>
      <w:commentRangeEnd w:id="112"/>
      <w:r>
        <w:rPr>
          <w:rStyle w:val="CommentReference"/>
          <w:color w:val="00312A"/>
          <w:sz w:val="22"/>
          <w:szCs w:val="22"/>
        </w:rPr>
        <w:commentReference w:id="112"/>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w:t>
      </w:r>
      <w:r>
        <w:rPr>
          <w:color w:val="00312A"/>
        </w:rPr>
        <w:lastRenderedPageBreak/>
        <w:t xml:space="preserve">time between insight and action, increasing the number of experiments a team can run, reducing handover friction between marketing and sales, or improving the consistency of campaign governance. </w:t>
      </w:r>
      <w:commentRangeStart w:id="113"/>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3"/>
      <w:r>
        <w:rPr>
          <w:rStyle w:val="CommentReference"/>
          <w:color w:val="00312A"/>
          <w:sz w:val="22"/>
          <w:szCs w:val="22"/>
        </w:rPr>
        <w:commentReference w:id="113"/>
      </w:r>
    </w:p>
    <w:p w14:paraId="742EE997" w14:textId="77777777" w:rsidR="00401741" w:rsidRDefault="00000000">
      <w:pPr>
        <w:pStyle w:val="Heading2"/>
        <w:rPr>
          <w:color w:val="00312A"/>
        </w:rPr>
      </w:pPr>
      <w:bookmarkStart w:id="114" w:name="_y36s1eehq7rd" w:colFirst="0" w:colLast="0"/>
      <w:bookmarkEnd w:id="114"/>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15"/>
      <w:r>
        <w:rPr>
          <w:color w:val="00312A"/>
        </w:rPr>
        <w:t>Marketing</w:t>
      </w:r>
      <w:commentRangeEnd w:id="115"/>
      <w:r>
        <w:rPr>
          <w:rStyle w:val="CommentReference"/>
          <w:color w:val="00312A"/>
          <w:sz w:val="22"/>
          <w:szCs w:val="22"/>
        </w:rPr>
        <w:commentReference w:id="115"/>
      </w:r>
      <w:r>
        <w:rPr>
          <w:color w:val="00312A"/>
        </w:rPr>
        <w:t xml:space="preserve"> theory treats value as a multidimensional construct. Woodside et al. (2008) emphasize that customer value includes theory, research, and practice </w:t>
      </w:r>
      <w:commentRangeStart w:id="116"/>
      <w:r>
        <w:rPr>
          <w:color w:val="00312A"/>
        </w:rPr>
        <w:t>dimensions</w:t>
      </w:r>
      <w:commentRangeEnd w:id="116"/>
      <w:r>
        <w:rPr>
          <w:rStyle w:val="CommentReference"/>
          <w:color w:val="00312A"/>
          <w:sz w:val="22"/>
          <w:szCs w:val="22"/>
        </w:rPr>
        <w:commentReference w:id="116"/>
      </w:r>
      <w:r>
        <w:rPr>
          <w:color w:val="00312A"/>
        </w:rPr>
        <w:t xml:space="preserve">, while Sidorchuk (2015) describes value as a central but contested concept in marketing theory. Almquist et al. (2016) offer a managerial framework in which customer </w:t>
      </w:r>
      <w:commentRangeStart w:id="117"/>
      <w:r>
        <w:rPr>
          <w:color w:val="00312A"/>
        </w:rPr>
        <w:t xml:space="preserve">value </w:t>
      </w:r>
      <w:commentRangeEnd w:id="117"/>
      <w:r>
        <w:rPr>
          <w:rStyle w:val="CommentReference"/>
          <w:color w:val="00312A"/>
          <w:sz w:val="22"/>
          <w:szCs w:val="22"/>
        </w:rPr>
        <w:commentReference w:id="117"/>
      </w:r>
      <w:r>
        <w:rPr>
          <w:color w:val="00312A"/>
        </w:rPr>
        <w:t>can be understood through multiple elements, ranging from functional benefits such as saving time or reducing effort to emotional and social benefits. Although this framework is practitioner-</w:t>
      </w:r>
      <w:commentRangeStart w:id="118"/>
      <w:r>
        <w:rPr>
          <w:color w:val="00312A"/>
        </w:rPr>
        <w:t>oriented</w:t>
      </w:r>
      <w:commentRangeEnd w:id="118"/>
      <w:r>
        <w:rPr>
          <w:rStyle w:val="CommentReference"/>
          <w:color w:val="00312A"/>
          <w:sz w:val="22"/>
          <w:szCs w:val="22"/>
        </w:rPr>
        <w:commentReference w:id="118"/>
      </w:r>
      <w:r>
        <w:rPr>
          <w:color w:val="00312A"/>
        </w:rPr>
        <w:t>, it is useful</w:t>
      </w:r>
      <w:commentRangeStart w:id="119"/>
      <w:r>
        <w:rPr>
          <w:color w:val="00312A"/>
        </w:rPr>
        <w:t xml:space="preserve"> as a sensitizing concept because it helps interviewees articulate what kind of value they believe AI creates.</w:t>
      </w:r>
      <w:commentRangeEnd w:id="119"/>
      <w:r>
        <w:rPr>
          <w:rStyle w:val="CommentReference"/>
          <w:color w:val="00312A"/>
          <w:sz w:val="22"/>
          <w:szCs w:val="22"/>
        </w:rPr>
        <w:commentReference w:id="119"/>
      </w:r>
    </w:p>
    <w:p w14:paraId="7036DC6C" w14:textId="77777777" w:rsidR="00401741" w:rsidRDefault="00000000">
      <w:pPr>
        <w:rPr>
          <w:color w:val="00312A"/>
        </w:rPr>
      </w:pPr>
      <w:commentRangeStart w:id="120"/>
      <w:r>
        <w:rPr>
          <w:color w:val="00312A"/>
        </w:rP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0"/>
      <w:r>
        <w:rPr>
          <w:rStyle w:val="CommentReference"/>
          <w:color w:val="00312A"/>
          <w:sz w:val="22"/>
          <w:szCs w:val="22"/>
        </w:rPr>
        <w:commentReference w:id="120"/>
      </w:r>
    </w:p>
    <w:p w14:paraId="03B3063C" w14:textId="77777777" w:rsidR="00401741" w:rsidRDefault="00000000">
      <w:pPr>
        <w:rPr>
          <w:color w:val="00312A"/>
        </w:rPr>
      </w:pPr>
      <w:r>
        <w:rPr>
          <w:color w:val="00312A"/>
        </w:rPr>
        <w:lastRenderedPageBreak/>
        <w:t>Value co-creation literature adds an additional perspective because AI systems increasingly participate in service and marketing interactions. Kaartemo and Helkkula (2018) argue that AI and robots should be understood withi</w:t>
      </w:r>
      <w:commentRangeStart w:id="121"/>
      <w:r>
        <w:rPr>
          <w:color w:val="00312A"/>
        </w:rPr>
        <w:t xml:space="preserve">n value co-creation </w:t>
      </w:r>
      <w:commentRangeEnd w:id="121"/>
      <w:r>
        <w:rPr>
          <w:rStyle w:val="CommentReference"/>
          <w:color w:val="00312A"/>
          <w:sz w:val="22"/>
          <w:szCs w:val="22"/>
        </w:rPr>
        <w:commentReference w:id="121"/>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2"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23"/>
      <w:r>
        <w:rPr>
          <w:color w:val="00312A"/>
        </w:rPr>
        <w:t>capture</w:t>
      </w:r>
      <w:commentRangeEnd w:id="123"/>
      <w:r>
        <w:rPr>
          <w:rStyle w:val="CommentReference"/>
          <w:color w:val="00312A"/>
          <w:sz w:val="22"/>
          <w:szCs w:val="22"/>
        </w:rPr>
        <w:commentReference w:id="123"/>
      </w:r>
      <w:r>
        <w:rPr>
          <w:color w:val="00312A"/>
        </w:rPr>
        <w:t xml:space="preserve">. </w:t>
      </w:r>
      <w:commentRangeStart w:id="124"/>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4"/>
      <w:r>
        <w:rPr>
          <w:rStyle w:val="CommentReference"/>
          <w:color w:val="00312A"/>
          <w:sz w:val="22"/>
          <w:szCs w:val="22"/>
        </w:rPr>
        <w:commentReference w:id="124"/>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25"/>
      <w:r>
        <w:rPr>
          <w:color w:val="00312A"/>
        </w:rPr>
        <w:t>incorrect information, violates privacy expectations, biases decisions, reduces trust, weakens brand distinctiveness, or creates employee resistance. Generative AI may also increase content homogeneity</w:t>
      </w:r>
      <w:commentRangeEnd w:id="125"/>
      <w:r>
        <w:rPr>
          <w:rStyle w:val="CommentReference"/>
          <w:color w:val="00312A"/>
          <w:sz w:val="22"/>
          <w:szCs w:val="22"/>
        </w:rPr>
        <w:commentReference w:id="125"/>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26"/>
      <w:r>
        <w:rPr>
          <w:color w:val="00312A"/>
        </w:rPr>
        <w:t>AI</w:t>
      </w:r>
      <w:commentRangeEnd w:id="126"/>
      <w:r>
        <w:rPr>
          <w:rStyle w:val="CommentReference"/>
          <w:color w:val="00312A"/>
          <w:sz w:val="22"/>
          <w:szCs w:val="22"/>
        </w:rPr>
        <w:commentReference w:id="126"/>
      </w:r>
      <w:r>
        <w:rPr>
          <w:color w:val="00312A"/>
        </w:rPr>
        <w:t xml:space="preserve"> may increase speed and efficiency, but if every firm uses similar systems to generate similar campaigns, the long-</w:t>
      </w:r>
      <w:r>
        <w:rPr>
          <w:color w:val="00312A"/>
        </w:rPr>
        <w:lastRenderedPageBreak/>
        <w:t xml:space="preserve">term effect may be weaker </w:t>
      </w:r>
      <w:commentRangeStart w:id="127"/>
      <w:r>
        <w:rPr>
          <w:color w:val="00312A"/>
        </w:rPr>
        <w:t>differentiation</w:t>
      </w:r>
      <w:commentRangeEnd w:id="127"/>
      <w:r>
        <w:rPr>
          <w:rStyle w:val="CommentReference"/>
          <w:color w:val="00312A"/>
          <w:sz w:val="22"/>
          <w:szCs w:val="22"/>
        </w:rPr>
        <w:commentReference w:id="127"/>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28"/>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28"/>
      <w:r>
        <w:rPr>
          <w:rStyle w:val="CommentReference"/>
          <w:color w:val="00312A"/>
          <w:sz w:val="22"/>
          <w:szCs w:val="22"/>
        </w:rPr>
        <w:commentReference w:id="128"/>
      </w:r>
    </w:p>
    <w:p w14:paraId="07C9AFB7" w14:textId="77777777" w:rsidR="00401741" w:rsidRDefault="00000000">
      <w:pPr>
        <w:pStyle w:val="Heading2"/>
        <w:rPr>
          <w:color w:val="00312A"/>
        </w:rPr>
      </w:pPr>
      <w:bookmarkStart w:id="129" w:name="_cnr93e5ter7y" w:colFirst="0" w:colLast="0"/>
      <w:bookmarkEnd w:id="129"/>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30"/>
      <w:r>
        <w:rPr>
          <w:color w:val="00312A"/>
        </w:rPr>
        <w:t xml:space="preserve">socio-technical capability </w:t>
      </w:r>
      <w:commentRangeEnd w:id="130"/>
      <w:r>
        <w:rPr>
          <w:rStyle w:val="CommentReference"/>
          <w:color w:val="00312A"/>
          <w:sz w:val="22"/>
          <w:szCs w:val="22"/>
        </w:rPr>
        <w:commentReference w:id="130"/>
      </w:r>
      <w:r>
        <w:rPr>
          <w:color w:val="00312A"/>
        </w:rPr>
        <w:t>rather than as a standalone technology.</w:t>
      </w:r>
      <w:commentRangeStart w:id="131"/>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1"/>
      <w:r>
        <w:rPr>
          <w:rStyle w:val="CommentReference"/>
          <w:color w:val="00312A"/>
          <w:sz w:val="22"/>
          <w:szCs w:val="22"/>
        </w:rPr>
        <w:commentReference w:id="131"/>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lastRenderedPageBreak/>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2"/>
      <w:r>
        <w:rPr>
          <w:color w:val="00312A"/>
        </w:rPr>
        <w:t>value</w:t>
      </w:r>
      <w:commentRangeEnd w:id="132"/>
      <w:r>
        <w:rPr>
          <w:rStyle w:val="CommentReference"/>
          <w:color w:val="00312A"/>
          <w:sz w:val="22"/>
          <w:szCs w:val="22"/>
        </w:rPr>
        <w:commentReference w:id="132"/>
      </w:r>
      <w:r>
        <w:rPr>
          <w:color w:val="00312A"/>
        </w:rPr>
        <w:t>.</w:t>
      </w:r>
    </w:p>
    <w:p w14:paraId="2FECC5F5" w14:textId="77777777" w:rsidR="00401741" w:rsidRDefault="00000000">
      <w:pPr>
        <w:rPr>
          <w:color w:val="00312A"/>
        </w:rPr>
      </w:pPr>
      <w:commentRangeStart w:id="133"/>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3"/>
      <w:r>
        <w:rPr>
          <w:rStyle w:val="CommentReference"/>
          <w:color w:val="00312A"/>
          <w:sz w:val="22"/>
          <w:szCs w:val="22"/>
        </w:rPr>
        <w:commentReference w:id="133"/>
      </w:r>
    </w:p>
    <w:p w14:paraId="29730406" w14:textId="77777777" w:rsidR="00401741" w:rsidRDefault="00401741">
      <w:pPr>
        <w:ind w:firstLine="0"/>
      </w:pPr>
    </w:p>
    <w:p w14:paraId="3C6E209D" w14:textId="77777777" w:rsidR="00401741" w:rsidRDefault="00000000">
      <w:pPr>
        <w:pStyle w:val="Heading1"/>
        <w:ind w:firstLine="0"/>
        <w:jc w:val="left"/>
      </w:pPr>
      <w:bookmarkStart w:id="134" w:name="_squzp6x0kd2d" w:colFirst="0" w:colLast="0"/>
      <w:bookmarkEnd w:id="134"/>
      <w:r>
        <w:br w:type="page"/>
      </w:r>
    </w:p>
    <w:p w14:paraId="67E5F6FB" w14:textId="77777777" w:rsidR="00401741" w:rsidRDefault="00000000">
      <w:pPr>
        <w:pStyle w:val="Heading1"/>
      </w:pPr>
      <w:bookmarkStart w:id="135" w:name="_vuulw5cmria2" w:colFirst="0" w:colLast="0"/>
      <w:bookmarkEnd w:id="135"/>
      <w:r>
        <w:lastRenderedPageBreak/>
        <w:t>3.</w:t>
      </w:r>
      <w:r>
        <w:tab/>
      </w:r>
      <w:commentRangeStart w:id="136"/>
      <w:r>
        <w:t>Methodology</w:t>
      </w:r>
      <w:commentRangeEnd w:id="136"/>
      <w:r>
        <w:rPr>
          <w:rStyle w:val="CommentReference"/>
          <w:sz w:val="22"/>
          <w:szCs w:val="22"/>
        </w:rPr>
        <w:commentReference w:id="136"/>
      </w:r>
      <w:commentRangeStart w:id="137"/>
      <w:r>
        <w:t xml:space="preserve"> (10-12 pages)</w:t>
      </w:r>
      <w:commentRangeEnd w:id="137"/>
      <w:r>
        <w:rPr>
          <w:rStyle w:val="CommentReference"/>
          <w:sz w:val="22"/>
          <w:szCs w:val="22"/>
        </w:rPr>
        <w:commentReference w:id="137"/>
      </w:r>
    </w:p>
    <w:p w14:paraId="7C40F41D" w14:textId="77777777" w:rsidR="00401741" w:rsidRDefault="00000000">
      <w:pPr>
        <w:pStyle w:val="Heading2"/>
        <w:spacing w:before="80"/>
      </w:pPr>
      <w:bookmarkStart w:id="138" w:name="_jx9b7a6d4j0v" w:colFirst="0" w:colLast="0"/>
      <w:bookmarkEnd w:id="138"/>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39" w:name="_m0alptie2pwk" w:colFirst="0" w:colLast="0"/>
      <w:bookmarkEnd w:id="139"/>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40"/>
      <w:commentRangeStart w:id="141"/>
      <w:commentRangeStart w:id="142"/>
      <w:r>
        <w:t>TODO</w:t>
      </w:r>
      <w:commentRangeEnd w:id="142"/>
      <w:r>
        <w:rPr>
          <w:rStyle w:val="CommentReference"/>
          <w:sz w:val="22"/>
          <w:szCs w:val="22"/>
        </w:rPr>
        <w:commentReference w:id="142"/>
      </w:r>
      <w:commentRangeEnd w:id="141"/>
      <w:r>
        <w:rPr>
          <w:rStyle w:val="CommentReference"/>
          <w:sz w:val="22"/>
          <w:szCs w:val="22"/>
        </w:rPr>
        <w:commentReference w:id="141"/>
      </w:r>
      <w:commentRangeEnd w:id="140"/>
      <w:r>
        <w:rPr>
          <w:rStyle w:val="CommentReference"/>
          <w:sz w:val="22"/>
          <w:szCs w:val="22"/>
        </w:rPr>
        <w:commentReference w:id="140"/>
      </w:r>
    </w:p>
    <w:p w14:paraId="56730C29" w14:textId="77777777" w:rsidR="00401741" w:rsidRDefault="00000000">
      <w:pPr>
        <w:pStyle w:val="Heading2"/>
        <w:spacing w:before="80"/>
      </w:pPr>
      <w:bookmarkStart w:id="143" w:name="_s5mzxyxu5jog" w:colFirst="0" w:colLast="0"/>
      <w:bookmarkEnd w:id="143"/>
      <w:r>
        <w:lastRenderedPageBreak/>
        <w:t>3.3.</w:t>
      </w:r>
      <w:r>
        <w:tab/>
      </w:r>
      <w:commentRangeStart w:id="144"/>
      <w:commentRangeStart w:id="145"/>
      <w:r>
        <w:t>Intended sample and sample size</w:t>
      </w:r>
      <w:commentRangeEnd w:id="145"/>
      <w:r>
        <w:rPr>
          <w:rStyle w:val="CommentReference"/>
          <w:sz w:val="22"/>
          <w:szCs w:val="22"/>
        </w:rPr>
        <w:commentReference w:id="145"/>
      </w:r>
      <w:commentRangeEnd w:id="144"/>
      <w:r>
        <w:rPr>
          <w:rStyle w:val="CommentReference"/>
          <w:sz w:val="22"/>
          <w:szCs w:val="22"/>
        </w:rPr>
        <w:commentReference w:id="144"/>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46"/>
      <w:commentRangeStart w:id="147"/>
      <w:commentRangeStart w:id="148"/>
      <w:r>
        <w:t>sampling</w:t>
      </w:r>
      <w:commentRangeEnd w:id="148"/>
      <w:r>
        <w:rPr>
          <w:rStyle w:val="CommentReference"/>
          <w:sz w:val="22"/>
          <w:szCs w:val="22"/>
        </w:rPr>
        <w:commentReference w:id="148"/>
      </w:r>
      <w:commentRangeEnd w:id="147"/>
      <w:r>
        <w:rPr>
          <w:rStyle w:val="CommentReference"/>
          <w:sz w:val="22"/>
          <w:szCs w:val="22"/>
        </w:rPr>
        <w:commentReference w:id="147"/>
      </w:r>
      <w:commentRangeEnd w:id="146"/>
      <w:r>
        <w:rPr>
          <w:rStyle w:val="CommentReference"/>
          <w:sz w:val="22"/>
          <w:szCs w:val="22"/>
        </w:rPr>
        <w:commentReference w:id="146"/>
      </w:r>
      <w:r>
        <w:t xml:space="preserve"> (Patton, 2014) and snowball sampling (</w:t>
      </w:r>
      <w:r>
        <w:rPr>
          <w:highlight w:val="white"/>
        </w:rPr>
        <w:t>Parker et al., 2019</w:t>
      </w:r>
      <w:r>
        <w:t>) to identify interview participants is used. The sampling starts with the personal network of the researcher</w:t>
      </w:r>
      <w:commentRangeStart w:id="149"/>
      <w:commentRangeStart w:id="150"/>
      <w:r>
        <w:t>, relying mainly on LinkedIn</w:t>
      </w:r>
      <w:commentRangeEnd w:id="150"/>
      <w:r>
        <w:rPr>
          <w:rStyle w:val="CommentReference"/>
          <w:sz w:val="22"/>
          <w:szCs w:val="22"/>
        </w:rPr>
        <w:commentReference w:id="150"/>
      </w:r>
      <w:commentRangeEnd w:id="149"/>
      <w:r>
        <w:rPr>
          <w:rStyle w:val="CommentReference"/>
          <w:sz w:val="22"/>
          <w:szCs w:val="22"/>
        </w:rPr>
        <w:commentReference w:id="149"/>
      </w:r>
      <w:r>
        <w:t>; candidates were selected when their role matched the selection criteria. Candidates are selected based on their Since the sampling universe is already narrow and access might be limited, n</w:t>
      </w:r>
      <w:commentRangeStart w:id="151"/>
      <w:commentRangeStart w:id="152"/>
      <w:commentRangeStart w:id="153"/>
      <w:commentRangeStart w:id="154"/>
      <w:commentRangeStart w:id="155"/>
      <w:r>
        <w:t>o further selection criteria are applied to potential participants.</w:t>
      </w:r>
      <w:commentRangeEnd w:id="155"/>
      <w:r>
        <w:rPr>
          <w:rStyle w:val="CommentReference"/>
          <w:sz w:val="22"/>
          <w:szCs w:val="22"/>
        </w:rPr>
        <w:commentReference w:id="155"/>
      </w:r>
      <w:commentRangeEnd w:id="154"/>
      <w:r>
        <w:rPr>
          <w:rStyle w:val="CommentReference"/>
          <w:sz w:val="22"/>
          <w:szCs w:val="22"/>
        </w:rPr>
        <w:commentReference w:id="154"/>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8"/>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56" w:name="_jewz4ftnfnae" w:colFirst="0" w:colLast="0"/>
      <w:bookmarkEnd w:id="156"/>
      <w:r>
        <w:t xml:space="preserve"> </w:t>
      </w:r>
    </w:p>
    <w:p w14:paraId="533F3760" w14:textId="77777777" w:rsidR="00401741" w:rsidRDefault="00000000">
      <w:pPr>
        <w:pStyle w:val="Heading2"/>
      </w:pPr>
      <w:bookmarkStart w:id="157" w:name="_kqzta5wwdy54" w:colFirst="0" w:colLast="0"/>
      <w:bookmarkEnd w:id="157"/>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trPr>
          <w:trHeight w:val="2100"/>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58"/>
            <w:r>
              <w:rPr>
                <w:sz w:val="20"/>
                <w:szCs w:val="20"/>
              </w:rPr>
              <w:t xml:space="preserve"> scope conditions in Section 5.3</w:t>
            </w:r>
            <w:commentRangeEnd w:id="158"/>
            <w:r>
              <w:rPr>
                <w:rStyle w:val="CommentReference"/>
                <w:sz w:val="20"/>
                <w:szCs w:val="20"/>
              </w:rPr>
              <w:commentReference w:id="158"/>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77777777" w:rsidR="00401741"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7777777"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59"/>
            <w:r>
              <w:rPr>
                <w:sz w:val="20"/>
                <w:szCs w:val="20"/>
              </w:rPr>
              <w:t>sampling implications appears in Section 3.2.1</w:t>
            </w:r>
            <w:commentRangeEnd w:id="159"/>
            <w:r>
              <w:rPr>
                <w:rStyle w:val="CommentReference"/>
                <w:sz w:val="20"/>
                <w:szCs w:val="20"/>
              </w:rPr>
              <w:commentReference w:id="159"/>
            </w:r>
            <w:r>
              <w:rPr>
                <w:sz w:val="20"/>
                <w:szCs w:val="20"/>
              </w:rPr>
              <w:t xml:space="preserve"> .</w:t>
            </w:r>
          </w:p>
        </w:tc>
      </w:tr>
    </w:tbl>
    <w:p w14:paraId="376D9968" w14:textId="77777777" w:rsidR="00401741" w:rsidRDefault="00401741">
      <w:pPr>
        <w:ind w:firstLine="0"/>
      </w:pPr>
    </w:p>
    <w:p w14:paraId="02A30AEB" w14:textId="77777777" w:rsidR="00401741" w:rsidRDefault="00000000">
      <w:pPr>
        <w:pStyle w:val="Heading1"/>
      </w:pPr>
      <w:bookmarkStart w:id="160" w:name="_81ng021tuy7p" w:colFirst="0" w:colLast="0"/>
      <w:bookmarkEnd w:id="160"/>
      <w:r>
        <w:t xml:space="preserve">4. </w:t>
      </w:r>
      <w:r>
        <w:tab/>
        <w:t>Findings</w:t>
      </w:r>
    </w:p>
    <w:p w14:paraId="43E68E92" w14:textId="77777777" w:rsidR="00401741" w:rsidRDefault="00000000">
      <w: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w:t>
      </w:r>
      <w:r>
        <w:lastRenderedPageBreak/>
        <w:t>Furthermore we observe notable impact stemming from the organizational context (internal and external) on the adoption of agentic AI and the value creation from agentic AI.</w:t>
      </w:r>
    </w:p>
    <w:p w14:paraId="7EF84F87" w14:textId="77777777" w:rsidR="00401741" w:rsidRDefault="00000000">
      <w:pPr>
        <w:ind w:firstLine="0"/>
        <w:rPr>
          <w:b/>
          <w:bCs/>
        </w:rPr>
      </w:pPr>
      <w:bookmarkStart w:id="161" w:name="OLE_LINK8"/>
      <w:del w:id="162" w:author="Claude" w:date="2026-06-07T00:00:00Z">
        <w:r>
          <w:rPr>
            <w:b/>
            <w:bCs/>
          </w:rPr>
          <w:delText>Table 2</w:delText>
        </w:r>
      </w:del>
      <w:ins w:id="163" w:author="Claude" w:date="2026-06-07T00:00:00Z">
        <w:r>
          <w:rPr>
            <w:b/>
          </w:rPr>
          <w:t>Table 3</w:t>
        </w:r>
      </w:ins>
    </w:p>
    <w:p w14:paraId="18084423" w14:textId="104DB9F7" w:rsidR="0059315C" w:rsidRPr="0059315C" w:rsidRDefault="00000000" w:rsidP="0059315C">
      <w:pPr>
        <w:ind w:firstLine="0"/>
        <w:rPr>
          <w:i/>
          <w:iCs/>
        </w:rPr>
      </w:pPr>
      <w:r>
        <w:rPr>
          <w:i/>
          <w:iCs/>
        </w:rPr>
        <w:t>Overview of code development</w:t>
      </w:r>
      <w:bookmarkEnd w:id="161"/>
      <w:r>
        <w:rPr>
          <w:i/>
          <w:iCs/>
        </w:rPr>
        <w:t xml:space="preserve"> </w:t>
      </w:r>
    </w:p>
    <w:tbl>
      <w:tblPr>
        <w:tblStyle w:val="TableNormal0"/>
        <w:tblW w:w="9614" w:type="dxa"/>
        <w:tblInd w:w="0" w:type="dxa"/>
        <w:tblLook w:val="04A0" w:firstRow="1" w:lastRow="0" w:firstColumn="1" w:lastColumn="0" w:noHBand="0" w:noVBand="1"/>
      </w:tblPr>
      <w:tblGrid>
        <w:gridCol w:w="6237"/>
        <w:gridCol w:w="1701"/>
        <w:gridCol w:w="142"/>
        <w:gridCol w:w="1534"/>
      </w:tblGrid>
      <w:tr w:rsidR="00CB4C7D" w:rsidRPr="0059315C" w14:paraId="3C8FAA43" w14:textId="77777777" w:rsidTr="00CB4C7D">
        <w:trPr>
          <w:cnfStyle w:val="100000000000" w:firstRow="1" w:lastRow="0" w:firstColumn="0" w:lastColumn="0" w:oddVBand="0" w:evenVBand="0" w:oddHBand="0" w:evenHBand="0" w:firstRowFirstColumn="0" w:firstRowLastColumn="0" w:lastRowFirstColumn="0" w:lastRowLastColumn="0"/>
          <w:trHeight w:val="255"/>
        </w:trPr>
        <w:tc>
          <w:tcPr>
            <w:tcW w:w="6237" w:type="dxa"/>
            <w:tcBorders>
              <w:top w:val="single" w:sz="8" w:space="0" w:color="auto"/>
              <w:bottom w:val="single" w:sz="8" w:space="0" w:color="auto"/>
            </w:tcBorders>
            <w:noWrap/>
            <w:hideMark/>
          </w:tcPr>
          <w:p w14:paraId="102AA90B" w14:textId="7B307C38" w:rsidR="00CB4C7D" w:rsidRPr="00CB4C7D" w:rsidRDefault="00CB4C7D" w:rsidP="00CB4C7D">
            <w:pPr>
              <w:pStyle w:val="NoSpacing"/>
              <w:spacing w:line="360" w:lineRule="auto"/>
              <w:rPr>
                <w:b/>
                <w:bCs/>
                <w:sz w:val="21"/>
                <w:szCs w:val="21"/>
              </w:rPr>
            </w:pPr>
            <w:r>
              <w:rPr>
                <w:rFonts w:cs="Segoe UI"/>
                <w:b/>
                <w:bCs/>
                <w:color w:val="0A0A0A"/>
                <w:sz w:val="21"/>
                <w:szCs w:val="21"/>
              </w:rPr>
              <w:t>Descriptive codes</w:t>
            </w:r>
          </w:p>
        </w:tc>
        <w:tc>
          <w:tcPr>
            <w:tcW w:w="1701" w:type="dxa"/>
            <w:tcBorders>
              <w:top w:val="single" w:sz="8" w:space="0" w:color="auto"/>
              <w:bottom w:val="single" w:sz="8" w:space="0" w:color="auto"/>
            </w:tcBorders>
            <w:noWrap/>
            <w:hideMark/>
          </w:tcPr>
          <w:p w14:paraId="4FA3B28F" w14:textId="2750FD20" w:rsidR="00CB4C7D" w:rsidRPr="00CB4C7D" w:rsidRDefault="00CB4C7D" w:rsidP="00CB4C7D">
            <w:pPr>
              <w:pStyle w:val="NoSpacing"/>
              <w:spacing w:line="360" w:lineRule="auto"/>
              <w:rPr>
                <w:b/>
                <w:bCs/>
                <w:sz w:val="21"/>
                <w:szCs w:val="21"/>
              </w:rPr>
            </w:pPr>
            <w:r>
              <w:rPr>
                <w:rFonts w:cs="Segoe UI"/>
                <w:b/>
                <w:bCs/>
                <w:color w:val="0A0A0A"/>
                <w:sz w:val="21"/>
                <w:szCs w:val="21"/>
              </w:rPr>
              <w:t>Interpretive</w:t>
            </w:r>
          </w:p>
        </w:tc>
        <w:tc>
          <w:tcPr>
            <w:tcW w:w="1676" w:type="dxa"/>
            <w:gridSpan w:val="2"/>
            <w:tcBorders>
              <w:top w:val="single" w:sz="8" w:space="0" w:color="auto"/>
              <w:bottom w:val="single" w:sz="8" w:space="0" w:color="auto"/>
            </w:tcBorders>
            <w:noWrap/>
            <w:hideMark/>
          </w:tcPr>
          <w:p w14:paraId="5605EE31" w14:textId="7917F769" w:rsidR="00CB4C7D" w:rsidRPr="00CB4C7D" w:rsidRDefault="00CB4C7D" w:rsidP="00CB4C7D">
            <w:pPr>
              <w:pStyle w:val="NoSpacing"/>
              <w:spacing w:line="360" w:lineRule="auto"/>
              <w:rPr>
                <w:b/>
                <w:bCs/>
                <w:sz w:val="21"/>
                <w:szCs w:val="21"/>
              </w:rPr>
            </w:pPr>
            <w:r>
              <w:rPr>
                <w:rFonts w:cs="Segoe UI"/>
                <w:b/>
                <w:bCs/>
                <w:color w:val="0A0A0A"/>
                <w:sz w:val="21"/>
                <w:szCs w:val="21"/>
              </w:rPr>
              <w:t>Aggregated</w:t>
            </w:r>
          </w:p>
        </w:tc>
      </w:tr>
      <w:tr w:rsidR="00CB4C7D" w:rsidRPr="0059315C" w14:paraId="6C8C9980" w14:textId="77777777" w:rsidTr="00CB4C7D">
        <w:trPr>
          <w:trHeight w:val="255"/>
        </w:trPr>
        <w:tc>
          <w:tcPr>
            <w:tcW w:w="6237" w:type="dxa"/>
            <w:tcBorders>
              <w:top w:val="single" w:sz="8" w:space="0" w:color="auto"/>
            </w:tcBorders>
            <w:hideMark/>
          </w:tcPr>
          <w:p w14:paraId="6E83ABB9" w14:textId="46ACC25B" w:rsidR="00CB4C7D" w:rsidRPr="00CB4C7D" w:rsidRDefault="00CB4C7D" w:rsidP="00CB4C7D">
            <w:pPr>
              <w:pStyle w:val="NoSpacing"/>
              <w:spacing w:line="360" w:lineRule="auto"/>
              <w:rPr>
                <w:sz w:val="21"/>
                <w:szCs w:val="21"/>
              </w:rPr>
            </w:pPr>
            <w:r>
              <w:rPr>
                <w:rFonts w:cs="Segoe UI"/>
                <w:color w:val="0A0A0A"/>
                <w:sz w:val="21"/>
                <w:szCs w:val="21"/>
              </w:rPr>
              <w:t>Observing AI’s improvement &amp; potential; Observing increasing AI adoption</w:t>
            </w:r>
          </w:p>
        </w:tc>
        <w:tc>
          <w:tcPr>
            <w:tcW w:w="1701" w:type="dxa"/>
            <w:tcBorders>
              <w:top w:val="single" w:sz="8" w:space="0" w:color="auto"/>
            </w:tcBorders>
            <w:hideMark/>
          </w:tcPr>
          <w:p w14:paraId="4C5FBAD0" w14:textId="2BACA95B" w:rsidR="00CB4C7D" w:rsidRPr="00CB4C7D" w:rsidRDefault="00CB4C7D" w:rsidP="00CB4C7D">
            <w:pPr>
              <w:pStyle w:val="NoSpacing"/>
              <w:spacing w:line="360" w:lineRule="auto"/>
              <w:rPr>
                <w:sz w:val="21"/>
                <w:szCs w:val="21"/>
              </w:rPr>
            </w:pPr>
            <w:r>
              <w:rPr>
                <w:rFonts w:cs="Segoe UI"/>
                <w:color w:val="0A0A0A"/>
                <w:sz w:val="21"/>
                <w:szCs w:val="21"/>
              </w:rPr>
              <w:t>Observing AI progression</w:t>
            </w:r>
          </w:p>
        </w:tc>
        <w:tc>
          <w:tcPr>
            <w:tcW w:w="1676" w:type="dxa"/>
            <w:gridSpan w:val="2"/>
            <w:tcBorders>
              <w:top w:val="single" w:sz="8" w:space="0" w:color="auto"/>
            </w:tcBorders>
            <w:hideMark/>
          </w:tcPr>
          <w:p w14:paraId="0F8E98E7" w14:textId="37CEFCCE"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Observing</w:t>
            </w:r>
          </w:p>
        </w:tc>
      </w:tr>
      <w:tr w:rsidR="00CB4C7D" w:rsidRPr="0059315C" w14:paraId="20D36762" w14:textId="77777777" w:rsidTr="00CB4C7D">
        <w:trPr>
          <w:trHeight w:val="497"/>
        </w:trPr>
        <w:tc>
          <w:tcPr>
            <w:tcW w:w="6237" w:type="dxa"/>
            <w:hideMark/>
          </w:tcPr>
          <w:p w14:paraId="68E9BD8E" w14:textId="1AC52A9A" w:rsidR="00CB4C7D" w:rsidRPr="00CB4C7D" w:rsidRDefault="00CB4C7D" w:rsidP="00CB4C7D">
            <w:pPr>
              <w:pStyle w:val="NoSpacing"/>
              <w:spacing w:line="360" w:lineRule="auto"/>
              <w:rPr>
                <w:sz w:val="21"/>
                <w:szCs w:val="21"/>
              </w:rPr>
            </w:pPr>
            <w:r>
              <w:rPr>
                <w:rFonts w:cs="Segoe UI"/>
                <w:color w:val="0A0A0A"/>
                <w:sz w:val="21"/>
                <w:szCs w:val="21"/>
              </w:rPr>
              <w:t>Observing competitor pressure; Observing changing consumer behavior; Observing the rise of agents of consumers</w:t>
            </w:r>
          </w:p>
        </w:tc>
        <w:tc>
          <w:tcPr>
            <w:tcW w:w="1843" w:type="dxa"/>
            <w:gridSpan w:val="2"/>
            <w:hideMark/>
          </w:tcPr>
          <w:p w14:paraId="6A19ECBD" w14:textId="34C63FC2" w:rsidR="00CB4C7D" w:rsidRPr="00CB4C7D" w:rsidRDefault="00CB4C7D" w:rsidP="00CB4C7D">
            <w:pPr>
              <w:pStyle w:val="NoSpacing"/>
              <w:spacing w:line="360" w:lineRule="auto"/>
              <w:rPr>
                <w:sz w:val="21"/>
                <w:szCs w:val="21"/>
              </w:rPr>
            </w:pPr>
            <w:r>
              <w:rPr>
                <w:rFonts w:cs="Segoe UI"/>
                <w:color w:val="0A0A0A"/>
                <w:sz w:val="21"/>
                <w:szCs w:val="21"/>
              </w:rPr>
              <w:t>Observing market pressure</w:t>
            </w:r>
          </w:p>
        </w:tc>
        <w:tc>
          <w:tcPr>
            <w:tcW w:w="1534" w:type="dxa"/>
            <w:hideMark/>
          </w:tcPr>
          <w:p w14:paraId="7F9C0E09" w14:textId="3488B46B" w:rsidR="00CB4C7D" w:rsidRPr="00CB4C7D" w:rsidRDefault="00CB4C7D" w:rsidP="00CB4C7D">
            <w:pPr>
              <w:pStyle w:val="NoSpacing"/>
              <w:spacing w:line="360" w:lineRule="auto"/>
              <w:rPr>
                <w:sz w:val="21"/>
                <w:szCs w:val="21"/>
              </w:rPr>
            </w:pPr>
          </w:p>
        </w:tc>
      </w:tr>
      <w:tr w:rsidR="00CB4C7D" w:rsidRPr="0059315C" w14:paraId="39DD73D6" w14:textId="77777777" w:rsidTr="00CB4C7D">
        <w:trPr>
          <w:trHeight w:val="510"/>
        </w:trPr>
        <w:tc>
          <w:tcPr>
            <w:tcW w:w="6237" w:type="dxa"/>
            <w:hideMark/>
          </w:tcPr>
          <w:p w14:paraId="6931D4AB" w14:textId="7B7E3686" w:rsidR="00CB4C7D" w:rsidRPr="00CB4C7D" w:rsidRDefault="00CB4C7D" w:rsidP="00CB4C7D">
            <w:pPr>
              <w:pStyle w:val="NoSpacing"/>
              <w:spacing w:line="360" w:lineRule="auto"/>
              <w:rPr>
                <w:sz w:val="21"/>
                <w:szCs w:val="21"/>
              </w:rPr>
            </w:pPr>
            <w:r>
              <w:rPr>
                <w:rFonts w:cs="Segoe UI"/>
                <w:color w:val="0A0A0A"/>
                <w:sz w:val="21"/>
                <w:szCs w:val="21"/>
              </w:rPr>
              <w:t>Observing vendor roadmaps &amp; offerings</w:t>
            </w:r>
          </w:p>
        </w:tc>
        <w:tc>
          <w:tcPr>
            <w:tcW w:w="1701" w:type="dxa"/>
            <w:hideMark/>
          </w:tcPr>
          <w:p w14:paraId="37B89B8F" w14:textId="4A8F178A" w:rsidR="00CB4C7D" w:rsidRPr="00CB4C7D" w:rsidRDefault="00CB4C7D" w:rsidP="00CB4C7D">
            <w:pPr>
              <w:pStyle w:val="NoSpacing"/>
              <w:spacing w:line="360" w:lineRule="auto"/>
              <w:rPr>
                <w:sz w:val="21"/>
                <w:szCs w:val="21"/>
              </w:rPr>
            </w:pPr>
            <w:r>
              <w:rPr>
                <w:rFonts w:cs="Segoe UI"/>
                <w:color w:val="0A0A0A"/>
                <w:sz w:val="21"/>
                <w:szCs w:val="21"/>
              </w:rPr>
              <w:t>Observing supplier communication</w:t>
            </w:r>
          </w:p>
        </w:tc>
        <w:tc>
          <w:tcPr>
            <w:tcW w:w="1676" w:type="dxa"/>
            <w:gridSpan w:val="2"/>
            <w:hideMark/>
          </w:tcPr>
          <w:p w14:paraId="403484F5" w14:textId="6E86E119" w:rsidR="00CB4C7D" w:rsidRPr="00CB4C7D" w:rsidRDefault="00CB4C7D" w:rsidP="00CB4C7D">
            <w:pPr>
              <w:pStyle w:val="NoSpacing"/>
              <w:spacing w:line="360" w:lineRule="auto"/>
              <w:rPr>
                <w:sz w:val="21"/>
                <w:szCs w:val="21"/>
              </w:rPr>
            </w:pPr>
          </w:p>
        </w:tc>
      </w:tr>
      <w:tr w:rsidR="00CB4C7D" w:rsidRPr="0059315C" w14:paraId="65077205" w14:textId="77777777" w:rsidTr="00CB4C7D">
        <w:trPr>
          <w:trHeight w:val="497"/>
        </w:trPr>
        <w:tc>
          <w:tcPr>
            <w:tcW w:w="6237" w:type="dxa"/>
            <w:hideMark/>
          </w:tcPr>
          <w:p w14:paraId="7FB1A17E" w14:textId="23354030" w:rsidR="00CB4C7D" w:rsidRPr="00CB4C7D" w:rsidRDefault="00CB4C7D" w:rsidP="00CB4C7D">
            <w:pPr>
              <w:pStyle w:val="NoSpacing"/>
              <w:spacing w:line="360" w:lineRule="auto"/>
              <w:rPr>
                <w:sz w:val="21"/>
                <w:szCs w:val="21"/>
              </w:rPr>
            </w:pPr>
            <w:r>
              <w:rPr>
                <w:rFonts w:cs="Segoe UI"/>
                <w:color w:val="0A0A0A"/>
                <w:sz w:val="21"/>
                <w:szCs w:val="21"/>
              </w:rPr>
              <w:t>Resistance to change; Limited AI literacy; Lacking systems thinking; Analysis paralysis; Absent innovation culture</w:t>
            </w:r>
          </w:p>
        </w:tc>
        <w:tc>
          <w:tcPr>
            <w:tcW w:w="1701" w:type="dxa"/>
            <w:hideMark/>
          </w:tcPr>
          <w:p w14:paraId="5C8D6D49" w14:textId="1DF72CA7" w:rsidR="00CB4C7D" w:rsidRPr="00CB4C7D" w:rsidRDefault="00CB4C7D" w:rsidP="00CB4C7D">
            <w:pPr>
              <w:pStyle w:val="NoSpacing"/>
              <w:spacing w:line="360" w:lineRule="auto"/>
              <w:rPr>
                <w:sz w:val="21"/>
                <w:szCs w:val="21"/>
              </w:rPr>
            </w:pPr>
            <w:r>
              <w:rPr>
                <w:rFonts w:cs="Segoe UI"/>
                <w:color w:val="0A0A0A"/>
                <w:sz w:val="21"/>
                <w:szCs w:val="21"/>
              </w:rPr>
              <w:t>Organizational capacity</w:t>
            </w:r>
          </w:p>
        </w:tc>
        <w:tc>
          <w:tcPr>
            <w:tcW w:w="1676" w:type="dxa"/>
            <w:gridSpan w:val="2"/>
            <w:hideMark/>
          </w:tcPr>
          <w:p w14:paraId="38A675F1" w14:textId="6860961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Organizational conditions</w:t>
            </w:r>
          </w:p>
        </w:tc>
      </w:tr>
      <w:tr w:rsidR="00CB4C7D" w:rsidRPr="0059315C" w14:paraId="07F651FA" w14:textId="77777777" w:rsidTr="00CB4C7D">
        <w:trPr>
          <w:trHeight w:val="255"/>
        </w:trPr>
        <w:tc>
          <w:tcPr>
            <w:tcW w:w="6237" w:type="dxa"/>
            <w:hideMark/>
          </w:tcPr>
          <w:p w14:paraId="69AE10FE" w14:textId="5C6A02A9" w:rsidR="00CB4C7D" w:rsidRPr="00CB4C7D" w:rsidRDefault="00CB4C7D" w:rsidP="00CB4C7D">
            <w:pPr>
              <w:pStyle w:val="NoSpacing"/>
              <w:spacing w:line="360" w:lineRule="auto"/>
              <w:rPr>
                <w:sz w:val="21"/>
                <w:szCs w:val="21"/>
              </w:rPr>
            </w:pPr>
            <w:r>
              <w:rPr>
                <w:rFonts w:cs="Segoe UI"/>
                <w:color w:val="0A0A0A"/>
                <w:sz w:val="21"/>
                <w:szCs w:val="21"/>
              </w:rPr>
              <w:t>Lacking data &amp; infrastructure; Lacking technical talent</w:t>
            </w:r>
          </w:p>
        </w:tc>
        <w:tc>
          <w:tcPr>
            <w:tcW w:w="1701" w:type="dxa"/>
            <w:hideMark/>
          </w:tcPr>
          <w:p w14:paraId="55CEBEAF" w14:textId="73CAB54B" w:rsidR="00CB4C7D" w:rsidRPr="00CB4C7D" w:rsidRDefault="00CB4C7D" w:rsidP="00CB4C7D">
            <w:pPr>
              <w:pStyle w:val="NoSpacing"/>
              <w:spacing w:line="360" w:lineRule="auto"/>
              <w:rPr>
                <w:sz w:val="21"/>
                <w:szCs w:val="21"/>
              </w:rPr>
            </w:pPr>
            <w:r>
              <w:rPr>
                <w:rFonts w:cs="Segoe UI"/>
                <w:color w:val="0A0A0A"/>
                <w:sz w:val="21"/>
                <w:szCs w:val="21"/>
              </w:rPr>
              <w:t>Technical resources</w:t>
            </w:r>
          </w:p>
        </w:tc>
        <w:tc>
          <w:tcPr>
            <w:tcW w:w="1676" w:type="dxa"/>
            <w:gridSpan w:val="2"/>
            <w:hideMark/>
          </w:tcPr>
          <w:p w14:paraId="77761451" w14:textId="4299F29C" w:rsidR="00CB4C7D" w:rsidRPr="00CB4C7D" w:rsidRDefault="00CB4C7D" w:rsidP="00CB4C7D">
            <w:pPr>
              <w:pStyle w:val="NoSpacing"/>
              <w:spacing w:line="360" w:lineRule="auto"/>
              <w:rPr>
                <w:sz w:val="21"/>
                <w:szCs w:val="21"/>
              </w:rPr>
            </w:pPr>
          </w:p>
        </w:tc>
      </w:tr>
      <w:tr w:rsidR="00CB4C7D" w:rsidRPr="0059315C" w14:paraId="2BD62EFB" w14:textId="77777777" w:rsidTr="00CB4C7D">
        <w:trPr>
          <w:trHeight w:val="497"/>
        </w:trPr>
        <w:tc>
          <w:tcPr>
            <w:tcW w:w="6237" w:type="dxa"/>
            <w:hideMark/>
          </w:tcPr>
          <w:p w14:paraId="0FB3A2B0" w14:textId="26FD27F6" w:rsidR="00CB4C7D" w:rsidRPr="00CB4C7D" w:rsidRDefault="00CB4C7D" w:rsidP="00CB4C7D">
            <w:pPr>
              <w:pStyle w:val="NoSpacing"/>
              <w:spacing w:line="360" w:lineRule="auto"/>
              <w:rPr>
                <w:sz w:val="21"/>
                <w:szCs w:val="21"/>
              </w:rPr>
            </w:pPr>
            <w:r>
              <w:rPr>
                <w:rFonts w:cs="Segoe UI"/>
                <w:color w:val="0A0A0A"/>
                <w:sz w:val="21"/>
                <w:szCs w:val="21"/>
              </w:rPr>
              <w:t>Strategic direction &amp; vision; Senior leadership buy-in &amp; backing</w:t>
            </w:r>
          </w:p>
        </w:tc>
        <w:tc>
          <w:tcPr>
            <w:tcW w:w="1701" w:type="dxa"/>
            <w:hideMark/>
          </w:tcPr>
          <w:p w14:paraId="7974FC9F" w14:textId="73EEF5B2" w:rsidR="00CB4C7D" w:rsidRPr="00CB4C7D" w:rsidRDefault="00CB4C7D" w:rsidP="00CB4C7D">
            <w:pPr>
              <w:pStyle w:val="NoSpacing"/>
              <w:spacing w:line="360" w:lineRule="auto"/>
              <w:rPr>
                <w:sz w:val="21"/>
                <w:szCs w:val="21"/>
              </w:rPr>
            </w:pPr>
            <w:r>
              <w:rPr>
                <w:rFonts w:cs="Segoe UI"/>
                <w:color w:val="0A0A0A"/>
                <w:sz w:val="21"/>
                <w:szCs w:val="21"/>
              </w:rPr>
              <w:t>Strategic direction &amp; leadership</w:t>
            </w:r>
          </w:p>
        </w:tc>
        <w:tc>
          <w:tcPr>
            <w:tcW w:w="1676" w:type="dxa"/>
            <w:gridSpan w:val="2"/>
            <w:hideMark/>
          </w:tcPr>
          <w:p w14:paraId="180C52EE" w14:textId="3154B37D" w:rsidR="00CB4C7D" w:rsidRPr="00CB4C7D" w:rsidRDefault="00CB4C7D" w:rsidP="00CB4C7D">
            <w:pPr>
              <w:pStyle w:val="NoSpacing"/>
              <w:spacing w:line="360" w:lineRule="auto"/>
              <w:rPr>
                <w:sz w:val="21"/>
                <w:szCs w:val="21"/>
              </w:rPr>
            </w:pPr>
          </w:p>
        </w:tc>
      </w:tr>
      <w:tr w:rsidR="00CB4C7D" w:rsidRPr="0059315C" w14:paraId="794B8E51" w14:textId="77777777" w:rsidTr="00CB4C7D">
        <w:trPr>
          <w:trHeight w:val="255"/>
        </w:trPr>
        <w:tc>
          <w:tcPr>
            <w:tcW w:w="6237" w:type="dxa"/>
            <w:hideMark/>
          </w:tcPr>
          <w:p w14:paraId="52D527B4" w14:textId="197685C6" w:rsidR="00CB4C7D" w:rsidRPr="00CB4C7D" w:rsidRDefault="00CB4C7D" w:rsidP="00CB4C7D">
            <w:pPr>
              <w:pStyle w:val="NoSpacing"/>
              <w:spacing w:line="360" w:lineRule="auto"/>
              <w:rPr>
                <w:sz w:val="21"/>
                <w:szCs w:val="21"/>
              </w:rPr>
            </w:pPr>
            <w:r>
              <w:rPr>
                <w:rFonts w:cs="Segoe UI"/>
                <w:color w:val="0A0A0A"/>
                <w:sz w:val="21"/>
                <w:szCs w:val="21"/>
              </w:rPr>
              <w:t>Restrictive compliance &amp; legal gatekeeping; Politics &amp; working in silos</w:t>
            </w:r>
          </w:p>
        </w:tc>
        <w:tc>
          <w:tcPr>
            <w:tcW w:w="1701" w:type="dxa"/>
            <w:hideMark/>
          </w:tcPr>
          <w:p w14:paraId="5660FA08" w14:textId="7E8C63EC" w:rsidR="00CB4C7D" w:rsidRPr="00CB4C7D" w:rsidRDefault="00CB4C7D" w:rsidP="00CB4C7D">
            <w:pPr>
              <w:pStyle w:val="NoSpacing"/>
              <w:spacing w:line="360" w:lineRule="auto"/>
              <w:rPr>
                <w:sz w:val="21"/>
                <w:szCs w:val="21"/>
              </w:rPr>
            </w:pPr>
            <w:r>
              <w:rPr>
                <w:rFonts w:cs="Segoe UI"/>
                <w:color w:val="0A0A0A"/>
                <w:sz w:val="21"/>
                <w:szCs w:val="21"/>
              </w:rPr>
              <w:t>Governance &amp; compliance</w:t>
            </w:r>
          </w:p>
        </w:tc>
        <w:tc>
          <w:tcPr>
            <w:tcW w:w="1676" w:type="dxa"/>
            <w:gridSpan w:val="2"/>
            <w:hideMark/>
          </w:tcPr>
          <w:p w14:paraId="6164F659" w14:textId="6AE24C18" w:rsidR="00CB4C7D" w:rsidRPr="00CB4C7D" w:rsidRDefault="00CB4C7D" w:rsidP="00CB4C7D">
            <w:pPr>
              <w:pStyle w:val="NoSpacing"/>
              <w:spacing w:line="360" w:lineRule="auto"/>
              <w:rPr>
                <w:sz w:val="21"/>
                <w:szCs w:val="21"/>
              </w:rPr>
            </w:pPr>
          </w:p>
        </w:tc>
      </w:tr>
      <w:tr w:rsidR="00CB4C7D" w:rsidRPr="0059315C" w14:paraId="15F8C35C" w14:textId="77777777" w:rsidTr="00CB4C7D">
        <w:trPr>
          <w:trHeight w:val="497"/>
        </w:trPr>
        <w:tc>
          <w:tcPr>
            <w:tcW w:w="6237" w:type="dxa"/>
            <w:hideMark/>
          </w:tcPr>
          <w:p w14:paraId="629FBF65" w14:textId="14DC7E29" w:rsidR="00CB4C7D" w:rsidRPr="00CB4C7D" w:rsidRDefault="00CB4C7D" w:rsidP="00CB4C7D">
            <w:pPr>
              <w:pStyle w:val="NoSpacing"/>
              <w:spacing w:line="360" w:lineRule="auto"/>
              <w:rPr>
                <w:sz w:val="21"/>
                <w:szCs w:val="21"/>
              </w:rPr>
            </w:pPr>
            <w:r>
              <w:rPr>
                <w:rFonts w:cs="Segoe UI"/>
                <w:color w:val="0A0A0A"/>
                <w:sz w:val="21"/>
                <w:szCs w:val="21"/>
              </w:rPr>
              <w:t>Educating &amp; training; Experimenting with AI; Bringing people along; Providing clarity; Providing leadership backing; Championing AI</w:t>
            </w:r>
          </w:p>
        </w:tc>
        <w:tc>
          <w:tcPr>
            <w:tcW w:w="1701" w:type="dxa"/>
            <w:hideMark/>
          </w:tcPr>
          <w:p w14:paraId="257E7D34" w14:textId="6CB7AB2F" w:rsidR="00CB4C7D" w:rsidRPr="00CB4C7D" w:rsidRDefault="00CB4C7D" w:rsidP="00CB4C7D">
            <w:pPr>
              <w:pStyle w:val="NoSpacing"/>
              <w:spacing w:line="360" w:lineRule="auto"/>
              <w:rPr>
                <w:sz w:val="21"/>
                <w:szCs w:val="21"/>
              </w:rPr>
            </w:pPr>
            <w:r>
              <w:rPr>
                <w:rFonts w:cs="Segoe UI"/>
                <w:color w:val="0A0A0A"/>
                <w:sz w:val="21"/>
                <w:szCs w:val="21"/>
              </w:rPr>
              <w:t>Reshaping conditions</w:t>
            </w:r>
          </w:p>
        </w:tc>
        <w:tc>
          <w:tcPr>
            <w:tcW w:w="1676" w:type="dxa"/>
            <w:gridSpan w:val="2"/>
            <w:hideMark/>
          </w:tcPr>
          <w:p w14:paraId="009602DF" w14:textId="7516DBE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Steering the organization</w:t>
            </w:r>
          </w:p>
        </w:tc>
      </w:tr>
      <w:tr w:rsidR="00CB4C7D" w:rsidRPr="0059315C" w14:paraId="07C297E0" w14:textId="77777777" w:rsidTr="00CB4C7D">
        <w:trPr>
          <w:trHeight w:val="255"/>
        </w:trPr>
        <w:tc>
          <w:tcPr>
            <w:tcW w:w="6237" w:type="dxa"/>
            <w:hideMark/>
          </w:tcPr>
          <w:p w14:paraId="036B698F" w14:textId="08FE42F9" w:rsidR="00CB4C7D" w:rsidRPr="00CB4C7D" w:rsidRDefault="00CB4C7D" w:rsidP="00CB4C7D">
            <w:pPr>
              <w:pStyle w:val="NoSpacing"/>
              <w:spacing w:line="360" w:lineRule="auto"/>
              <w:rPr>
                <w:sz w:val="21"/>
                <w:szCs w:val="21"/>
              </w:rPr>
            </w:pPr>
            <w:r>
              <w:rPr>
                <w:rFonts w:cs="Segoe UI"/>
                <w:color w:val="0A0A0A"/>
                <w:sz w:val="21"/>
                <w:szCs w:val="21"/>
              </w:rPr>
              <w:t>Leveraging data availability; Leveraging the right tooling; Leveraging an innovation culture</w:t>
            </w:r>
          </w:p>
        </w:tc>
        <w:tc>
          <w:tcPr>
            <w:tcW w:w="1701" w:type="dxa"/>
            <w:hideMark/>
          </w:tcPr>
          <w:p w14:paraId="4ABD365A" w14:textId="6E1B00A1" w:rsidR="00CB4C7D" w:rsidRPr="00CB4C7D" w:rsidRDefault="00CB4C7D" w:rsidP="00CB4C7D">
            <w:pPr>
              <w:pStyle w:val="NoSpacing"/>
              <w:spacing w:line="360" w:lineRule="auto"/>
              <w:rPr>
                <w:sz w:val="21"/>
                <w:szCs w:val="21"/>
              </w:rPr>
            </w:pPr>
            <w:r>
              <w:rPr>
                <w:rFonts w:cs="Segoe UI"/>
                <w:color w:val="0A0A0A"/>
                <w:sz w:val="21"/>
                <w:szCs w:val="21"/>
              </w:rPr>
              <w:t>Leveraging conditions</w:t>
            </w:r>
          </w:p>
        </w:tc>
        <w:tc>
          <w:tcPr>
            <w:tcW w:w="1676" w:type="dxa"/>
            <w:gridSpan w:val="2"/>
            <w:hideMark/>
          </w:tcPr>
          <w:p w14:paraId="57DB0102" w14:textId="1CF41F58" w:rsidR="00CB4C7D" w:rsidRPr="00CB4C7D" w:rsidRDefault="00CB4C7D" w:rsidP="00CB4C7D">
            <w:pPr>
              <w:pStyle w:val="NoSpacing"/>
              <w:spacing w:line="360" w:lineRule="auto"/>
              <w:rPr>
                <w:sz w:val="21"/>
                <w:szCs w:val="21"/>
              </w:rPr>
            </w:pPr>
          </w:p>
        </w:tc>
      </w:tr>
      <w:tr w:rsidR="00CB4C7D" w:rsidRPr="0059315C" w14:paraId="0FF50C14" w14:textId="77777777" w:rsidTr="00CB4C7D">
        <w:trPr>
          <w:trHeight w:val="255"/>
        </w:trPr>
        <w:tc>
          <w:tcPr>
            <w:tcW w:w="6237" w:type="dxa"/>
            <w:hideMark/>
          </w:tcPr>
          <w:p w14:paraId="4F49204D" w14:textId="5C633A60" w:rsidR="00CB4C7D" w:rsidRPr="00CB4C7D" w:rsidRDefault="00CB4C7D" w:rsidP="00CB4C7D">
            <w:pPr>
              <w:pStyle w:val="NoSpacing"/>
              <w:spacing w:line="360" w:lineRule="auto"/>
              <w:rPr>
                <w:sz w:val="21"/>
                <w:szCs w:val="21"/>
              </w:rPr>
            </w:pPr>
            <w:r>
              <w:rPr>
                <w:rFonts w:cs="Segoe UI"/>
                <w:color w:val="0A0A0A"/>
                <w:sz w:val="21"/>
                <w:szCs w:val="21"/>
              </w:rPr>
              <w:t>Leveraging external experts &amp; vendors; Navigating resistance; Navigating restrictive governance</w:t>
            </w:r>
          </w:p>
        </w:tc>
        <w:tc>
          <w:tcPr>
            <w:tcW w:w="1701" w:type="dxa"/>
            <w:hideMark/>
          </w:tcPr>
          <w:p w14:paraId="4368FF17" w14:textId="1147ED4D" w:rsidR="00CB4C7D" w:rsidRPr="00CB4C7D" w:rsidRDefault="00CB4C7D" w:rsidP="00CB4C7D">
            <w:pPr>
              <w:pStyle w:val="NoSpacing"/>
              <w:spacing w:line="360" w:lineRule="auto"/>
              <w:rPr>
                <w:sz w:val="21"/>
                <w:szCs w:val="21"/>
              </w:rPr>
            </w:pPr>
            <w:r>
              <w:rPr>
                <w:rFonts w:cs="Segoe UI"/>
                <w:color w:val="0A0A0A"/>
                <w:sz w:val="21"/>
                <w:szCs w:val="21"/>
              </w:rPr>
              <w:t>Navigating constraints</w:t>
            </w:r>
          </w:p>
        </w:tc>
        <w:tc>
          <w:tcPr>
            <w:tcW w:w="1676" w:type="dxa"/>
            <w:gridSpan w:val="2"/>
            <w:hideMark/>
          </w:tcPr>
          <w:p w14:paraId="2E0EFC62" w14:textId="0F6761C4" w:rsidR="00CB4C7D" w:rsidRPr="00CB4C7D" w:rsidRDefault="00CB4C7D" w:rsidP="00CB4C7D">
            <w:pPr>
              <w:pStyle w:val="NoSpacing"/>
              <w:spacing w:line="360" w:lineRule="auto"/>
              <w:rPr>
                <w:sz w:val="21"/>
                <w:szCs w:val="21"/>
              </w:rPr>
            </w:pPr>
          </w:p>
        </w:tc>
      </w:tr>
      <w:tr w:rsidR="00CB4C7D" w:rsidRPr="0059315C" w14:paraId="05221DD5" w14:textId="77777777" w:rsidTr="00CB4C7D">
        <w:trPr>
          <w:trHeight w:val="510"/>
        </w:trPr>
        <w:tc>
          <w:tcPr>
            <w:tcW w:w="6237" w:type="dxa"/>
            <w:hideMark/>
          </w:tcPr>
          <w:p w14:paraId="46DD11E3" w14:textId="031FC9A9" w:rsidR="00CB4C7D" w:rsidRPr="00CB4C7D" w:rsidRDefault="00CB4C7D" w:rsidP="00CB4C7D">
            <w:pPr>
              <w:pStyle w:val="NoSpacing"/>
              <w:spacing w:line="360" w:lineRule="auto"/>
              <w:rPr>
                <w:sz w:val="21"/>
                <w:szCs w:val="21"/>
              </w:rPr>
            </w:pPr>
            <w:r>
              <w:rPr>
                <w:rFonts w:cs="Segoe UI"/>
                <w:color w:val="0A0A0A"/>
                <w:sz w:val="21"/>
                <w:szCs w:val="21"/>
              </w:rPr>
              <w:lastRenderedPageBreak/>
              <w:t>Generating insights; Creating &amp; validating content &amp; campaigns; Using generic agents; Automating processes; Deploying customer-facing agents</w:t>
            </w:r>
          </w:p>
        </w:tc>
        <w:tc>
          <w:tcPr>
            <w:tcW w:w="1701" w:type="dxa"/>
            <w:hideMark/>
          </w:tcPr>
          <w:p w14:paraId="2A041B44" w14:textId="0039304F" w:rsidR="00CB4C7D" w:rsidRPr="00CB4C7D" w:rsidRDefault="00CB4C7D" w:rsidP="00CB4C7D">
            <w:pPr>
              <w:pStyle w:val="NoSpacing"/>
              <w:spacing w:line="360" w:lineRule="auto"/>
              <w:rPr>
                <w:sz w:val="21"/>
                <w:szCs w:val="21"/>
              </w:rPr>
            </w:pPr>
            <w:r>
              <w:rPr>
                <w:rFonts w:cs="Segoe UI"/>
                <w:color w:val="0A0A0A"/>
                <w:sz w:val="21"/>
                <w:szCs w:val="21"/>
              </w:rPr>
              <w:t>Applying use cases</w:t>
            </w:r>
          </w:p>
        </w:tc>
        <w:tc>
          <w:tcPr>
            <w:tcW w:w="1676" w:type="dxa"/>
            <w:gridSpan w:val="2"/>
            <w:hideMark/>
          </w:tcPr>
          <w:p w14:paraId="7A96C575" w14:textId="4D9998F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Applying agentic AI</w:t>
            </w:r>
          </w:p>
        </w:tc>
      </w:tr>
      <w:tr w:rsidR="00CB4C7D" w:rsidRPr="0059315C" w14:paraId="05CA043F" w14:textId="77777777" w:rsidTr="00CB4C7D">
        <w:trPr>
          <w:trHeight w:val="497"/>
        </w:trPr>
        <w:tc>
          <w:tcPr>
            <w:tcW w:w="6237" w:type="dxa"/>
            <w:hideMark/>
          </w:tcPr>
          <w:p w14:paraId="08DF1F77" w14:textId="188E35F1" w:rsidR="00CB4C7D" w:rsidRPr="00CB4C7D" w:rsidRDefault="00CB4C7D" w:rsidP="00CB4C7D">
            <w:pPr>
              <w:pStyle w:val="NoSpacing"/>
              <w:spacing w:line="360" w:lineRule="auto"/>
              <w:rPr>
                <w:sz w:val="21"/>
                <w:szCs w:val="21"/>
              </w:rPr>
            </w:pPr>
            <w:r>
              <w:rPr>
                <w:rFonts w:cs="Segoe UI"/>
                <w:color w:val="0A0A0A"/>
                <w:sz w:val="21"/>
                <w:szCs w:val="21"/>
              </w:rPr>
              <w:t>Leveraging tool calling; Personalizing agents</w:t>
            </w:r>
          </w:p>
        </w:tc>
        <w:tc>
          <w:tcPr>
            <w:tcW w:w="1701" w:type="dxa"/>
            <w:hideMark/>
          </w:tcPr>
          <w:p w14:paraId="72C6DCB6" w14:textId="0C10F747" w:rsidR="00CB4C7D" w:rsidRPr="00CB4C7D" w:rsidRDefault="00CB4C7D" w:rsidP="00CB4C7D">
            <w:pPr>
              <w:pStyle w:val="NoSpacing"/>
              <w:spacing w:line="360" w:lineRule="auto"/>
              <w:rPr>
                <w:sz w:val="21"/>
                <w:szCs w:val="21"/>
              </w:rPr>
            </w:pPr>
            <w:r>
              <w:rPr>
                <w:rFonts w:cs="Segoe UI"/>
                <w:color w:val="0A0A0A"/>
                <w:sz w:val="21"/>
                <w:szCs w:val="21"/>
              </w:rPr>
              <w:t>Leveraging usage strategies</w:t>
            </w:r>
          </w:p>
        </w:tc>
        <w:tc>
          <w:tcPr>
            <w:tcW w:w="1676" w:type="dxa"/>
            <w:gridSpan w:val="2"/>
            <w:hideMark/>
          </w:tcPr>
          <w:p w14:paraId="520E3311" w14:textId="01EB0F0D" w:rsidR="00CB4C7D" w:rsidRPr="00CB4C7D" w:rsidRDefault="00CB4C7D" w:rsidP="00CB4C7D">
            <w:pPr>
              <w:pStyle w:val="NoSpacing"/>
              <w:spacing w:line="360" w:lineRule="auto"/>
              <w:rPr>
                <w:sz w:val="21"/>
                <w:szCs w:val="21"/>
              </w:rPr>
            </w:pPr>
          </w:p>
        </w:tc>
      </w:tr>
      <w:tr w:rsidR="00CB4C7D" w:rsidRPr="0059315C" w14:paraId="21D0375B" w14:textId="77777777" w:rsidTr="00CB4C7D">
        <w:trPr>
          <w:trHeight w:val="497"/>
        </w:trPr>
        <w:tc>
          <w:tcPr>
            <w:tcW w:w="6237" w:type="dxa"/>
            <w:hideMark/>
          </w:tcPr>
          <w:p w14:paraId="32119C09" w14:textId="588A0CC1" w:rsidR="00CB4C7D" w:rsidRPr="00CB4C7D" w:rsidRDefault="00CB4C7D" w:rsidP="00CB4C7D">
            <w:pPr>
              <w:pStyle w:val="NoSpacing"/>
              <w:spacing w:line="360" w:lineRule="auto"/>
              <w:rPr>
                <w:sz w:val="21"/>
                <w:szCs w:val="21"/>
              </w:rPr>
            </w:pPr>
            <w:r>
              <w:rPr>
                <w:rFonts w:cs="Segoe UI"/>
                <w:color w:val="0A0A0A"/>
                <w:sz w:val="21"/>
                <w:szCs w:val="21"/>
              </w:rPr>
              <w:t>Gaining efficiency &amp; speed; Gaining scale; Extending the personal skillset; Improving quality of output</w:t>
            </w:r>
          </w:p>
        </w:tc>
        <w:tc>
          <w:tcPr>
            <w:tcW w:w="1701" w:type="dxa"/>
            <w:hideMark/>
          </w:tcPr>
          <w:p w14:paraId="689BD31E" w14:textId="0F264777" w:rsidR="00CB4C7D" w:rsidRPr="00CB4C7D" w:rsidRDefault="00CB4C7D" w:rsidP="00CB4C7D">
            <w:pPr>
              <w:pStyle w:val="NoSpacing"/>
              <w:spacing w:line="360" w:lineRule="auto"/>
              <w:rPr>
                <w:sz w:val="21"/>
                <w:szCs w:val="21"/>
              </w:rPr>
            </w:pPr>
            <w:r>
              <w:rPr>
                <w:rFonts w:cs="Segoe UI"/>
                <w:color w:val="0A0A0A"/>
                <w:sz w:val="21"/>
                <w:szCs w:val="21"/>
              </w:rPr>
              <w:t>Gaining benefits</w:t>
            </w:r>
          </w:p>
        </w:tc>
        <w:tc>
          <w:tcPr>
            <w:tcW w:w="1676" w:type="dxa"/>
            <w:gridSpan w:val="2"/>
            <w:hideMark/>
          </w:tcPr>
          <w:p w14:paraId="3CFF1B89" w14:textId="1C80C89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Value outcomes</w:t>
            </w:r>
          </w:p>
        </w:tc>
      </w:tr>
      <w:tr w:rsidR="00CB4C7D" w:rsidRPr="0059315C" w14:paraId="54E67944" w14:textId="77777777" w:rsidTr="00CB4C7D">
        <w:trPr>
          <w:trHeight w:val="255"/>
        </w:trPr>
        <w:tc>
          <w:tcPr>
            <w:tcW w:w="6237" w:type="dxa"/>
            <w:hideMark/>
          </w:tcPr>
          <w:p w14:paraId="4BE856B4" w14:textId="139C32A8" w:rsidR="00CB4C7D" w:rsidRPr="00CB4C7D" w:rsidRDefault="00CB4C7D" w:rsidP="00CB4C7D">
            <w:pPr>
              <w:pStyle w:val="NoSpacing"/>
              <w:spacing w:line="360" w:lineRule="auto"/>
              <w:rPr>
                <w:sz w:val="21"/>
                <w:szCs w:val="21"/>
              </w:rPr>
            </w:pPr>
            <w:r>
              <w:rPr>
                <w:rFonts w:cs="Segoe UI"/>
                <w:color w:val="0A0A0A"/>
                <w:sz w:val="21"/>
                <w:szCs w:val="21"/>
              </w:rPr>
              <w:t>Incurring financial costs; Displacing jobs</w:t>
            </w:r>
          </w:p>
        </w:tc>
        <w:tc>
          <w:tcPr>
            <w:tcW w:w="1701" w:type="dxa"/>
            <w:hideMark/>
          </w:tcPr>
          <w:p w14:paraId="2B531D85" w14:textId="1E6D4F58" w:rsidR="00CB4C7D" w:rsidRPr="00CB4C7D" w:rsidRDefault="00CB4C7D" w:rsidP="00CB4C7D">
            <w:pPr>
              <w:pStyle w:val="NoSpacing"/>
              <w:spacing w:line="360" w:lineRule="auto"/>
              <w:rPr>
                <w:sz w:val="21"/>
                <w:szCs w:val="21"/>
              </w:rPr>
            </w:pPr>
            <w:r>
              <w:rPr>
                <w:rFonts w:cs="Segoe UI"/>
                <w:color w:val="0A0A0A"/>
                <w:sz w:val="21"/>
                <w:szCs w:val="21"/>
              </w:rPr>
              <w:t>Making sacrifices</w:t>
            </w:r>
          </w:p>
        </w:tc>
        <w:tc>
          <w:tcPr>
            <w:tcW w:w="1676" w:type="dxa"/>
            <w:gridSpan w:val="2"/>
            <w:hideMark/>
          </w:tcPr>
          <w:p w14:paraId="2EA040E6" w14:textId="6289B444" w:rsidR="00CB4C7D" w:rsidRPr="00CB4C7D" w:rsidRDefault="00CB4C7D" w:rsidP="00CB4C7D">
            <w:pPr>
              <w:pStyle w:val="NoSpacing"/>
              <w:spacing w:line="360" w:lineRule="auto"/>
              <w:rPr>
                <w:sz w:val="21"/>
                <w:szCs w:val="21"/>
              </w:rPr>
            </w:pPr>
          </w:p>
        </w:tc>
      </w:tr>
      <w:tr w:rsidR="00CB4C7D" w:rsidRPr="0059315C" w14:paraId="35E1C07D" w14:textId="77777777" w:rsidTr="00CB4C7D">
        <w:trPr>
          <w:trHeight w:val="255"/>
        </w:trPr>
        <w:tc>
          <w:tcPr>
            <w:tcW w:w="6237" w:type="dxa"/>
            <w:tcBorders>
              <w:bottom w:val="single" w:sz="8" w:space="0" w:color="auto"/>
            </w:tcBorders>
            <w:hideMark/>
          </w:tcPr>
          <w:p w14:paraId="28C70B02" w14:textId="57D5719D" w:rsidR="00CB4C7D" w:rsidRPr="00CB4C7D" w:rsidRDefault="00CB4C7D" w:rsidP="00CB4C7D">
            <w:pPr>
              <w:pStyle w:val="NoSpacing"/>
              <w:spacing w:line="360" w:lineRule="auto"/>
              <w:rPr>
                <w:sz w:val="21"/>
                <w:szCs w:val="21"/>
              </w:rPr>
            </w:pPr>
            <w:r>
              <w:rPr>
                <w:rFonts w:cs="Segoe UI"/>
                <w:color w:val="0A0A0A"/>
                <w:sz w:val="21"/>
                <w:szCs w:val="21"/>
              </w:rPr>
              <w:t>Risking hallucination; Risking security &amp; privacy violations; Risking brand degradation</w:t>
            </w:r>
          </w:p>
        </w:tc>
        <w:tc>
          <w:tcPr>
            <w:tcW w:w="1701" w:type="dxa"/>
            <w:tcBorders>
              <w:bottom w:val="single" w:sz="8" w:space="0" w:color="auto"/>
            </w:tcBorders>
            <w:hideMark/>
          </w:tcPr>
          <w:p w14:paraId="76FE1561" w14:textId="3900EC87" w:rsidR="00CB4C7D" w:rsidRPr="00CB4C7D" w:rsidRDefault="00CB4C7D" w:rsidP="00CB4C7D">
            <w:pPr>
              <w:pStyle w:val="NoSpacing"/>
              <w:spacing w:line="360" w:lineRule="auto"/>
              <w:rPr>
                <w:sz w:val="21"/>
                <w:szCs w:val="21"/>
              </w:rPr>
            </w:pPr>
            <w:r>
              <w:rPr>
                <w:rFonts w:cs="Segoe UI"/>
                <w:color w:val="0A0A0A"/>
                <w:sz w:val="21"/>
                <w:szCs w:val="21"/>
              </w:rPr>
              <w:t>Facing risks</w:t>
            </w:r>
          </w:p>
        </w:tc>
        <w:tc>
          <w:tcPr>
            <w:tcW w:w="1676" w:type="dxa"/>
            <w:gridSpan w:val="2"/>
            <w:tcBorders>
              <w:bottom w:val="single" w:sz="8" w:space="0" w:color="auto"/>
            </w:tcBorders>
            <w:hideMark/>
          </w:tcPr>
          <w:p w14:paraId="0C871949" w14:textId="737ED4A0" w:rsidR="00CB4C7D" w:rsidRPr="00CB4C7D" w:rsidRDefault="00CB4C7D" w:rsidP="00CB4C7D">
            <w:pPr>
              <w:pStyle w:val="NoSpacing"/>
              <w:spacing w:line="360" w:lineRule="auto"/>
              <w:rPr>
                <w:sz w:val="21"/>
                <w:szCs w:val="21"/>
              </w:rPr>
            </w:pPr>
          </w:p>
        </w:tc>
      </w:tr>
    </w:tbl>
    <w:p w14:paraId="761869FB" w14:textId="155FD202" w:rsidR="00401741" w:rsidRDefault="00401741">
      <w:pPr>
        <w:spacing w:after="200"/>
        <w:ind w:firstLine="0"/>
      </w:pP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Pr="00341565" w:rsidRDefault="00000000" w:rsidP="00341565">
      <w:pPr>
        <w:ind w:firstLine="0"/>
        <w:rPr>
          <w:b/>
          <w:bCs/>
          <w:i/>
          <w:iCs/>
        </w:rPr>
      </w:pPr>
      <w:bookmarkStart w:id="164" w:name="_2wlwvpj75lya" w:colFirst="0" w:colLast="0"/>
      <w:bookmarkEnd w:id="164"/>
      <w:r>
        <w:rPr>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65" w:name="_k7eypdjcmoyh" w:colFirst="0" w:colLast="0"/>
      <w:bookmarkEnd w:id="165"/>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66" w:name="_cel1ujnps8" w:colFirst="0" w:colLast="0"/>
      <w:bookmarkEnd w:id="166"/>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2AE1C229" w14:textId="77777777" w:rsidR="00401741" w:rsidRDefault="00000000">
      <w:del w:id="167" w:author="Daan Luttik" w:date="2026-06-01T18:16:00Z">
        <w:r>
          <w:delText>Do I want to note more how the ever changing nature of AI is affecting marketing manager’s choices?</w:delText>
        </w:r>
      </w:del>
    </w:p>
    <w:p w14:paraId="31E2652E" w14:textId="6D507725" w:rsidR="00401741" w:rsidRDefault="00000000">
      <w:pPr>
        <w:pStyle w:val="Heading3"/>
      </w:pPr>
      <w:bookmarkStart w:id="168" w:name="_7alih1d45osl" w:colFirst="0" w:colLast="0"/>
      <w:bookmarkEnd w:id="168"/>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69"/>
      <w:r>
        <w:t xml:space="preserve">“to get to parity in the present with what they’re saying they can do”, </w:t>
      </w:r>
      <w:commentRangeEnd w:id="169"/>
      <w:r>
        <w:rPr>
          <w:rStyle w:val="CommentReference"/>
          <w:sz w:val="22"/>
          <w:szCs w:val="22"/>
        </w:rPr>
        <w:commentReference w:id="169"/>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70" w:name="_hvgdgrm8c1y2" w:colFirst="0" w:colLast="0"/>
      <w:bookmarkEnd w:id="170"/>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71"/>
      <w:r>
        <w:t>this seems to be mostly present amongst those who have little ambition to be leading in the domain of AI</w:t>
      </w:r>
      <w:commentRangeEnd w:id="171"/>
      <w:r>
        <w:rPr>
          <w:rStyle w:val="CommentReference"/>
          <w:sz w:val="22"/>
          <w:szCs w:val="22"/>
        </w:rPr>
        <w:commentReference w:id="171"/>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000000">
      <w:pPr>
        <w:pStyle w:val="Heading2"/>
        <w:rPr>
          <w:color w:val="000000"/>
        </w:rPr>
      </w:pPr>
      <w:bookmarkStart w:id="172" w:name="_kdh3jovkecpb" w:colFirst="0" w:colLast="0"/>
      <w:bookmarkEnd w:id="172"/>
      <w:commentRangeStart w:id="173"/>
      <w:r>
        <w:rPr>
          <w:color w:val="000000"/>
        </w:rPr>
        <w:t>4.2</w:t>
      </w:r>
      <w:r>
        <w:rPr>
          <w:color w:val="000000"/>
        </w:rPr>
        <w:tab/>
      </w:r>
      <w:commentRangeEnd w:id="173"/>
      <w:r>
        <w:rPr>
          <w:rStyle w:val="CommentReference"/>
          <w:color w:val="000000"/>
          <w:sz w:val="22"/>
          <w:szCs w:val="22"/>
        </w:rPr>
        <w:commentReference w:id="173"/>
      </w:r>
      <w:r>
        <w:rPr>
          <w:color w:val="000000"/>
        </w:rPr>
        <w:t>The organizational context</w:t>
      </w:r>
    </w:p>
    <w:p w14:paraId="7F45C169" w14:textId="6A8E8C3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compliance,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74"/>
      <w:r>
        <w:t>organizational ability to act quickly under uncertainty</w:t>
      </w:r>
      <w:commentRangeEnd w:id="174"/>
      <w:r>
        <w:rPr>
          <w:rStyle w:val="CommentReference"/>
          <w:sz w:val="22"/>
          <w:szCs w:val="22"/>
        </w:rPr>
        <w:commentReference w:id="174"/>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70F30336" w14:textId="77777777" w:rsidR="00401741" w:rsidRDefault="00000000">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75" w:name="OLE_LINK1"/>
      <w:r>
        <w:t>capacity concerns culture</w:t>
      </w:r>
      <w:bookmarkEnd w:id="175"/>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6E1BD4CC" w14:textId="77777777" w:rsidR="00C16581"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Interviewee 10 described a three-level model: </w:t>
      </w:r>
    </w:p>
    <w:p w14:paraId="0C2EC1B4" w14:textId="1FE9B1AE" w:rsidR="00C16581" w:rsidRDefault="00000000" w:rsidP="00C16581">
      <w:pPr>
        <w:pStyle w:val="Quote"/>
      </w:pPr>
      <w:r>
        <w:t xml:space="preserve">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 </w:t>
      </w:r>
    </w:p>
    <w:p w14:paraId="4DB0A5A5" w14:textId="77777777" w:rsidR="00C16581" w:rsidRDefault="00C16581">
      <w:pPr>
        <w:rPr>
          <w:bCs/>
        </w:rPr>
      </w:pPr>
      <w:r>
        <w:rPr>
          <w:bCs/>
        </w:rPr>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C5E7812" w14:textId="77777777" w:rsidR="00EB4E8E" w:rsidRDefault="00000000">
      <w:pPr>
        <w:rPr>
          <w:bCs/>
        </w:rPr>
      </w:pPr>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p>
    <w:p w14:paraId="5B4704B2" w14:textId="0BEBB3D4" w:rsidR="003B7C04" w:rsidRDefault="00000000">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 xml:space="preserve">External experts. </w:t>
      </w:r>
      <w:r>
        <w:t xml:space="preserve">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“we really had pushback internally, like, ‘We want to build this internally’ … And I was like, </w:t>
      </w:r>
      <w:bookmarkStart w:id="176" w:name="OLE_LINK3"/>
      <w:r>
        <w:t>‘</w:t>
      </w:r>
      <w:bookmarkEnd w:id="176"/>
      <w:r>
        <w:t xml:space="preserve">Yeah, then I’m going to wait two years before I get space on the backlog.’” </w:t>
      </w:r>
    </w:p>
    <w:p w14:paraId="6240EB5F" w14:textId="621178B3" w:rsidR="00983B42" w:rsidRDefault="007C5AFE" w:rsidP="00983B42">
      <w:r>
        <w:t xml:space="preserve">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w:t>
      </w:r>
      <w:r>
        <w:lastRenderedPageBreak/>
        <w:t>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C1F6F5A" w:rsidR="00F56FF9" w:rsidRDefault="00F56FF9" w:rsidP="00983B42">
      <w:pPr>
        <w:pStyle w:val="Heading3"/>
      </w:pPr>
      <w:r>
        <w:t>4.2.2</w:t>
      </w:r>
      <w:r>
        <w:tab/>
        <w:t>Leadership</w:t>
      </w:r>
    </w:p>
    <w:p w14:paraId="234E8FFB" w14:textId="77777777" w:rsidR="0097292D" w:rsidRDefault="00924A3C" w:rsidP="00F56FF9">
      <w:r>
        <w:t xml:space="preserve">One topic can be seen as both an internal condition (i.e. the capacity at the top) or a reshaping strategy concerns providing or having </w:t>
      </w:r>
      <w:r>
        <w:rPr>
          <w:i/>
          <w:iCs/>
        </w:rPr>
        <w:t>leadership</w:t>
      </w:r>
      <w:r>
        <w:t xml:space="preserve">: providing the strategic direction, support, and guidance to steer implementation and adoption. Leadership is a loaded term in academia; in this context, we use it solely within the context of steering the implementation and adoption of agentic AI. </w:t>
      </w:r>
    </w:p>
    <w:p w14:paraId="2CCD3A3F" w14:textId="6E112893" w:rsidR="00924A3C" w:rsidRDefault="00924A3C" w:rsidP="00F56FF9">
      <w:r>
        <w:t>This managerial behavior can be beneficial to many internal conditions, and seems to drive outcomes.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Pr>
          <w:bCs/>
          <w:i/>
          <w:iCs/>
        </w:rPr>
        <w:t xml:space="preserve">bringing people along. </w:t>
      </w:r>
      <w:r>
        <w:t>This behavior seems to decrease resistance and increase.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automate these kind of things, but that still means someone needs to look over this automation. You can learn to do this”.</w:t>
      </w:r>
    </w:p>
    <w:p w14:paraId="71B90F29" w14:textId="2B9D4C1C" w:rsidR="00985546" w:rsidRDefault="00F74A04" w:rsidP="00F74A04">
      <w:r>
        <w:t>A second step is showing employees how they can create value using AI. Interviewee 9 described a dedicated transformation function whose job is to land the change with people:</w:t>
      </w:r>
    </w:p>
    <w:p w14:paraId="7ACD28A5" w14:textId="4C7DA5EA" w:rsidR="00F74A04" w:rsidRPr="00F74A04" w:rsidRDefault="00985546" w:rsidP="00F74A04">
      <w:pPr>
        <w:pStyle w:val="Quote"/>
      </w:pPr>
      <w:r>
        <w:lastRenderedPageBreak/>
        <w:t>People don’t know it, so they just go back to doing their own thing until someone puts it right in front of them and says, this is what it is and this is how you use it in your day-to-day</w:t>
      </w:r>
    </w:p>
    <w:p w14:paraId="6B510878" w14:textId="37F2C45B" w:rsidR="00F56FF9" w:rsidRDefault="00F56FF9" w:rsidP="00F56FF9">
      <w:r>
        <w:rPr>
          <w:bCs/>
          <w:i/>
          <w:iCs/>
        </w:rPr>
        <w:t>Providing clarity</w:t>
      </w:r>
      <w:r>
        <w:t xml:space="preserve"> names where the organization is going with AI, which use cases matter, and what success looks like. Interviewee 6 captured the need to be clear on what is going to happen, whilst bringing people along: “This is the vision. This is where we’re going. Help me get there.” Interviewee 1 noted the consequence of a lack of clarity: “If you don’t have clarity, jumping into execution will only surface a lot of problems.” Furthermore, interviewee 10 located where clarity most often breaks down: “Leadership must understand broad capabilities to set direction […] Middle management is often forgotten, but they receive strategic targets and must operationalize them. That’s where much of the friction sits.” Across interviews, providing clarity seems to help bring focus in the process of adopting AI and increased support for the plans.</w:t>
      </w:r>
    </w:p>
    <w:p w14:paraId="4D1CB456" w14:textId="4D12801C" w:rsidR="00036138" w:rsidRDefault="00F56FF9" w:rsidP="00F56FF9">
      <w:bookmarkStart w:id="177" w:name="OLE_LINK4"/>
      <w:r>
        <w:rPr>
          <w:bCs/>
          <w:i/>
          <w:iCs/>
        </w:rPr>
        <w:t>Leadership backing</w:t>
      </w:r>
      <w:r>
        <w:t xml:space="preserve"> concerns the visible endorsement, resource authorization, and organizational protection that senior leaders provide.  </w:t>
      </w:r>
      <w:bookmarkEnd w:id="177"/>
      <w:r>
        <w:t>Interviewee 8 described how decisive immediate backing was for his own work: “She just let me go and run … the buy-in of my immediate management is pivotal to what I do.” Likewise, Interviewee 6 noted that “Leadership encouragement is a tailwind” describing “Whenever we use [agentic AI] and showcase something […] it is appreciated and rewarded”.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t xml:space="preserve">An important leadership role is the </w:t>
      </w:r>
      <w:r>
        <w:rPr>
          <w:bCs/>
          <w:i/>
          <w:iCs/>
        </w:rPr>
        <w:t>AI champions</w:t>
      </w:r>
      <w:r>
        <w:t>. This champion might be the manager, but can also be a technical employee that is supported by his superiors. A champion is a person who drives AI initiatives forward through personal initiative, visible results, and internal advocacy. Interviewee 9 describes how disproportionally impactful an AI champion can be:</w:t>
      </w:r>
    </w:p>
    <w:p w14:paraId="323926C3" w14:textId="5425137D" w:rsidR="00F56FF9" w:rsidRDefault="00F56FF9" w:rsidP="00F56FF9">
      <w:pPr>
        <w:pStyle w:val="Quote"/>
        <w:ind w:left="720"/>
      </w:pPr>
      <w:r>
        <w:lastRenderedPageBreak/>
        <w:t>[An AI platform] was created originally by […] our [redacted] director that dabbles in development, and he created it, and it has blown up, and so now there’s millions of dollars of funding.</w:t>
      </w:r>
    </w:p>
    <w:p w14:paraId="6AEE1AC3" w14:textId="77777777" w:rsidR="00981EAD" w:rsidRDefault="00F56FF9" w:rsidP="00924A3C">
      <w:r>
        <w:t>Interviewee 8, who seems to fit the description of an AI champion, describes his behavior:</w:t>
      </w:r>
    </w:p>
    <w:p w14:paraId="7FA94594" w14:textId="61D7588D" w:rsidR="00981EAD" w:rsidRDefault="00981EAD" w:rsidP="00981EAD">
      <w:pPr>
        <w:pStyle w:val="Quote"/>
      </w:pPr>
      <w:r>
        <w:t xml:space="preserve">There’s a new thing out, it takes me five seconds to test it, and then I know if it’s ready for something that we might want to deploy. And at that point, I try to get buy-in.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000000" w:rsidP="00591258">
      <w:pPr>
        <w:pStyle w:val="Heading3"/>
        <w:rPr>
          <w:color w:val="24292E"/>
        </w:rPr>
      </w:pPr>
      <w:bookmarkStart w:id="178" w:name="_xw6d9a4ef7wu" w:colFirst="0" w:colLast="0"/>
      <w:bookmarkEnd w:id="178"/>
      <w:r>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 infrastructure</w:t>
      </w:r>
      <w:r>
        <w:t xml:space="preserve"> emerged as the foundational prerequisites. This spans from having data to having the data be accessible in the right systems, a process that is typically facilitated by technical infrastructure. Without accessible data and tools within the organizational layers, agentic systems cannot act within those systems and cannot interpret the data, limiting the ability of agentic AI to act within the organization. Interviewee 10 noted the strictness of this limitation “Technology strongly defines what can and can not be done in marketing. Your MarTech stack bounds what personalization you can do”. </w:t>
      </w:r>
    </w:p>
    <w:p w14:paraId="4663BA43" w14:textId="5B8A3F7E" w:rsidR="00401741" w:rsidRDefault="00000000">
      <w:r>
        <w:t xml:space="preserve">Interviewee 2 notes lacking these capabilities as the core reason why his organization is behind in AI adoption, stating, “We are just in the first steps towards [AI] maturity, and the core reason is: the infrastructure is not yet in place, and the workload is really big.” Interviewee 10 </w:t>
      </w:r>
      <w:r>
        <w:lastRenderedPageBreak/>
        <w:t>laments how far many organizations still are from this foundation: “How badly we still handle data. We keep saying data isn’t in order and it’s hard.”</w:t>
      </w:r>
    </w:p>
    <w:p w14:paraId="30AFDE13" w14:textId="445E8E5C" w:rsidR="00637EA7" w:rsidRDefault="008F538E">
      <w:r>
        <w:t xml:space="preserve">However, a counterpoint comes from interviewee 13, who notes that you do not always need to 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technical talent</w:t>
      </w:r>
      <w:r>
        <w:rPr>
          <w:b/>
          <w:bCs/>
        </w:rPr>
        <w:t xml:space="preserve"> </w:t>
      </w:r>
      <w:r>
        <w:t>surfaced as a frequent constraint. This includes the ability to build, implement, and integrate agentic systems. But it also includes the vital systems thinking that is required to analyze the process that could be improved by AI from a technical perspective. Interviewee 13 described this as the root cause behind many apparent AI failures:</w:t>
      </w:r>
    </w:p>
    <w:p w14:paraId="00A54DDD" w14:textId="70FF9035" w:rsidR="00401741" w:rsidRPr="000D33B2" w:rsidRDefault="00000000"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000000">
      <w:r>
        <w:t>Interviewee 1 gave a more stark signal, noting that there is a perceived benefit to not having clarity regarding the processes. She notes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lastRenderedPageBreak/>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Pr>
          <w:b/>
          <w:bCs/>
        </w:rPr>
        <w:t>Manager responses</w:t>
      </w:r>
      <w:r>
        <w:rPr>
          <w:i/>
          <w:iCs/>
        </w:rPr>
        <w:t>.</w:t>
      </w:r>
      <w:r>
        <w:rPr>
          <w:b/>
          <w:bCs/>
        </w:rPr>
        <w:t xml:space="preserve"> </w:t>
      </w:r>
      <w:r>
        <w:t xml:space="preserve">When resource conditions are available, managers can respond by leveraging them for initiatives regarding agentic AI. </w:t>
      </w:r>
      <w:bookmarkStart w:id="179" w:name="_qy9fnmmddxdy" w:colFirst="0" w:colLast="0"/>
      <w:bookmarkEnd w:id="179"/>
      <w:r>
        <w:t>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The most notable navigating response that we observed was leveraging external talent as described in section 4.2.1.</w:t>
      </w:r>
    </w:p>
    <w:p w14:paraId="6C601742" w14:textId="411010F5" w:rsidR="003B7C04" w:rsidRDefault="00000000" w:rsidP="00993889">
      <w:pPr>
        <w:pStyle w:val="Heading3"/>
      </w:pPr>
      <w:r>
        <w:t>4.2.4</w:t>
      </w:r>
      <w:r>
        <w:tab/>
        <w:t>Governance &amp; compliance</w:t>
      </w:r>
    </w:p>
    <w:p w14:paraId="3D693297" w14:textId="0B1290F4" w:rsidR="003B7C04" w:rsidRPr="00842EEA" w:rsidRDefault="00000000">
      <w:r>
        <w:t>A fourth cluster of conditions concerns governance and organizational friction, covering the compliance restrictions from the legal or IT department, restrictive processes, and politics that impede AI adoption. Interviewee 13 observed a pattern in large enterprises:</w:t>
      </w:r>
    </w:p>
    <w:p w14:paraId="38E6F9DB" w14:textId="7B12D29D" w:rsidR="00401741" w:rsidRDefault="00000000">
      <w:pPr>
        <w:pStyle w:val="Quote"/>
        <w:ind w:left="720"/>
      </w:pPr>
      <w:r>
        <w:t>They are not allowed to use agentic AI a lot … there’s this weird distinction people make. It’s totally fine to buy any kind of tool you don’t know anything about and put [data] into the system. But agentic AI? That’s completely out of the question.</w:t>
      </w:r>
    </w:p>
    <w:p w14:paraId="3EC8C70A" w14:textId="32440ED1" w:rsidR="0019308A" w:rsidRPr="0019308A" w:rsidRDefault="0019308A" w:rsidP="0019308A">
      <w:r>
        <w:t>This can also affect AI adoption indirectly by limiting collection or exploitation of vital resources like data. Interviewee 13 describes “Companies are already afraid to use certain tools because ‘how does it look on the GDPR side?’, ‘are we allowed to track data from our customers?’”. Interviewee 10 notes the impact of restrictive governance on the culture: “First everyone does bring-your-own-AI; then someone says ‘this is maybe not such a good idea’ and suddenly everything is banned. Then the most enthusiastic people either disengage or leave”.</w:t>
      </w:r>
    </w:p>
    <w:p w14:paraId="354CFBB7" w14:textId="37410BD4" w:rsidR="00940849" w:rsidRPr="00842EEA" w:rsidRDefault="00000000" w:rsidP="00940849">
      <w:r>
        <w:lastRenderedPageBreak/>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Pr>
          <w:b/>
          <w:bCs/>
        </w:rPr>
        <w:t xml:space="preserve">Management response: </w:t>
      </w:r>
      <w:r>
        <w:t xml:space="preserve">These frictions are predominantly navigated: unfavorable governance structures are treated as fixed features of the environment to be worked around rather than changed. We observed no example of </w:t>
      </w:r>
      <w:r>
        <w:rPr>
          <w:i/>
          <w:iCs/>
        </w:rPr>
        <w:t>reshaping</w:t>
      </w:r>
      <w:r>
        <w:t xml:space="preserve"> regarding the governance structure as enforced by IT and legal. </w:t>
      </w:r>
    </w:p>
    <w:p w14:paraId="19BD1571" w14:textId="47BC81C3" w:rsidR="00516EED" w:rsidRPr="00516EED" w:rsidRDefault="00FF40A6">
      <w:r>
        <w:t>Interviewee 13  did note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000000">
      <w:pPr>
        <w:pStyle w:val="Heading2"/>
        <w:rPr>
          <w:color w:val="auto"/>
        </w:rPr>
      </w:pPr>
      <w:bookmarkStart w:id="180" w:name="_hojo1f9yxiy" w:colFirst="0" w:colLast="0"/>
      <w:bookmarkEnd w:id="180"/>
      <w:r>
        <w:rPr>
          <w:color w:val="auto"/>
        </w:rPr>
        <w:t>4.3</w:t>
      </w:r>
      <w:r>
        <w:rPr>
          <w:color w:val="auto"/>
        </w:rPr>
        <w:tab/>
        <w:t>Applying agentic AI</w:t>
      </w:r>
    </w:p>
    <w:p w14:paraId="5E8AF670" w14:textId="7853BE3F" w:rsidR="004756DD" w:rsidRPr="004756DD" w:rsidRDefault="004756DD" w:rsidP="004756DD">
      <w:pPr>
        <w:rPr>
          <w:lang w:val="en-US"/>
        </w:rPr>
      </w:pPr>
      <w:r>
        <w:rPr>
          <w:lang w:val="en-US"/>
        </w:rPr>
        <w:t xml:space="preserve">Based on the observations that the manager made and within the context that was shaped within the organization, the marketing manager can choose to apply agentic AI. Applying agentic AI is defined as using or implementing agentic AI systems within the organization. In our analysis, we differentiate between two key factors: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Pr>
          <w:lang w:val="en-US"/>
        </w:rPr>
        <w:t xml:space="preserve">Strategies and features: This is the </w:t>
      </w:r>
      <w:r>
        <w:rPr>
          <w:i/>
          <w:iCs/>
          <w:lang w:val="en-US"/>
        </w:rPr>
        <w:t xml:space="preserve">how </w:t>
      </w:r>
      <w:r>
        <w:rPr>
          <w:lang w:val="en-US"/>
        </w:rPr>
        <w:t>of implementing agentic AI, which aspects should we leverage to make agentic AI effective within the organization.</w:t>
      </w:r>
    </w:p>
    <w:p w14:paraId="3D922031" w14:textId="77777777" w:rsidR="00401741" w:rsidRPr="004756DD" w:rsidRDefault="00000000">
      <w:pPr>
        <w:pStyle w:val="Heading3"/>
      </w:pPr>
      <w:bookmarkStart w:id="181" w:name="_iuvuby6hzug8" w:colFirst="0" w:colLast="0"/>
      <w:bookmarkEnd w:id="181"/>
      <w:r>
        <w:t>4.3.1</w:t>
      </w:r>
      <w:r>
        <w:tab/>
        <w:t>Use Cases</w:t>
      </w:r>
    </w:p>
    <w:p w14:paraId="29E9CF78" w14:textId="50077C51" w:rsidR="00401741" w:rsidRPr="00754F9D" w:rsidRDefault="00E84660">
      <w:r>
        <w:rPr>
          <w:lang w:val="en-US"/>
        </w:rPr>
        <w:t>Throughout the data, many different use cases of agentic AI became known. Four stood out as frequent and highly valuable for the marketing process:</w:t>
      </w:r>
      <w:r>
        <w:t xml:space="preserve"> analyzing data and generating insights, creating and validating content and campaigns, and using general-purpose agents. Furthermore, customer-facing agents stood out as an infrequent but relevant use case.</w:t>
      </w:r>
      <w:ins w:id="182" w:author="Claude" w:date="2026-06-07T00:00:00Z">
        <w:r>
          <w:t xml:space="preserve"> Notably, </w:t>
        </w:r>
        <w:r>
          <w:lastRenderedPageBreak/>
          <w:t>these use cases did not produce uniform results: as Section 4.4 shows, comparable deployments diverged sharply across organizations, tracking the conditions described in Section 4.2 rather than the choice of model.</w:t>
        </w:r>
      </w:ins>
    </w:p>
    <w:p w14:paraId="50851C32" w14:textId="71652865" w:rsidR="00405433" w:rsidRDefault="004756DD" w:rsidP="001C0088">
      <w:r>
        <w:rPr>
          <w:b/>
          <w:bCs/>
        </w:rPr>
        <w:t>Generating insights.</w:t>
      </w:r>
      <w:r>
        <w:t xml:space="preserve"> Marketers can use agentic AI to gather insights from both structured and unstructured data, combining both internal and public data sources. Interviewee 3 noted, “Analytics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6D3A0549" w14:textId="0270C69F" w:rsidR="00D54526" w:rsidRDefault="00D54526" w:rsidP="001C0088">
      <w:r>
        <w:t>A wide variety of scenarios where marketers might leverage agents for generating insights were observed, including analyzing campaign performance, analyzing customer journeys, and doing market research.</w:t>
      </w:r>
    </w:p>
    <w:p w14:paraId="6AB78630" w14:textId="084F055A" w:rsidR="002B5E5E" w:rsidRDefault="002B5E5E" w:rsidP="001C0088">
      <w:r>
        <w:rPr>
          <w:b/>
          <w:bCs/>
        </w:rPr>
        <w:t xml:space="preserve">Creating and validating content and campaigns. </w:t>
      </w:r>
      <w:r>
        <w:t>Marketing teams can also use AI agents to create content, validate the content, and deploy it within marketing campaigns. While 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delivered,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lastRenderedPageBreak/>
        <w:t>Interviewee 9 describes a similar system that is focused on deploying campaigns across different cultures:</w:t>
      </w:r>
    </w:p>
    <w:p w14:paraId="6DADC2A1" w14:textId="75FDC148" w:rsidR="001C0088" w:rsidRDefault="001C0088" w:rsidP="00AB5895">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There’s a bunch of agents here for actually creating campaigns for marketers, doing audience segmentation for marketers, audience assembly, a lot of things.</w:t>
      </w:r>
    </w:p>
    <w:p w14:paraId="75ED40BC" w14:textId="0FA5A12D" w:rsidR="00AB5895" w:rsidRPr="00AB5895" w:rsidRDefault="00F672A4" w:rsidP="00AB5895">
      <w:pPr>
        <w:rPr>
          <w:lang w:val="en-US"/>
        </w:rPr>
      </w:pPr>
      <w:r>
        <w:rPr>
          <w:lang w:val="en-US"/>
        </w:rPr>
        <w:t>He notes that this can be done with “a composable CDP on top of cloud data warehouses like Databricks and Snowflake.” Noting that this composable CDP has “a very agentic approach”.</w:t>
      </w:r>
    </w:p>
    <w:p w14:paraId="3502AC09" w14:textId="1D97A8DB" w:rsidR="00017B78" w:rsidRPr="00017B78" w:rsidRDefault="00DA407F">
      <w:r>
        <w:rPr>
          <w:b/>
          <w:bCs/>
        </w:rPr>
        <w:t>Generic agents.</w:t>
      </w:r>
      <w:r>
        <w:t xml:space="preserve"> Generic agents refers to general-purpose agentic systems that can be used for either personal productivity or automating manual processes. Interviewee 4 how he configured an off-the-shelf agent as “personal operating system”: </w:t>
      </w:r>
    </w:p>
    <w:p w14:paraId="7581E69E" w14:textId="3B6FB9A9" w:rsidR="00017B78" w:rsidRDefault="00017B78" w:rsidP="00017B78">
      <w:pPr>
        <w:pStyle w:val="Quote"/>
      </w:pPr>
      <w:r>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1AEC8AB5" w14:textId="7F9200FD" w:rsidR="00B87008" w:rsidRDefault="00017B78" w:rsidP="00B87008">
      <w:r>
        <w:t xml:space="preserve">Many use cases seem to be applicable to any type of knowledge work and might not be more or less relevant to the marketing domain. For instance, interviewee 13 describes using agents to prepare for meetings: “Claude goes into my transcription tool, gets all the different </w:t>
      </w:r>
      <w:r>
        <w:lastRenderedPageBreak/>
        <w:t>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participants do not hand the entire job to an agent; they segment a process and insert AI where they trust performance. Interviewee 10 set out the model plainly: </w:t>
      </w:r>
      <w:r>
        <w:rPr>
          <w:i/>
          <w:iCs/>
        </w:rPr>
        <w:t>“I see process steps inside workflows. If work is a stack of workflows, then most processes can be split into six or eight steps, and in some of those steps AI is used.”</w:t>
      </w:r>
    </w:p>
    <w:p w14:paraId="1CD4AB08" w14:textId="44A7E02D" w:rsidR="00EF0188" w:rsidRPr="00B87008" w:rsidRDefault="00EF0188" w:rsidP="00B87008">
      <w:r>
        <w:t xml:space="preserve"> Likewise, interviewee 13 notes how they automate processes using generic tools with agentic capabilities: </w:t>
      </w:r>
      <w:r>
        <w:rPr>
          <w:i/>
          <w:iCs/>
        </w:rPr>
        <w:t>“We used Make and n8n for, like, automating all the workflows. ... You say, ‘I get this data from this tool. If this happens, do this.’ ... And this substituted at least for two or three people.”</w:t>
      </w:r>
    </w:p>
    <w:p w14:paraId="45A727AE" w14:textId="77777777" w:rsidR="00B87008" w:rsidRDefault="00000000" w:rsidP="00D54526">
      <w:r>
        <w:rPr>
          <w:b/>
          <w:bCs/>
        </w:rPr>
        <w:t>Customer-facing agents.</w:t>
      </w:r>
      <w:r>
        <w:t xml:space="preserve"> Organizations might also offer agents directly to customers. Applications include customer-service and sales-assistant agents that handle routine queries and recognize commercial moments (e.g. upsells, membership changes, and re-orders) are described as the most commercially compelling agentic deployments. </w:t>
      </w:r>
    </w:p>
    <w:p w14:paraId="18651C01" w14:textId="5A8F4717" w:rsidR="00401741" w:rsidRDefault="00000000" w:rsidP="00D54526">
      <w:r>
        <w:t>Interviewee 12 noted that these agents have, over the past two years, crossed a quality threshold they previously never reached: “they’ve actually gotten really good because they’re leveraging the conversational capabilities of these LLMs.” Interviewee 6 described a chatbot program that combines customer-experience improvement with direct commercial outcomes; the same agent that handles a membership question can identify an upgrade opportunity and execute it.</w:t>
      </w:r>
    </w:p>
    <w:p w14:paraId="5133C052" w14:textId="77777777" w:rsidR="0089648C" w:rsidRDefault="00B87008" w:rsidP="00D54526">
      <w:r>
        <w:t xml:space="preserve">Interviewee 15 took a different approach; instead of offering the agent to a customer, she now offers support for her customers agents: </w:t>
      </w:r>
    </w:p>
    <w:p w14:paraId="6EF6AD13" w14:textId="14321127" w:rsidR="00B87008" w:rsidRDefault="0074556E" w:rsidP="0089648C">
      <w:pPr>
        <w:pStyle w:val="Quote"/>
      </w:pPr>
      <w:r>
        <w:t>We have built a connector for one of our web shops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lastRenderedPageBreak/>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5CD616A0" w14:textId="0F207A92" w:rsidR="00401741" w:rsidRPr="002A58E8" w:rsidRDefault="00000000">
      <w:pPr>
        <w:pStyle w:val="Heading3"/>
      </w:pPr>
      <w:bookmarkStart w:id="183" w:name="_niqmcast9jsc" w:colFirst="0" w:colLast="0"/>
      <w:bookmarkEnd w:id="183"/>
      <w:r>
        <w:t>4.3.2</w:t>
      </w:r>
      <w:r>
        <w:tab/>
        <w:t>Usage strategies</w:t>
      </w:r>
    </w:p>
    <w:p w14:paraId="1C2EE4B3" w14:textId="6A02FE84" w:rsidR="00401741" w:rsidRPr="002A58E8" w:rsidRDefault="00444E94">
      <w:r>
        <w:t>We observe two usage strategies that are frequently noted as improving the value created using agentic systems for a variety of use cases: leveraging tool calling and personalizing the systems.</w:t>
      </w:r>
    </w:p>
    <w:p w14:paraId="4E086212" w14:textId="6C867D38" w:rsidR="00401741" w:rsidRPr="002A58E8" w:rsidRDefault="00444E94">
      <w:r>
        <w:t xml:space="preserve">The first usage pattern is </w:t>
      </w:r>
      <w:r>
        <w:rPr>
          <w:i/>
          <w:iCs/>
        </w:rPr>
        <w:t>leveraging tool calling</w:t>
      </w:r>
      <w:r>
        <w:t>, allowing agents to integrate with systems and ingest data as context is a dominant pattern in the data. Interviewee 6 framed the context argument by contrasting her AI-powered customer-service agent with the outsourced human agents it had partly replaced:</w:t>
      </w:r>
    </w:p>
    <w:p w14:paraId="32A72B79" w14:textId="464C0792" w:rsidR="00401741" w:rsidRDefault="00000000" w:rsidP="00960F07">
      <w:pPr>
        <w:pStyle w:val="Quote"/>
      </w:pPr>
      <w:r>
        <w:t xml:space="preserve">I already dare to claim that the quality is much higher, than even if an </w:t>
      </w:r>
      <w:bookmarkStart w:id="184" w:name="OLE_LINK5"/>
      <w:r>
        <w:t xml:space="preserve">[human] </w:t>
      </w:r>
      <w:bookmarkEnd w:id="184"/>
      <w:r>
        <w:t>agent does it, because we have all of our [human] agents outsourced in [redacted]. They’re amazing, they’re fantastic people, but they are not always as aware as a database. Obviously, they don’t have the whole database in their head.</w:t>
      </w:r>
    </w:p>
    <w:p w14:paraId="2D8D9662" w14:textId="753BA0D5" w:rsidR="00B92841" w:rsidRPr="00CC65FE" w:rsidRDefault="00000000" w:rsidP="00B92841">
      <w:pPr>
        <w:rPr>
          <w:lang w:val="en-US"/>
        </w:rPr>
      </w:pPr>
      <w:r>
        <w:rPr>
          <w:i/>
          <w:iCs/>
        </w:rPr>
        <w:t>Personalizing agents</w:t>
      </w:r>
      <w:r>
        <w:t xml:space="preserve"> concerns configuring agents to fit your personal needs. This can include configuring system prompts, but also builds on the tool-calling: a personalized tool setup can be highly </w:t>
      </w:r>
      <w:bookmarkStart w:id="185" w:name="_d3o8hfs61axc" w:colFirst="0" w:colLast="0"/>
      <w:bookmarkEnd w:id="185"/>
      <w:r>
        <w:t>beneficial.</w:t>
      </w:r>
      <w:r>
        <w:rPr>
          <w:rFonts w:ascii="Segoe UI" w:eastAsia="Times New Roman" w:hAnsi="Segoe UI" w:cs="Segoe UI"/>
          <w:sz w:val="21"/>
          <w:szCs w:val="21"/>
          <w:lang w:val="en-US"/>
        </w:rPr>
        <w:t xml:space="preserve"> </w:t>
      </w:r>
      <w:r>
        <w:rPr>
          <w:lang w:val="en-US"/>
        </w:rPr>
        <w:t>The key step is making an organization’s context explicit and accessible to the agent. Interviewee 16 showed how small the gaps can be: a single term, </w:t>
      </w:r>
      <w:r>
        <w:rPr>
          <w:i/>
          <w:iCs/>
          <w:lang w:val="en-US"/>
        </w:rPr>
        <w:t>“add to cart,”</w:t>
      </w:r>
      <w:r>
        <w:rPr>
          <w:lang w:val="en-US"/>
        </w:rPr>
        <w:t> carried </w:t>
      </w:r>
      <w:r>
        <w:rPr>
          <w:i/>
          <w:iCs/>
          <w:lang w:val="en-US"/>
        </w:rPr>
        <w:t>“five different definitions”</w:t>
      </w:r>
      <w:r>
        <w:rPr>
          <w:lang w:val="en-US"/>
        </w:rPr>
        <w:t> across the business, which he noted was </w:t>
      </w:r>
      <w:r>
        <w:rPr>
          <w:i/>
          <w:iCs/>
          <w:lang w:val="en-US"/>
        </w:rPr>
        <w:t>“a problem if you want to feed it to AI”</w:t>
      </w:r>
      <w:r>
        <w:rPr>
          <w:lang w:val="en-US"/>
        </w:rPr>
        <w:t xml:space="preserve">. The data’s highest-productivity setup follows this logic. </w:t>
      </w:r>
    </w:p>
    <w:p w14:paraId="2BCEEE31" w14:textId="4C93E19A" w:rsidR="00B92841" w:rsidRPr="00CC65FE" w:rsidRDefault="00B92841" w:rsidP="00B92841">
      <w:pPr>
        <w:rPr>
          <w:lang w:val="en-US"/>
        </w:rPr>
      </w:pPr>
      <w:r>
        <w:rPr>
          <w:lang w:val="en-US"/>
        </w:rPr>
        <w:lastRenderedPageBreak/>
        <w:t>Interviewee 5 talked about creating a solid harness, which is typically defined as the data, memory, tool access, and guardrails around the AI. He stated that what an AI excels at is highly “is highly dependent on what they call the harness.”</w:t>
      </w:r>
    </w:p>
    <w:p w14:paraId="77A51148" w14:textId="3C94974E" w:rsidR="00401741" w:rsidRDefault="00000000" w:rsidP="002D4619">
      <w:pPr>
        <w:pStyle w:val="Heading2"/>
      </w:pPr>
      <w:r>
        <w:t>4.4</w:t>
      </w:r>
      <w:r>
        <w:tab/>
        <w:t xml:space="preserve">Value </w:t>
      </w:r>
      <w:commentRangeStart w:id="186"/>
      <w:r>
        <w:t>Outcomes</w:t>
      </w:r>
      <w:commentRangeEnd w:id="186"/>
      <w:r>
        <w:rPr>
          <w:rStyle w:val="CommentReference"/>
          <w:sz w:val="22"/>
          <w:szCs w:val="22"/>
        </w:rPr>
        <w:commentReference w:id="186"/>
      </w:r>
    </w:p>
    <w:p w14:paraId="2D502457" w14:textId="77777777" w:rsidR="006F4101" w:rsidRDefault="00000000" w:rsidP="006F4101">
      <w:r>
        <w:t xml:space="preserve">Applying agentic AI creates outcomes for the organization. We analyze these from a value perspective. We group the value outcomes in three buckets. First, </w:t>
      </w:r>
      <w:r>
        <w:rPr>
          <w:i/>
          <w:iCs/>
        </w:rPr>
        <w:t>benefits</w:t>
      </w:r>
      <w:r>
        <w:t xml:space="preserve"> concern 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5B3F8217" w14:textId="61FBEE07" w:rsidR="00401741" w:rsidRPr="00F9706B" w:rsidRDefault="00000000" w:rsidP="00175508">
      <w:pPr>
        <w:pStyle w:val="Heading3"/>
      </w:pPr>
      <w:bookmarkStart w:id="187" w:name="_psp9v76zeahl" w:colFirst="0" w:colLast="0"/>
      <w:bookmarkEnd w:id="187"/>
      <w:r>
        <w:t>4.4.1</w:t>
      </w:r>
      <w:r>
        <w:tab/>
        <w:t>Benefits</w:t>
      </w:r>
    </w:p>
    <w:p w14:paraId="2E6E9B2D" w14:textId="330161D4" w:rsidR="00401741" w:rsidRPr="00F9706B" w:rsidRDefault="00000000">
      <w:r>
        <w:t>Benefits from agentic AI in marketing cluster around five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7F2B2138" w14:textId="0563E1DC" w:rsidR="007738BF" w:rsidRPr="00F9706B" w:rsidRDefault="00000000">
      <w:r>
        <w:rPr>
          <w:i/>
          <w:iCs/>
        </w:rPr>
        <w:t>Efficiency</w:t>
      </w:r>
      <w:r>
        <w:t xml:space="preserve"> forms the largest and most consistently described benefit. This might take the form of doing more with the same amount of effort.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3BC74BF8" w14:textId="7C9AD881" w:rsidR="007738BF" w:rsidRPr="00560D44" w:rsidRDefault="007738BF">
      <w:r>
        <w:lastRenderedPageBreak/>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p>
    <w:p w14:paraId="24DFA2DC" w14:textId="4FD99E87" w:rsidR="00F9706B" w:rsidRPr="00560D44" w:rsidRDefault="00000000">
      <w:r>
        <w:rPr>
          <w:i/>
          <w:iCs/>
        </w:rPr>
        <w:t>Scale</w:t>
      </w:r>
      <w:r>
        <w:t xml:space="preserv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p>
    <w:p w14:paraId="66A6624C" w14:textId="13448363" w:rsidR="00560D44" w:rsidRPr="00974539" w:rsidRDefault="00000000" w:rsidP="00560D44">
      <w:r>
        <w:rPr>
          <w:i/>
          <w:iCs/>
        </w:rPr>
        <w:t>Extending the personal skillset</w:t>
      </w:r>
      <w:r>
        <w:t xml:space="preserve">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p>
    <w:p w14:paraId="4B5CDA47" w14:textId="0D0DCDE5" w:rsidR="00560D44" w:rsidRPr="00974539" w:rsidRDefault="00560D44" w:rsidP="00560D44">
      <w:r>
        <w:t xml:space="preserve">Improvements in </w:t>
      </w:r>
      <w:r>
        <w:rPr>
          <w:i/>
          <w:iCs/>
        </w:rPr>
        <w:t>quality of output</w:t>
      </w:r>
      <w:r>
        <w:t xml:space="preserve"> come in various different forms and notes how the agentic system produces better output than a human would otherwise provide. </w:t>
      </w:r>
      <w:bookmarkStart w:id="188" w:name="_vkh433kqk3oi" w:colFirst="0" w:colLast="0"/>
      <w:bookmarkEnd w:id="188"/>
      <w:r>
        <w:t>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001CDED4" w14:textId="0D7B3996" w:rsidR="00401741" w:rsidRPr="00EE60F5" w:rsidRDefault="00000000" w:rsidP="00560D44">
      <w:pPr>
        <w:pStyle w:val="Heading3"/>
      </w:pPr>
      <w:r>
        <w:t>4.4.2</w:t>
      </w:r>
      <w:r>
        <w:tab/>
        <w:t>Sacrifices</w:t>
      </w:r>
    </w:p>
    <w:p w14:paraId="6E9D21B7" w14:textId="7A7ACE77" w:rsidR="00401741" w:rsidRPr="00EE60F5" w:rsidRDefault="00000000">
      <w:r>
        <w:t>Alongside benefits, participants describe a set of sacrifices</w:t>
      </w:r>
      <w:bookmarkStart w:id="189" w:name="OLE_LINK6"/>
      <w:r>
        <w:t>; things that are knowingly given up or altered as a consequence of AI adoption</w:t>
      </w:r>
      <w:bookmarkEnd w:id="189"/>
      <w:r>
        <w:t>. Two key categories arise from the data: financial costs and job displacement.</w:t>
      </w:r>
    </w:p>
    <w:p w14:paraId="2EB3EF79" w14:textId="77777777" w:rsidR="008A7B31" w:rsidRPr="00EE60F5" w:rsidRDefault="00000000">
      <w:r>
        <w:lastRenderedPageBreak/>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699B078A" w14:textId="77777777" w:rsidR="00E370E5" w:rsidRPr="00EE60F5" w:rsidRDefault="00000000" w:rsidP="00E370E5">
      <w:pPr>
        <w:rPr>
          <w:i/>
          <w:iCs/>
        </w:rPr>
      </w:pPr>
      <w:r>
        <w:t xml:space="preserve">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 other examples, interviewees describe more or different work being picked up. Interviewee 13 notes regarding job displacement: “this might happen, that you get redundancies, but it is not the way I think companies are doing it right now.” </w:t>
      </w:r>
      <w:bookmarkStart w:id="190" w:name="_i62wq5quevoe" w:colFirst="0" w:colLast="0"/>
      <w:bookmarkEnd w:id="190"/>
    </w:p>
    <w:p w14:paraId="63AE44C5" w14:textId="30D4AA6E" w:rsidR="00401741" w:rsidRPr="00EE60F5" w:rsidRDefault="00000000" w:rsidP="00E370E5">
      <w:pPr>
        <w:pStyle w:val="Heading3"/>
        <w:rPr>
          <w:highlight w:val="yellow"/>
        </w:rPr>
      </w:pPr>
      <w:r>
        <w:t>4.4.3</w:t>
      </w:r>
      <w:r>
        <w:tab/>
        <w:t>Risks</w:t>
      </w:r>
    </w:p>
    <w:p w14:paraId="2F91271D" w14:textId="00F62153" w:rsidR="00401741" w:rsidRPr="00EE60F5" w:rsidRDefault="00000000">
      <w:r>
        <w:t>Risks differ from sacrifices in that they represent potential rather than certain negative outcomes. Three risk categories are prominent: hallucinations, security and privacy violations, and negative brand impact.</w:t>
      </w:r>
    </w:p>
    <w:p w14:paraId="250AE3B6" w14:textId="71FC211B" w:rsidR="005A4BAD" w:rsidRPr="00EE60F5" w:rsidRDefault="00000000">
      <w:r>
        <w:rPr>
          <w:i/>
          <w:iCs/>
        </w:rPr>
        <w:t>Hallucination risk</w:t>
      </w:r>
      <w: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4C44E7C0" w14:textId="60A1CD06" w:rsidR="005846F5" w:rsidRPr="00EE60F5" w:rsidRDefault="005A4BAD" w:rsidP="005A4BAD">
      <w:pPr>
        <w:pStyle w:val="Quote"/>
      </w:pPr>
      <w:r>
        <w:t>I do not think of AI as being infallible. […] If you don’t have an understanding of your domain, then just sort of blindly trust AI, I think most people would agree that is kind of a risky place to put yourself in.</w:t>
      </w:r>
    </w:p>
    <w:p w14:paraId="16FF5AC7" w14:textId="32EA5977" w:rsidR="00401741" w:rsidRPr="004951D2" w:rsidRDefault="00000000">
      <w:r>
        <w:t xml:space="preserve">Security and privacy violations are most consistently noted as risks. The concern typically centers on data that enters AI systems outside of what would be compliant, but might </w:t>
      </w:r>
      <w:r>
        <w:lastRenderedPageBreak/>
        <w:t>include any violation of law, policy, or user’s trust regarding security and privacy. Interviewee 13 described:</w:t>
      </w:r>
    </w:p>
    <w:p w14:paraId="6E5B6A26" w14:textId="77777777" w:rsidR="00EE60F5" w:rsidRPr="004951D2" w:rsidRDefault="00000000" w:rsidP="00EE60F5">
      <w:pPr>
        <w:pStyle w:val="Quote"/>
        <w:rPr>
          <w:iCs w:val="0"/>
        </w:rPr>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AAA08AD" w14:textId="32FBE1B1" w:rsidR="00401741" w:rsidRDefault="00000000" w:rsidP="00EE60F5">
      <w:r>
        <w:rPr>
          <w:i/>
          <w:iCs/>
        </w:rPr>
        <w:t>Brand risk</w:t>
      </w:r>
      <w: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7A7E70ED" w14:textId="1DC282C9" w:rsidR="00175508" w:rsidRPr="00406285" w:rsidRDefault="00175508" w:rsidP="00175508">
      <w:pPr>
        <w:pStyle w:val="Heading3"/>
      </w:pPr>
      <w:r>
        <w:t xml:space="preserve">4.4.4 Driving Value Outcomes </w:t>
      </w:r>
    </w:p>
    <w:p w14:paraId="5FBF351F" w14:textId="14A4F5EE" w:rsidR="00175508" w:rsidRDefault="004F7EE2" w:rsidP="004F7EE2">
      <w:r w:rsidRPr="004F7EE2">
        <w:t xml:space="preserve"> </w:t>
      </w:r>
      <w:r w:rsidR="00655088">
        <w:t>From</w:t>
      </w:r>
      <w:r w:rsidRPr="004F7EE2">
        <w:t xml:space="preserve"> the interviews, a pattern emerged where similar use cases did not yield similar results.</w:t>
      </w:r>
      <w:r>
        <w:t xml:space="preserve"> T</w:t>
      </w:r>
      <w:r w:rsidRPr="004F7EE2">
        <w:t>he same use case might be transformative in one organization</w:t>
      </w:r>
      <w:r>
        <w:t xml:space="preserve"> but </w:t>
      </w:r>
      <w:r w:rsidRPr="004F7EE2">
        <w:t>yield undesired results</w:t>
      </w:r>
      <w:r>
        <w:t>, or simply not be adopted</w:t>
      </w:r>
      <w:r w:rsidRPr="004F7EE2">
        <w:t xml:space="preserve"> in another</w:t>
      </w:r>
      <w:r>
        <w:t xml:space="preserve">. </w:t>
      </w:r>
      <w:r w:rsidRPr="004F7EE2">
        <w:t xml:space="preserve"> </w:t>
      </w:r>
      <w:r>
        <w:t>W</w:t>
      </w:r>
      <w:r w:rsidRPr="004F7EE2">
        <w:t xml:space="preserve">hile technical differences between applications might be a factor, the data suggests that managerial decisions have </w:t>
      </w:r>
      <w:r w:rsidR="001B5FA5">
        <w:t xml:space="preserve">a </w:t>
      </w:r>
      <w:r>
        <w:t>notable</w:t>
      </w:r>
      <w:r w:rsidRPr="004F7EE2">
        <w:t xml:space="preserve"> impact. </w:t>
      </w:r>
      <w:r w:rsidR="00175508">
        <w:t>Table 4 summarizes the contrast for the three most frequently reported use cases.</w:t>
      </w:r>
    </w:p>
    <w:p w14:paraId="752FF158" w14:textId="77777777" w:rsidR="00175508" w:rsidRDefault="00175508">
      <w:pPr>
        <w:rPr>
          <w:b/>
        </w:rPr>
      </w:pPr>
      <w:r>
        <w:rPr>
          <w:b/>
        </w:rPr>
        <w:br w:type="page"/>
      </w:r>
    </w:p>
    <w:p w14:paraId="4565DE5F" w14:textId="1AE242F8" w:rsidR="00175508" w:rsidRDefault="00175508" w:rsidP="00175508">
      <w:pPr>
        <w:ind w:firstLine="0"/>
      </w:pPr>
      <w:r>
        <w:rPr>
          <w:b/>
        </w:rPr>
        <w:lastRenderedPageBreak/>
        <w:t>Table 4</w:t>
      </w:r>
    </w:p>
    <w:p w14:paraId="7010C2DE" w14:textId="0422A742" w:rsidR="00175508" w:rsidRDefault="00C50BB3" w:rsidP="00175508">
      <w:pPr>
        <w:ind w:firstLine="0"/>
      </w:pPr>
      <w:r>
        <w:rPr>
          <w:i/>
        </w:rPr>
        <w:t>Examples of comparable</w:t>
      </w:r>
      <w:r w:rsidR="00175508">
        <w:rPr>
          <w:i/>
        </w:rPr>
        <w:t xml:space="preserve"> use cases</w:t>
      </w:r>
      <w:r>
        <w:rPr>
          <w:i/>
        </w:rPr>
        <w:t xml:space="preserve"> with highly</w:t>
      </w:r>
      <w:r w:rsidR="00175508">
        <w:rPr>
          <w:i/>
        </w:rPr>
        <w:t xml:space="preserve">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334419" w14:paraId="64657963" w14:textId="77777777" w:rsidTr="0095250B">
        <w:trPr>
          <w:trHeight w:val="270"/>
        </w:trPr>
        <w:tc>
          <w:tcPr>
            <w:tcW w:w="1418" w:type="dxa"/>
            <w:tcBorders>
              <w:top w:val="single" w:sz="7" w:space="0" w:color="000000"/>
              <w:left w:val="nil"/>
              <w:bottom w:val="single" w:sz="7" w:space="0" w:color="000000"/>
              <w:right w:val="nil"/>
            </w:tcBorders>
            <w:tcMar>
              <w:top w:w="0" w:type="dxa"/>
              <w:left w:w="100" w:type="dxa"/>
              <w:bottom w:w="0" w:type="dxa"/>
              <w:right w:w="100" w:type="dxa"/>
            </w:tcMar>
          </w:tcPr>
          <w:p w14:paraId="4E10AF1E" w14:textId="77777777" w:rsidR="00334419" w:rsidRDefault="00334419" w:rsidP="007A1110">
            <w:pPr>
              <w:spacing w:line="360" w:lineRule="auto"/>
              <w:ind w:firstLine="0"/>
              <w:rPr>
                <w:b/>
                <w:bCs/>
                <w:sz w:val="20"/>
                <w:szCs w:val="20"/>
              </w:rPr>
            </w:pPr>
            <w:r>
              <w:rPr>
                <w:b/>
                <w:bCs/>
                <w:sz w:val="20"/>
                <w:szCs w:val="20"/>
              </w:rPr>
              <w:t>Use case</w:t>
            </w:r>
          </w:p>
        </w:tc>
        <w:tc>
          <w:tcPr>
            <w:tcW w:w="3827" w:type="dxa"/>
            <w:tcBorders>
              <w:top w:val="single" w:sz="7" w:space="0" w:color="000000"/>
              <w:left w:val="nil"/>
              <w:bottom w:val="single" w:sz="7" w:space="0" w:color="000000"/>
              <w:right w:val="nil"/>
            </w:tcBorders>
            <w:tcMar>
              <w:top w:w="0" w:type="dxa"/>
              <w:left w:w="100" w:type="dxa"/>
              <w:bottom w:w="0" w:type="dxa"/>
              <w:right w:w="100" w:type="dxa"/>
            </w:tcMar>
          </w:tcPr>
          <w:p w14:paraId="711ADE19" w14:textId="77777777" w:rsidR="00334419" w:rsidRDefault="00334419" w:rsidP="007A1110">
            <w:pPr>
              <w:spacing w:line="360" w:lineRule="auto"/>
              <w:ind w:firstLine="0"/>
              <w:rPr>
                <w:b/>
                <w:bCs/>
                <w:sz w:val="20"/>
                <w:szCs w:val="20"/>
              </w:rPr>
            </w:pPr>
            <w:r>
              <w:rPr>
                <w:b/>
                <w:bCs/>
                <w:sz w:val="20"/>
                <w:szCs w:val="20"/>
              </w:rPr>
              <w:t>Where it created value</w:t>
            </w:r>
          </w:p>
        </w:tc>
        <w:tc>
          <w:tcPr>
            <w:tcW w:w="4111" w:type="dxa"/>
            <w:tcBorders>
              <w:top w:val="single" w:sz="7" w:space="0" w:color="000000"/>
              <w:left w:val="nil"/>
              <w:bottom w:val="single" w:sz="7" w:space="0" w:color="000000"/>
              <w:right w:val="nil"/>
            </w:tcBorders>
            <w:tcMar>
              <w:top w:w="0" w:type="dxa"/>
              <w:left w:w="100" w:type="dxa"/>
              <w:bottom w:w="0" w:type="dxa"/>
              <w:right w:w="100" w:type="dxa"/>
            </w:tcMar>
          </w:tcPr>
          <w:p w14:paraId="2EC75ADF" w14:textId="305E77F3" w:rsidR="00334419" w:rsidRDefault="00334419" w:rsidP="007A1110">
            <w:pPr>
              <w:spacing w:line="360" w:lineRule="auto"/>
              <w:ind w:firstLine="0"/>
              <w:rPr>
                <w:b/>
                <w:bCs/>
                <w:sz w:val="20"/>
                <w:szCs w:val="20"/>
              </w:rPr>
            </w:pPr>
            <w:r>
              <w:rPr>
                <w:b/>
                <w:bCs/>
                <w:sz w:val="20"/>
                <w:szCs w:val="20"/>
              </w:rPr>
              <w:t>Where it fell short</w:t>
            </w:r>
          </w:p>
        </w:tc>
      </w:tr>
      <w:tr w:rsidR="00334419" w14:paraId="4C8A1F15"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23EEB1D8" w14:textId="77777777" w:rsidR="00334419" w:rsidRDefault="00334419" w:rsidP="007A1110">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17296E02" w14:textId="1DB09FB4" w:rsidR="00334419" w:rsidRDefault="00334419" w:rsidP="007A1110">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2B6E0198" w14:textId="214CFF90" w:rsidR="00334419" w:rsidRDefault="00334419" w:rsidP="007A1110">
            <w:pPr>
              <w:spacing w:line="360" w:lineRule="auto"/>
              <w:ind w:firstLine="0"/>
              <w:rPr>
                <w:sz w:val="20"/>
                <w:szCs w:val="20"/>
              </w:rPr>
            </w:pPr>
            <w:r>
              <w:rPr>
                <w:sz w:val="20"/>
                <w:szCs w:val="20"/>
              </w:rPr>
              <w:t>The lack of integration or presence of data infrastructure yielded the need for manual workarounds (Interviewee 3)</w:t>
            </w:r>
          </w:p>
        </w:tc>
      </w:tr>
      <w:tr w:rsidR="00334419" w14:paraId="583E2EFC"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69D7496F" w14:textId="77777777" w:rsidR="00334419" w:rsidRDefault="00334419" w:rsidP="007A1110">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03291B3E" w14:textId="4A8AFAA5" w:rsidR="00334419" w:rsidRDefault="00334419" w:rsidP="007A1110">
            <w:pPr>
              <w:spacing w:line="360" w:lineRule="auto"/>
              <w:ind w:firstLine="0"/>
              <w:rPr>
                <w:sz w:val="20"/>
                <w:szCs w:val="20"/>
              </w:rPr>
            </w:pPr>
            <w:r>
              <w:rPr>
                <w:sz w:val="20"/>
                <w:szCs w:val="20"/>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5B06CCEC" w14:textId="02B050FD" w:rsidR="00334419" w:rsidRDefault="00334419" w:rsidP="007A1110">
            <w:pPr>
              <w:spacing w:line="360" w:lineRule="auto"/>
              <w:ind w:firstLine="0"/>
              <w:rPr>
                <w:sz w:val="20"/>
                <w:szCs w:val="20"/>
              </w:rPr>
            </w:pPr>
            <w:r>
              <w:rPr>
                <w:sz w:val="20"/>
                <w:szCs w:val="20"/>
              </w:rPr>
              <w:t>Negative effect on brand due to missing quality validation and brand governance (Interviewee 15)</w:t>
            </w:r>
          </w:p>
        </w:tc>
      </w:tr>
      <w:tr w:rsidR="00334419" w14:paraId="72548DC2" w14:textId="77777777" w:rsidTr="0095250B">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649D64B1" w14:textId="77777777" w:rsidR="00334419" w:rsidRDefault="00334419" w:rsidP="007A1110">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052CD0C4" w14:textId="77777777" w:rsidR="00334419" w:rsidRDefault="00334419" w:rsidP="007A1110">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2351A959" w14:textId="3F6EB1BA" w:rsidR="00334419" w:rsidRDefault="00334419" w:rsidP="007A1110">
            <w:pPr>
              <w:spacing w:line="360" w:lineRule="auto"/>
              <w:ind w:firstLine="0"/>
              <w:rPr>
                <w:sz w:val="20"/>
                <w:szCs w:val="20"/>
              </w:rPr>
            </w:pPr>
            <w:r>
              <w:rPr>
                <w:sz w:val="20"/>
                <w:szCs w:val="20"/>
              </w:rPr>
              <w:t>Early or experimental deployments; withheld in a regulated sector (Interviewee 15)</w:t>
            </w:r>
          </w:p>
        </w:tc>
      </w:tr>
    </w:tbl>
    <w:p w14:paraId="30CF3B0C" w14:textId="68B5504E" w:rsidR="00175508" w:rsidRDefault="00175508" w:rsidP="00175508">
      <w:r>
        <w:rPr>
          <w:b/>
        </w:rPr>
        <w:t xml:space="preserve">Analytics. </w:t>
      </w:r>
      <w:r>
        <w:t xml:space="preserve">Self-service analytics was the most common use case, yet the experience of it diverged with the data infrastructure behind it. Interviewee 4 reported </w:t>
      </w:r>
      <w:r w:rsidR="007A1110">
        <w:t>highly beneficial</w:t>
      </w:r>
      <w:r>
        <w:t xml:space="preserve"> result</w:t>
      </w:r>
      <w:r w:rsidR="007A1110">
        <w:t>s</w:t>
      </w:r>
      <w:r>
        <w:t xml:space="preserve"> after connecting an agent to live data sources, turning reporting that once occupied a “giant analytics team” into a prompt answered</w:t>
      </w:r>
      <w:r w:rsidR="00334419">
        <w:t>,</w:t>
      </w:r>
      <w:r>
        <w:t xml:space="preserve"> “within ten minutes.” Interviewee 3, pursuing the identical goal, met the opposite experience: her tool “can only digest so much data […] if I try to dump anything over</w:t>
      </w:r>
      <w:r w:rsidR="007A1110">
        <w:t xml:space="preserve"> </w:t>
      </w:r>
      <w:r>
        <w:t>30 [megabytes], it […] doesn’t do it,”</w:t>
      </w:r>
      <w:r w:rsidR="007A1110">
        <w:t xml:space="preserve">. This forces manual workarounds: she notes </w:t>
      </w:r>
      <w:r>
        <w:t>“I pull the data from [the warehouse] myself, dump it in, and then have it analyzed”</w:t>
      </w:r>
      <w:r w:rsidR="007A1110">
        <w:t xml:space="preserve">, this was </w:t>
      </w:r>
      <w:r w:rsidR="00334419">
        <w:t>required</w:t>
      </w:r>
      <w:r>
        <w:t xml:space="preserve"> because the organization’s data layer was, in her words, “not there yet.” The models were equivalent; the connectivity was not.</w:t>
      </w:r>
    </w:p>
    <w:p w14:paraId="71075AD1" w14:textId="4234069A" w:rsidR="00754B18" w:rsidRDefault="00175508" w:rsidP="00175508">
      <w:r>
        <w:rPr>
          <w:b/>
        </w:rPr>
        <w:t xml:space="preserve">Content generation. </w:t>
      </w:r>
      <w:r>
        <w:t xml:space="preserve">The same divergence appeared within a single organization. Interviewee 11 automated “about </w:t>
      </w:r>
      <w:r w:rsidR="00754B18">
        <w:t xml:space="preserve">a </w:t>
      </w:r>
      <w:r>
        <w:t>thousand web pages fully automated” for one client and judged it a success</w:t>
      </w:r>
      <w:r w:rsidR="00754B18">
        <w:t>,</w:t>
      </w:r>
      <w:r>
        <w:t xml:space="preserve"> “in that use case, it worked. Because it was very standardized.” Confronted with creative, brand-led work, the same operator using the same tools reached the opposite verdict: “once you have to have more creativity in the output and also if it needs to be on brand […] AI still falls very</w:t>
      </w:r>
      <w:r w:rsidR="00754B18">
        <w:t>,</w:t>
      </w:r>
      <w:r>
        <w:t xml:space="preserve"> very short.” </w:t>
      </w:r>
    </w:p>
    <w:p w14:paraId="1E7AB9BF" w14:textId="0C209045" w:rsidR="001B5FA5" w:rsidRDefault="001224F7" w:rsidP="00A227E8">
      <w:r w:rsidRPr="001224F7">
        <w:rPr>
          <w:b/>
          <w:bCs/>
        </w:rPr>
        <w:t>Customer-facing agents.</w:t>
      </w:r>
      <w:r>
        <w:t xml:space="preserve"> </w:t>
      </w:r>
      <w:r>
        <w:t xml:space="preserve">The same divergence separated two consumer-facing deployments at very different stages of maturity. Interviewee 6 ran a live agentic chatbot for </w:t>
      </w:r>
      <w:r>
        <w:lastRenderedPageBreak/>
        <w:t>members that combined service with commercial outcomes</w:t>
      </w:r>
      <w:r w:rsidR="001B5FA5">
        <w:t>;</w:t>
      </w:r>
      <w:r>
        <w:t xml:space="preserve"> the same agent that resolves a membership question can identify and execute an upgrade</w:t>
      </w:r>
      <w:r w:rsidR="001B5FA5">
        <w:t>. Interviewee 6 attributed a roughly tenfold return to it.</w:t>
      </w:r>
      <w:r>
        <w:t xml:space="preserve"> Interviewee 15, pursuing the same broad use case, had built a connector that lets customers’ own assistants transact with her </w:t>
      </w:r>
      <w:r w:rsidR="001B5FA5">
        <w:t>webshop; however, her value has not yet resulted in benefits beyond learning and perception;</w:t>
      </w:r>
      <w:r>
        <w:t xml:space="preserve"> “the value there now is actually the experimenting and staying ahead of that wave.” Interviewee 6 </w:t>
      </w:r>
      <w:r w:rsidR="001B5FA5">
        <w:t xml:space="preserve">was able to scale rapidly because she could expand upon existing </w:t>
      </w:r>
      <w:r>
        <w:t>pre-LLM chatbot</w:t>
      </w:r>
      <w:r w:rsidR="001B5FA5">
        <w:t xml:space="preserve"> and because she had</w:t>
      </w:r>
      <w:r>
        <w:t xml:space="preserve"> “full trust from my board,” </w:t>
      </w:r>
      <w:r w:rsidR="001B5FA5">
        <w:t>because</w:t>
      </w:r>
      <w:r>
        <w:t xml:space="preserve"> “it was really because we had commercial success first</w:t>
      </w:r>
    </w:p>
    <w:p w14:paraId="1024D767" w14:textId="661C994C" w:rsidR="00A227E8" w:rsidRDefault="00175508" w:rsidP="00A227E8">
      <w:commentRangeStart w:id="191"/>
      <w:r>
        <w:t xml:space="preserve">Read together, these </w:t>
      </w:r>
      <w:r w:rsidR="001B5FA5">
        <w:t xml:space="preserve">points indicate </w:t>
      </w:r>
      <w:r>
        <w:t>value creation with agentic AI is highly dependent on internal conditions</w:t>
      </w:r>
      <w:r w:rsidR="00A227E8">
        <w:t>, managerial behaviors,</w:t>
      </w:r>
      <w:r>
        <w:t xml:space="preserve"> and the configuration in which the technology is applied, rather than </w:t>
      </w:r>
      <w:r w:rsidR="00A227E8">
        <w:t>only</w:t>
      </w:r>
      <w:r>
        <w:t xml:space="preserve"> which technology is adopted. Interviewee 9</w:t>
      </w:r>
      <w:r w:rsidR="003E2895">
        <w:t xml:space="preserve"> stated</w:t>
      </w:r>
      <w:r>
        <w:t xml:space="preserve"> </w:t>
      </w:r>
      <w:r w:rsidR="00A227E8">
        <w:t>that agentic AI</w:t>
      </w:r>
      <w:r>
        <w:t xml:space="preserve"> succeeds only as “a whole operational model,” “like a pie” in which “you have to have all these pieces in order for it to be successful</w:t>
      </w:r>
      <w:r w:rsidR="00454B20">
        <w:t>.</w:t>
      </w:r>
      <w:r>
        <w:t>”</w:t>
      </w:r>
      <w:commentRangeEnd w:id="191"/>
      <w:r w:rsidR="006510E8">
        <w:rPr>
          <w:rStyle w:val="CommentReference"/>
          <w:sz w:val="22"/>
          <w:szCs w:val="22"/>
        </w:rPr>
        <w:commentReference w:id="191"/>
      </w:r>
    </w:p>
    <w:p w14:paraId="181BD607" w14:textId="0BA33B41" w:rsidR="00401741" w:rsidRPr="00864F3E" w:rsidRDefault="00000000" w:rsidP="00A227E8">
      <w:pPr>
        <w:pStyle w:val="Heading2"/>
      </w:pPr>
      <w:commentRangeStart w:id="192"/>
      <w:r>
        <w:t xml:space="preserve">4.5 </w:t>
      </w:r>
      <w:r>
        <w:tab/>
        <w:t>Paradoxes</w:t>
      </w:r>
      <w:commentRangeEnd w:id="192"/>
      <w:r w:rsidRPr="00864F3E">
        <w:rPr>
          <w:rStyle w:val="CommentReference"/>
          <w:sz w:val="22"/>
          <w:szCs w:val="22"/>
        </w:rPr>
        <w:commentReference w:id="192"/>
      </w:r>
    </w:p>
    <w:p w14:paraId="1386AE12" w14:textId="77777777" w:rsidR="0003407A" w:rsidRDefault="00AB584C" w:rsidP="0003407A">
      <w:pPr>
        <w:rPr>
          <w:color w:val="00312A"/>
        </w:rPr>
      </w:pPr>
      <w:r>
        <w:t xml:space="preserve">Running through the data, we also observe some patterns that seem paradoxical. For instance, the cause of the problem might also be its solution. These paradoxes are not logical contradictions to be resolved; rather they show both sides of the tension and often show how downsides or risks might be navigated. </w:t>
      </w:r>
    </w:p>
    <w:p w14:paraId="6DC19FA3" w14:textId="262FD18C" w:rsidR="00401741" w:rsidRDefault="00000000" w:rsidP="0003407A">
      <w:pPr>
        <w:pStyle w:val="Heading3"/>
      </w:pPr>
      <w:r>
        <w:t>4.5.1</w:t>
      </w:r>
      <w:r>
        <w:tab/>
        <w:t>Branding Paradox</w:t>
      </w:r>
    </w:p>
    <w:p w14:paraId="446DB9CE" w14:textId="405339A9" w:rsidR="00864F3E" w:rsidRDefault="00864F3E">
      <w:r>
        <w:t xml:space="preserve">In section 4.4.3 we described </w:t>
      </w:r>
      <w:r>
        <w:rPr>
          <w:i/>
          <w:iCs/>
        </w:rPr>
        <w:t>brand risk</w:t>
      </w:r>
      <w:r>
        <w:t xml:space="preserve"> and observed that it is often seen as a key concern of deploying agents. </w:t>
      </w:r>
      <w:bookmarkStart w:id="193" w:name="OLE_LINK7"/>
      <w:r>
        <w:t xml:space="preserve">Yet organizations (sometimes the very same)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1B205435" w14:textId="367B3A73" w:rsidR="00864F3E" w:rsidRDefault="00864F3E">
      <w:r>
        <w:lastRenderedPageBreak/>
        <w:t>His case provides a good analysis of this paradox; in addition to AI, humans can also create content that is not brand-aligned. Interviewee 16 thinks AI might already outperform humans and decided to measure the difference:</w:t>
      </w:r>
    </w:p>
    <w:p w14:paraId="7F5CEE66" w14:textId="26EFA0CA" w:rsidR="00850F75" w:rsidRDefault="00850F75" w:rsidP="00850F7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6326C1BE" w14:textId="77777777" w:rsidR="00850F75" w:rsidRDefault="00850F75" w:rsidP="00850F75">
      <w:pPr>
        <w:rPr>
          <w:color w:val="00312A"/>
        </w:rPr>
      </w:pPr>
      <w:r>
        <w:t xml:space="preserve">The examples seem to indicate that brand risk is not a question about whether you are using AI, but rather how you are using AI. </w:t>
      </w:r>
      <w:commentRangeStart w:id="194"/>
      <w:r>
        <w:t xml:space="preserve">Furthermore, the organizations most exposed to AI-driven brand risk are therefore also the ones with the strongest incentive to invest in AI-driven brand control. </w:t>
      </w:r>
      <w:bookmarkEnd w:id="193"/>
      <w:commentRangeEnd w:id="194"/>
      <w:r>
        <w:rPr>
          <w:rStyle w:val="CommentReference"/>
          <w:color w:val="00312A"/>
          <w:sz w:val="22"/>
          <w:szCs w:val="22"/>
        </w:rPr>
        <w:commentReference w:id="194"/>
      </w:r>
    </w:p>
    <w:p w14:paraId="4011F4FE" w14:textId="0942CFB3" w:rsidR="00401741" w:rsidRPr="00F2696B" w:rsidRDefault="00000000" w:rsidP="00850F75">
      <w:pPr>
        <w:pStyle w:val="Heading3"/>
      </w:pPr>
      <w:r>
        <w:t>4.5.2</w:t>
      </w:r>
      <w:r>
        <w:tab/>
        <w:t>Hallucinating Paradox</w:t>
      </w:r>
    </w:p>
    <w:p w14:paraId="066EC2B0" w14:textId="71705727" w:rsidR="00CD79F9" w:rsidRPr="00F2696B" w:rsidRDefault="00850F75">
      <w:r>
        <w:t>Hallucination (see section 4.4.3) occupies an ambiguous position when held against the accuracy of the human processes it replaces. Human analysts exhibit their own forms of ‘hallucination’: including confirmation bias, but also honest mistakes. Interviewee 3 noted that “Sometimes in analysis, people find data points to prove their point versus being objective about what the data is saying to you.”</w:t>
      </w:r>
    </w:p>
    <w:p w14:paraId="15FDDC43" w14:textId="270D24D3" w:rsidR="00F2696B" w:rsidRPr="00F2696B" w:rsidRDefault="00000000">
      <w:r>
        <w:t xml:space="preserve"> Interviewee 13 relates the performance of AI agents to a mediocre employee:</w:t>
      </w:r>
    </w:p>
    <w:p w14:paraId="43EEA40B" w14:textId="5DACAF5E" w:rsidR="00F2696B" w:rsidRPr="00F2696B" w:rsidRDefault="00F2696B" w:rsidP="00F2696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61B8520" w14:textId="4665A16D" w:rsidR="00401741" w:rsidRPr="00F2696B" w:rsidRDefault="00000000">
      <w:r>
        <w:lastRenderedPageBreak/>
        <w:t>characterization of agentic AI as equivalent to “a mediocre analyst that you still have to sense check” implies a standard where some level of error is accepted as normal and managed through review — the same standard already applied to human junior analysts.</w:t>
      </w:r>
    </w:p>
    <w:p w14:paraId="49FC1241" w14:textId="77777777" w:rsidR="00F2696B" w:rsidRPr="00F2696B" w:rsidRDefault="00F2696B" w:rsidP="00F2696B">
      <w:commentRangeStart w:id="195"/>
      <w:r>
        <w:t xml:space="preserve">Two implications can be observed in this tension: First, humans make mistakes too, so accepting some level of hallucination lower than the human baseline would result in an improvement. Second, risk is connected to the ability to evaluate the output. When a hallucination does not go unchecked, the impact is limited. </w:t>
      </w:r>
      <w:commentRangeEnd w:id="195"/>
      <w:r w:rsidRPr="00F2696B">
        <w:rPr>
          <w:rStyle w:val="CommentReference"/>
          <w:sz w:val="22"/>
          <w:szCs w:val="22"/>
        </w:rPr>
        <w:commentReference w:id="195"/>
      </w:r>
    </w:p>
    <w:p w14:paraId="0179C277" w14:textId="62FAC8F4" w:rsidR="00401741" w:rsidRDefault="00000000" w:rsidP="00F2696B">
      <w:pPr>
        <w:pStyle w:val="Heading3"/>
      </w:pPr>
      <w:r>
        <w:t>4.5.3</w:t>
      </w:r>
      <w:r>
        <w:tab/>
        <w:t>Implementation Paradox</w:t>
      </w:r>
    </w:p>
    <w:p w14:paraId="75C25B3E" w14:textId="250ECFC6" w:rsidR="00F2696B" w:rsidRPr="001C595F" w:rsidRDefault="00000000" w:rsidP="00F2696B">
      <w:r>
        <w: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t>
      </w:r>
    </w:p>
    <w:p w14:paraId="63A33F75" w14:textId="50A392F6" w:rsidR="00F2696B" w:rsidRPr="001C595F" w:rsidRDefault="00000000" w:rsidP="00F2696B">
      <w:r>
        <w:t xml:space="preserve">Yet lacking technical resources is a significant obstacle to deploying agentic AI at the organizational level (see section 4.2.3). There seems to be an unspoken barrier between personal effectiveness and organizational effectiveness when it comes to agentic AI. </w:t>
      </w:r>
    </w:p>
    <w:p w14:paraId="48F4E369" w14:textId="6E196A76" w:rsidR="00401741" w:rsidRPr="001C595F" w:rsidRDefault="001C595F">
      <w:r>
        <w: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t>
      </w:r>
    </w:p>
    <w:p w14:paraId="75C4FEAB" w14:textId="1AA1CE57" w:rsidR="00401741" w:rsidRPr="00BD693C" w:rsidRDefault="006C140F">
      <w:r>
        <w:t>However, none of the interviewees signaled they distrust regarding the value of agentic AI; interviewee 11 advises on this topic, “The big thing is hype. So AI is being overpromised all the time. And we have to reduce expectations.”</w:t>
      </w:r>
    </w:p>
    <w:p w14:paraId="689A6F5F" w14:textId="1AF82919" w:rsidR="00401741" w:rsidRPr="00BD693C" w:rsidRDefault="00000000">
      <w:pPr>
        <w:pStyle w:val="Heading3"/>
        <w:rPr>
          <w:b/>
          <w:bCs/>
        </w:rPr>
      </w:pPr>
      <w:r>
        <w:lastRenderedPageBreak/>
        <w:t>4.5.4</w:t>
      </w:r>
      <w:r>
        <w:tab/>
        <w:t>The junior paradox</w:t>
      </w:r>
    </w:p>
    <w:p w14:paraId="6101CBDA" w14:textId="79BE358A" w:rsidR="00BD693C" w:rsidRPr="00BD693C" w:rsidRDefault="00BD693C" w:rsidP="00BD693C">
      <w:r>
        <w:t>Agentic AI is widely expected to compress demand for entry-level roles: one experienced professional supported by an AI stack can produce what once required a small team of employees.  Interviewee 10 described the same mechanism:</w:t>
      </w:r>
    </w:p>
    <w:p w14:paraId="310CA2E1" w14:textId="0DA55F04" w:rsidR="00BD693C" w:rsidRPr="00BD693C" w:rsidRDefault="00BD693C" w:rsidP="00BD693C">
      <w:pPr>
        <w:pStyle w:val="Quote"/>
      </w:pPr>
      <w:r>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19CC9B94" w14:textId="4E218DD4" w:rsidR="00BD693C" w:rsidRPr="00BD693C" w:rsidRDefault="00BD693C" w:rsidP="00BD693C">
      <w:pPr>
        <w:rPr>
          <w:lang w:val="en-US"/>
        </w:rPr>
      </w:pPr>
      <w:r>
        <w:t xml:space="preserve">However, at the same time, juniors seem to be better at using AI. </w:t>
      </w:r>
      <w:r>
        <w:rPr>
          <w:lang w:val="en-US"/>
        </w:rPr>
        <w:t> Interviewee 6 observed, “younger people being way more on top of it than older people.” Interviewee 7 framed this as an inversion of the traditional seniority hierarchy:</w:t>
      </w:r>
    </w:p>
    <w:p w14:paraId="16A7F696" w14:textId="6BBA3B06" w:rsidR="00BD693C" w:rsidRPr="00BD693C" w:rsidRDefault="00BD693C" w:rsidP="00BD693C">
      <w:pPr>
        <w:pStyle w:val="Quote"/>
        <w:rPr>
          <w:lang w:val="en-US"/>
        </w:rPr>
      </w:pPr>
      <w:r>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56B8081E" w14:textId="5FF20B82" w:rsidR="00BD693C" w:rsidRPr="00BD693C" w:rsidRDefault="007E1665" w:rsidP="00BD693C">
      <w:pPr>
        <w:rPr>
          <w:b/>
          <w:bCs/>
        </w:rPr>
      </w:pPr>
      <w:r>
        <w:t>The data did not provide a compelling resolution to this paradox.</w:t>
      </w:r>
    </w:p>
    <w:p w14:paraId="6061FEC8" w14:textId="173E93C7" w:rsidR="00401741" w:rsidRDefault="00000000" w:rsidP="00BD693C">
      <w:pPr>
        <w:pStyle w:val="Heading1"/>
        <w:rPr>
          <w:color w:val="00312A"/>
        </w:rPr>
      </w:pPr>
      <w:r>
        <w:rPr>
          <w:color w:val="00312A"/>
        </w:rPr>
        <w:t>5.</w:t>
      </w:r>
      <w:r>
        <w:rPr>
          <w:color w:val="00312A"/>
        </w:rPr>
        <w:tab/>
        <w:t>Discussion</w:t>
      </w:r>
    </w:p>
    <w:p w14:paraId="1FA2B7CF" w14:textId="4B88652A" w:rsidR="00396F15" w:rsidRDefault="00000000">
      <w:pPr>
        <w:rPr>
          <w:color w:val="00312A"/>
        </w:rPr>
      </w:pPr>
      <w:r>
        <w:rPr>
          <w:color w:val="00312A"/>
        </w:rPr>
        <w:t xml:space="preserve">This study set out to understand how marketing managers create value with agentic AI. Chapter 4 analyzes the lived experience of marketing managers and those who help them implement their AI strategy, </w:t>
      </w:r>
      <w:ins w:id="277" w:author="Claude" w:date="2026-06-07T14:00:00Z">
        <w:r>
          <w:t xml:space="preserve">reconstructing how that value is created in practice.</w:t>
        </w:r>
      </w:ins>
      <w:del w:id="278" w:author="Claude" w:date="2026-06-07T14:00:00Z">
        <w:r>
          <w:rPr>
            <w:color w:val="00312A"/>
          </w:rPr>
          <w:delText xml:space="preserve">and shows how marketing managers can create value using agentic AI.</w:delText>
        </w:r>
      </w:del>
    </w:p>
    <w:p w14:paraId="1AAF66B8" w14:textId="7BC1FEA1" w:rsidR="00CE71D1" w:rsidRDefault="006A47C9" w:rsidP="006A47C9">
      <w:pPr>
        <w:rPr>
          <w:color w:val="00312A"/>
        </w:rPr>
      </w:pPr>
      <w:r>
        <w:rPr>
          <w:color w:val="00312A"/>
        </w:rPr>
        <w:t xml:space="preserve"> </w:t>
      </w:r>
      <w:bookmarkStart w:id="196" w:name="OLE_LINK2"/>
      <w:r>
        <w:rPr>
          <w:color w:val="00312A"/>
        </w:rPr>
        <w:t xml:space="preserve">Similar use cases, like creating a content generation pipeline, an analytics agent, or customer service assistance, were reported to </w:t>
      </w:r>
      <w:ins w:id="279" w:author="Claude" w:date="2026-06-07T14:00:00Z">
        <w:r>
          <w:t xml:space="preserve">produce different outcomes across organizations (Section 4.4.4; Table 4).</w:t>
        </w:r>
      </w:ins>
      <w:del w:id="280" w:author="Claude" w:date="2026-06-07T14:00:00Z">
        <w:r>
          <w:rPr>
            <w:color w:val="00312A"/>
          </w:rPr>
          <w:delText xml:space="preserve">produce different outcomes across organizations.</w:delText>
        </w:r>
      </w:del>
      <w:r>
        <w:rPr>
          <w:color w:val="00312A"/>
        </w:rPr>
        <w:t xml:space="preserve"> </w:t>
      </w:r>
      <w:r>
        <w:t xml:space="preserve">That variance was attributed to organizational conditions, managerial behavior, </w:t>
      </w:r>
      <w:ins w:id="281" w:author="Claude" w:date="2026-06-07T14:00:00Z">
        <w:r>
          <w:t xml:space="preserve">and the configuration in which the technology was applied</w:t>
        </w:r>
      </w:ins>
      <w:del w:id="282" w:author="Claude" w:date="2026-06-07T14:00:00Z">
        <w:r>
          <w:delText xml:space="preserve">and, where </w:delText>
        </w:r>
      </w:del>
      <w:del w:id="283" w:author="Claude" w:date="2026-06-07T14:00:00Z">
        <w:r>
          <w:delText xml:space="preserve">participants could articulate it, the configuration (the “harness”) in which the technology was applied</w:delText>
        </w:r>
      </w:del>
      <w:r>
        <w:t xml:space="preserve">, rather than to the underlying model. </w:t>
      </w:r>
    </w:p>
    <w:bookmarkEnd w:id="196"/>
    <w:p w14:paraId="2A783904" w14:textId="248B9A69" w:rsidR="00401741" w:rsidRDefault="00000000" w:rsidP="006A47C9">
      <w:pPr>
        <w:rPr>
          <w:i/>
          <w:iCs/>
          <w:color w:val="00312A"/>
        </w:rPr>
      </w:pPr>
      <w:r>
        <w:rPr>
          <w:color w:val="00312A"/>
        </w:rPr>
        <w:t>This chapter interprets that finding against the literature reviewed in Chapter 2. Section 5.1 develops the theoretical contributions, situating the empirical model within dynamic capabilities, value-creation, and digital-transformation theory; Section 5.2 draws out the practical implications for marketing managers; and Section 5.3 sets out the study’s limitations and the research directions they open.</w:t>
      </w:r>
    </w:p>
    <w:p w14:paraId="613019AE" w14:textId="77777777" w:rsidR="00401741" w:rsidRDefault="00000000">
      <w:pPr>
        <w:pStyle w:val="Heading2"/>
        <w:rPr>
          <w:color w:val="00312A"/>
        </w:rPr>
      </w:pPr>
      <w:bookmarkStart w:id="197" w:name="_7rbdabewznnc" w:colFirst="0" w:colLast="0"/>
      <w:bookmarkEnd w:id="197"/>
      <w:r>
        <w:rPr>
          <w:color w:val="00312A"/>
        </w:rPr>
        <w:t>5.1</w:t>
      </w:r>
      <w:r>
        <w:rPr>
          <w:color w:val="00312A"/>
        </w:rPr>
        <w:tab/>
        <w:t>Contributions to Theory</w:t>
      </w:r>
    </w:p>
    <w:p w14:paraId="7CCE79E1" w14:textId="7D519470" w:rsidR="006E2577" w:rsidRDefault="00000000">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 (AI progression, market pressure, and supplier communication); the organizational conditions that enable or constrain action; </w:t>
      </w:r>
      <w:r>
        <w:rPr>
          <w:i/>
          <w:iCs/>
          <w:color w:val="00312A"/>
        </w:rPr>
        <w:t>steering</w:t>
      </w:r>
      <w:r>
        <w:rPr>
          <w:color w:val="00312A"/>
        </w:rPr>
        <w:t xml:space="preserve"> the organization through three managerial responses —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strategies; and the value outcomes that result, understood as a portfolio of benefits, sacrifices, and risks. Running through the chain is a set of paradoxes in which the technology that generates a problem also supplies the means to manage it. The model is offered as an interpretive account of how value is constructed; its contribution lies in locating </w:t>
      </w:r>
      <w:r>
        <w:t>the determinants of value in the organization’s internal conditions and the configuration in which the technology is applied rather than in the technology itself</w:t>
      </w:r>
      <w:del w:id="198" w:author="Claude" w:date="2026-06-07T12:00:00Z">
        <w:r>
          <w:rPr>
            <w:color w:val="00312A"/>
          </w:rPr>
          <w:delText>the determinants of value inside the organization rather than in the technology itself</w:delText>
        </w:r>
      </w:del>
      <w:r>
        <w:rPr>
          <w:color w:val="00312A"/>
        </w:rPr>
        <w:t>.</w:t>
      </w:r>
    </w:p>
    <w:p w14:paraId="1826AD9E" w14:textId="77777777" w:rsidR="006E2577" w:rsidRDefault="00000000">
      <w:pPr>
        <w:rPr>
          <w:color w:val="00312A"/>
        </w:rPr>
      </w:pPr>
      <w:r>
        <w:rPr>
          <w:b/>
          <w:bCs/>
          <w:color w:val="00312A"/>
        </w:rPr>
        <w:t xml:space="preserve">Extending dynamic capabilities to agentic AI in marketing. </w:t>
      </w:r>
      <w:r>
        <w:rPr>
          <w:color w:val="00312A"/>
        </w:rPr>
        <w:t xml:space="preserve">The model extends dynamic capabilities theory (Teece et al., 1997) into the specific context of agentic AI in marketing. The observing category corresponds closely to digital sensing (Ellström et al., 2021; Warner &amp; Wäger, 2019), and steering and applying together perform the seizing and reconfiguring functions through which firms renew their resource base. The study’s distinctive contribution, however, is to show where the binding constraint actually sits. Sensing was not the </w:t>
      </w:r>
      <w:r>
        <w:rPr>
          <w:color w:val="00312A"/>
        </w:rPr>
        <w:t xml:space="preserve">scarce capability: participants across roles and organizations observed the same hockey-stick progression (Section 4.1.1), the same competitive and consumer-driven market pressure (Section 4.1.2), and the same vendor roadmaps (Section 4.1.3). What separated organizations was the internal work of reconfiguration — building literacy, freeing data, </w:t>
      </w:r>
      <w:ins w:id="284" w:author="Claude" w:date="2026-06-07T14:00:00Z">
        <w:r>
          <w:t xml:space="preserve">providing clarity, and protecting experimentation; the divergent outcomes for comparable use cases make this difference visible (Section 4.4.4; Table 4). This relocates the locus</w:t>
        </w:r>
      </w:ins>
      <w:del w:id="285" w:author="Claude" w:date="2026-06-07T14:00:00Z">
        <w:r>
          <w:rPr>
            <w:color w:val="00312A"/>
          </w:rPr>
          <w:delText xml:space="preserve">providing clarity, and protecting experimentation. This relocates the locus</w:delText>
        </w:r>
      </w:del>
      <w:r>
        <w:rPr>
          <w:color w:val="00312A"/>
        </w:rPr>
        <w:t xml:space="preserve"> of differentiation from opportunity recognition to organizational follow-through, and it gives empirical specificity, in the agentic-AI setting, to the long-standing argument that the value of a digital technology is mediated by complementary assets rather than realized automatically (Ancillai et al., 2023; Enholm et al., 2022; Holmström, 2022).</w:t>
      </w:r>
    </w:p>
    <w:p w14:paraId="1EDF4A10" w14:textId="77777777" w:rsidR="006E2577" w:rsidRDefault="00000000">
      <w:pPr>
        <w:rPr>
          <w:color w:val="00312A"/>
        </w:rPr>
      </w:pPr>
      <w:r>
        <w:rPr>
          <w:b/>
          <w:bCs/>
          <w:color w:val="00312A"/>
        </w:rPr>
        <w:t xml:space="preserve">Value as configuration-in-use rather than capability. </w:t>
      </w:r>
      <w:commentRangeStart w:id="199"/>
      <w:r>
        <w:rPr>
          <w:color w:val="00312A"/>
        </w:rPr>
        <w:t xml:space="preserve">A second contribution concerns where value resides. The dominant framing in the AI-in-marketing literature treats value as a property of a capability or a tool. The present findings suggest instead that value with agentic AI is emergent from configuration-in-use: </w:t>
      </w:r>
      <w:ins w:id="286" w:author="Claude" w:date="2026-06-07T14:00:00Z">
        <w:r>
          <w:t xml:space="preserve">it is produced not by the model but by the wider configuration in which the model is embedded — the organizational conditions and processes around it, together with the agent’s own harness: the data it can reach, its memory, the tools it can call, the guardrails, the prompt, and the choice of model (Sections 4.3.2 and 4.4.4). The harness was the component that participants who could articulate the mechanism named most directly. Because outcomes for nominally identical use cases diverged with this configuration (Table 4), value cannot be read off the technology;</w:t>
        </w:r>
      </w:ins>
      <w:del w:id="287" w:author="Claude" w:date="2026-06-07T14:00:00Z">
        <w:r>
          <w:rPr>
            <w:color w:val="00312A"/>
          </w:rPr>
          <w:delText xml:space="preserve">it is produced by the complete </w:delText>
        </w:r>
      </w:del>
      <w:del w:id="288" w:author="Claude" w:date="2026-06-07T14:00:00Z">
        <w:r>
          <w:rPr>
            <w:i/>
            <w:iCs/>
            <w:color w:val="00312A"/>
          </w:rPr>
          <w:delText xml:space="preserve">harness</w:delText>
        </w:r>
      </w:del>
      <w:del w:id="289" w:author="Claude" w:date="2026-06-07T14:00:00Z">
        <w:r>
          <w:rPr>
            <w:color w:val="00312A"/>
          </w:rPr>
          <w:delText xml:space="preserve"> around the model — the data it can reach, its memory, the tools it can call, the guardrails, the prompt, and the choice of model (Sections 4.3.2 and 4.4).</w:delText>
        </w:r>
      </w:del>
      <w:commentRangeEnd w:id="199"/>
      <w:r>
        <w:rPr>
          <w:rStyle w:val="CommentReference"/>
          <w:color w:val="00312A"/>
          <w:sz w:val="22"/>
          <w:szCs w:val="22"/>
        </w:rPr>
        <w:commentReference w:id="199"/>
      </w:r>
      <w:del w:id="290" w:author="Claude" w:date="2026-06-07T14:00:00Z">
        <w:r>
          <w:rPr>
            <w:color w:val="00312A"/>
          </w:rPr>
          <w:delText xml:space="preserve"> Because outcomes for nominally identical use cases diverged with this configuration, value cannot be read off the technology;</w:delText>
        </w:r>
      </w:del>
      <w:r>
        <w:rPr>
          <w:color w:val="00312A"/>
        </w:rPr>
        <w:t xml:space="preserve"> it is co-produced as organizational resources are integrated with the system in practice. This aligns the findings with value co-creation accounts in which technology actively participates in resource integration rather than serving as a passive instrument (Kaartemo &amp; Helkkula, 2018; Leone et al., 2020), and it extends those accounts by specifying the configurational elements through which an agentic system becomes a value-creating actor. It also reframes the recurring data-readiness problem (Section 4.2.3): accessible data matters not as an end in itself but as one component of a harness whose collective adequacy determines whether value is created.</w:t>
      </w:r>
    </w:p>
    <w:p w14:paraId="7728FC1C" w14:textId="77777777" w:rsidR="006E2577" w:rsidRDefault="00000000">
      <w:pPr>
        <w:rPr>
          <w:color w:val="00312A"/>
        </w:rPr>
      </w:pPr>
      <w:r>
        <w:rPr>
          <w:b/>
          <w:bCs/>
          <w:color w:val="00312A"/>
        </w:rPr>
        <w:t xml:space="preserve">A managerial repertoire and its navigation bias. </w:t>
      </w:r>
      <w:r>
        <w:rPr>
          <w:color w:val="00312A"/>
        </w:rPr>
        <w:t xml:space="preserve">Third, the study identifies a three-part repertoire through which managers act on organizational conditions — reshaping the condition, leveraging a favorable condition, and navigating an unfavorable one as given — and a </w:t>
      </w:r>
      <w:r>
        <w:rPr>
          <w:color w:val="00312A"/>
        </w:rPr>
        <w:lastRenderedPageBreak/>
        <w:t xml:space="preserve">systematic bias in how the repertoire is used. Managers reshaped conditions internal to their own teams (educating, experimenting, bringing people along, providing clarity, and championing) but defaulted to navigating conditions that originated elsewhere in the organization, most clearly restrictive governance and scarce technical resources (Sections 4.2.3–4.2.4); no instance of reshaping the governance regime was observed. This refines the seizing and reconfiguring constructs by specifying their micro-foundations in this setting and by revealing a boundary to managerial agency that the firm-level dynamic-capabilities literature tends to underplay. The pattern resonates with research on resistance to change and AI readiness (Cieslak &amp; Valor, 2024; Li et al., 2023) and with the organizational-capability view of AI adoption (Romeo &amp; Lacko, 2026; Weber et al., 2023), and it foregrounds a micro-foundational actor that this work has largely left implicit: the </w:t>
      </w:r>
      <w:r>
        <w:rPr>
          <w:i/>
          <w:iCs/>
          <w:color w:val="00312A"/>
        </w:rPr>
        <w:t>AI champion</w:t>
      </w:r>
      <w:r>
        <w:rPr>
          <w:color w:val="00312A"/>
        </w:rPr>
        <w:t>, whose combination of technical and business fluency allowed individuals to convert leadership backing into disproportionate organizational change (Section 4.2.2).</w:t>
      </w:r>
    </w:p>
    <w:p w14:paraId="7A5CB621" w14:textId="77777777" w:rsidR="006E2577" w:rsidRDefault="00000000">
      <w:pPr>
        <w:rPr>
          <w:color w:val="00312A"/>
        </w:rPr>
      </w:pPr>
      <w:r>
        <w:rPr>
          <w:b/>
          <w:bCs/>
          <w:color w:val="00312A"/>
        </w:rPr>
        <w:t xml:space="preserve">Value as an entangled portfolio, managed through paradox. </w:t>
      </w:r>
      <w:r>
        <w:rPr>
          <w:color w:val="00312A"/>
        </w:rPr>
        <w:t xml:space="preserve">Fourth, the findings recast the relationship between value creation and value destruction. Rather than treating benefits and harms as opposite ends of a single dimension, participants described value as a portfolio in which benefits (efficiency, scale, skill extension, and quality), sacrifices (cost and job displacement), and risks (hallucination, security and privacy violations, and brand degradation) are produced together (Section 4.4). The paradoxes (Section 4.5) reveal the mechanism by which the negative terms are contained: the same technology that creates a risk is deployed to govern it. Brand-control and tone-of-voice agents police brand risk; evaluator agents and human sense-checking limit the impact of hallucination; and because human work carries its own error and bias, the operative standard is comparative rather than absolute. This contributes to value theory in the AI context by showing that value destruction (Doshi &amp; Hauser, 2024) is not merely a side effect to be avoided but a condition that is actively and recursively managed — increasingly by delegating the oversight of AI to further AI. It follows that the </w:t>
      </w:r>
      <w:r>
        <w:rPr>
          <w:color w:val="00312A"/>
        </w:rPr>
        <w:lastRenderedPageBreak/>
        <w:t>organizations most exposed to AI-driven value destruction also have the strongest incentive, and the readiest means, to invest in AI-driven control.</w:t>
      </w:r>
    </w:p>
    <w:p w14:paraId="51C408D9" w14:textId="77777777" w:rsidR="006E2577" w:rsidRDefault="00000000">
      <w:pPr>
        <w:rPr>
          <w:color w:val="00312A"/>
        </w:rPr>
      </w:pPr>
      <w:r>
        <w:rPr>
          <w:b/>
          <w:bCs/>
          <w:color w:val="00312A"/>
        </w:rPr>
        <w:t xml:space="preserve">The contested category and the optics of being “agentic.” </w:t>
      </w:r>
      <w:r>
        <w:rPr>
          <w:color w:val="00312A"/>
        </w:rPr>
        <w:t>Finally, the instability of the category agentic AI is itself an analytic finding. Participants applied the term across a continuum, extending it to retrieval pipelines, conditional workflows, and well-configured assistants, and one characterized it as having become “almost a marketing term” (Section 4.1.1). Coupled with the optics-versus-reality gap, in which capability is announced before it is operational (Section 4.5.3), this suggests that agentic AI functions in practice as a boundary object performing legitimating and signaling work beyond its technical referent. For theory, this cautions against treating the construct as a stable independent variable and supports a constructivist reading in which what counts as agentic is negotiated in organizational and market discourse — a stance consistent with the grounded-theory commitments of this study (Charmaz, 2006).</w:t>
      </w:r>
    </w:p>
    <w:p w14:paraId="39B5E615" w14:textId="77777777" w:rsidR="00401741" w:rsidRDefault="00000000">
      <w:pPr>
        <w:pStyle w:val="Heading2"/>
        <w:rPr>
          <w:color w:val="00312A"/>
        </w:rPr>
      </w:pPr>
      <w:bookmarkStart w:id="200" w:name="_vqcghgtkedix" w:colFirst="0" w:colLast="0"/>
      <w:bookmarkEnd w:id="200"/>
      <w:r>
        <w:rPr>
          <w:color w:val="00312A"/>
        </w:rPr>
        <w:t>5.2</w:t>
      </w:r>
      <w:r>
        <w:rPr>
          <w:color w:val="00312A"/>
        </w:rPr>
        <w:tab/>
        <w:t>Practical implications</w:t>
      </w:r>
    </w:p>
    <w:p w14:paraId="68944638" w14:textId="77777777" w:rsidR="006E2577" w:rsidRDefault="00000000">
      <w:pPr>
        <w:rPr>
          <w:color w:val="00312A"/>
        </w:rPr>
      </w:pPr>
      <w:r>
        <w:rPr>
          <w:color w:val="00312A"/>
        </w:rPr>
        <w:t xml:space="preserve">Because value creation with agentic AI </w:t>
      </w:r>
      <w:ins w:id="201" w:author="Claude" w:date="2026-06-07T12:00:00Z">
        <w:r>
          <w:t>depends far more on internal conditions and the configuration in which it is applied than on the procurement decision</w:t>
        </w:r>
      </w:ins>
      <w:del w:id="202" w:author="Claude" w:date="2026-06-07T12:00:00Z">
        <w:r>
          <w:rPr>
            <w:color w:val="00312A"/>
          </w:rPr>
          <w:delText>is an inside-out, managerial achievement rather than a procurement decision</w:delText>
        </w:r>
      </w:del>
      <w:r>
        <w:rPr>
          <w:color w:val="00312A"/>
        </w:rPr>
        <w:t>, the practical implications of this study concern how marketing managers build the conditions, make the configuration choices, and manage the trade-offs through which agentic AI yields value. The guidance below follows the logic of the model developed in Chapter 4.</w:t>
      </w:r>
    </w:p>
    <w:p w14:paraId="1B56C6EF" w14:textId="77777777" w:rsidR="006E2577" w:rsidRDefault="00000000">
      <w:pPr>
        <w:rPr>
          <w:color w:val="00312A"/>
        </w:rPr>
      </w:pPr>
      <w:r>
        <w:rPr>
          <w:b/>
          <w:bCs/>
          <w:color w:val="00312A"/>
        </w:rPr>
        <w:t xml:space="preserve">Invest in the conditions, not only the tools. </w:t>
      </w:r>
      <w:r>
        <w:rPr>
          <w:color w:val="00312A"/>
        </w:rPr>
        <w:t xml:space="preserve">The most consistent obstacle to value was organizational rather than technical (Section 4.2.1): limited AI literacy, resistance to change, and an inability to think in systems. Managers should therefore treat adoption as a change programme and invest deliberately in the enabling conditions. Education works best when it is differentiated by level — leadership setting strategic horizons, middle management learning to structure and facilitate experimentation, and employees learning that agentic AI </w:t>
      </w:r>
      <w:r>
        <w:rPr>
          <w:color w:val="00312A"/>
        </w:rPr>
        <w:lastRenderedPageBreak/>
        <w:t>does more than write emails — and when data and tooling are made accessible enough for an agent to act within the organization’s systems (Section 4.2.3). Above all, managers should create protected space for experimentation, accepting that early learnings do not always produce immediate returns, because tangible value is most reliably discovered by doing rather than by planning.</w:t>
      </w:r>
    </w:p>
    <w:p w14:paraId="6B1A8A93" w14:textId="77777777" w:rsidR="006E2577" w:rsidRDefault="00000000">
      <w:pPr>
        <w:rPr>
          <w:color w:val="00312A"/>
        </w:rPr>
      </w:pPr>
      <w:r>
        <w:rPr>
          <w:b/>
          <w:bCs/>
          <w:color w:val="00312A"/>
        </w:rPr>
        <w:t xml:space="preserve">Lead the change: provide clarity, bring people along, and back your champions. </w:t>
      </w:r>
      <w:r>
        <w:rPr>
          <w:color w:val="00312A"/>
        </w:rPr>
        <w:t>Leadership behaviors were repeatedly associated with successful adoption (Section 4.2.2). Managers should state clearly where the organization is going with AI, which use cases matter, and what success looks like, because unclear direction tends to surface problems only at the execution stage. They should bring people along — making employees feel that their work still matters and showing them concretely how to use AI day to day — so as to reduce the resistance that otherwise stalls adoption. And they should identify, empower, and protect AI champions, whose visible prototypes can attract backing and scale into organization-wide initiatives. Where senior leaders absorb or centralize the cost of experimentation, they remove one of the most powerful brakes on adoption.</w:t>
      </w:r>
    </w:p>
    <w:p w14:paraId="74431BBD" w14:textId="77777777" w:rsidR="006E2577" w:rsidRDefault="00000000">
      <w:pPr>
        <w:rPr>
          <w:color w:val="00312A"/>
        </w:rPr>
      </w:pPr>
      <w:r>
        <w:rPr>
          <w:b/>
          <w:bCs/>
          <w:color w:val="00312A"/>
        </w:rPr>
        <w:t xml:space="preserve">Decide deliberately whether to follow or to differentiate. </w:t>
      </w:r>
      <w:r>
        <w:rPr>
          <w:color w:val="00312A"/>
        </w:rPr>
        <w:t>The findings imply a strategic choice between two postures. Much adoption is essentially AI hygiene — executing proven use cases efficiently to reach parity and avoid falling behind — and where competitors will inevitably pursue the same efficiency gains, these are unlikely to confer durable advantage. Pursuing outsized returns instead requires differentiation: finding novel use cases, experimenting to learn what works, and assembling the skills to implement them well. Neither posture is inherently wrong, but they demand different investments, and managers should choose consciously rather than drift; for a structurally resistant organization, even disciplined following may be the value-maximizing option.</w:t>
      </w:r>
    </w:p>
    <w:p w14:paraId="4D8C290E" w14:textId="77777777" w:rsidR="006E2577" w:rsidRDefault="00000000">
      <w:pPr>
        <w:rPr>
          <w:color w:val="00312A"/>
        </w:rPr>
      </w:pPr>
      <w:r>
        <w:rPr>
          <w:b/>
          <w:bCs/>
          <w:color w:val="00312A"/>
        </w:rPr>
        <w:t xml:space="preserve">Start from the workflow, not the technology. </w:t>
      </w:r>
      <w:r>
        <w:rPr>
          <w:color w:val="00312A"/>
        </w:rPr>
        <w:t xml:space="preserve">Value was most reliably created when managers began from a marketing problem or workflow and inserted AI where they </w:t>
      </w:r>
      <w:r>
        <w:rPr>
          <w:color w:val="00312A"/>
        </w:rPr>
        <w:lastRenderedPageBreak/>
        <w:t>trusted its performance, rather than adopting AI for its own sake (Section 4.3.1). A practical method evident in the data is to decompose a process into its constituent steps and apply agentic AI only to the steps where it is reliable, retaining human judgment elsewhere. This lowers risk and makes the specific contribution of AI measurable.</w:t>
      </w:r>
    </w:p>
    <w:p w14:paraId="150FE09F" w14:textId="77777777" w:rsidR="006E2577" w:rsidRDefault="00000000">
      <w:pPr>
        <w:rPr>
          <w:color w:val="00312A"/>
        </w:rPr>
      </w:pPr>
      <w:r>
        <w:rPr>
          <w:b/>
          <w:bCs/>
          <w:color w:val="00312A"/>
        </w:rPr>
        <w:t xml:space="preserve">Engineer the harness, and use AI to govern AI. </w:t>
      </w:r>
      <w:r>
        <w:rPr>
          <w:color w:val="00312A"/>
        </w:rPr>
        <w:t>Because outcomes depend on configuration rather than on the model alone, managers should invest in the harness around the agent — accessible data, memory, tool access, a clear system prompt, and guardrails — and treat it as the real object of design (Section 4.3.2). The same logic offers the most effective response to the risks of agentic AI: deploy AI to govern AI. Brand-control and tone-of-voice agents can enforce standards at scale, evaluator agents and human sense-checking can contain hallucination, and benchmarking AI output against a human baseline converts risk management into a measurable quality process (Sections 4.4.3 and 4.5). Oversight should be calibrated to the cost of error and the difficulty of evaluating the output, rather than directed at eliminating error altogether.</w:t>
      </w:r>
    </w:p>
    <w:p w14:paraId="1D28E1C5" w14:textId="77777777" w:rsidR="006E2577" w:rsidRDefault="00000000">
      <w:pPr>
        <w:rPr>
          <w:color w:val="00312A"/>
        </w:rPr>
      </w:pPr>
      <w:r>
        <w:rPr>
          <w:b/>
          <w:bCs/>
          <w:color w:val="00312A"/>
        </w:rPr>
        <w:t xml:space="preserve">Manage the build, buy, and dependence trade-off. </w:t>
      </w:r>
      <w:r>
        <w:rPr>
          <w:color w:val="00312A"/>
        </w:rPr>
        <w:t>External experts and agencies offer a fast route around scarce internal capacity, and several managers used them precisely to avoid multi-year internal backlogs (Section 4.2.1). The findings also show the cost: externally sourced momentum is fragile, and over-reliance can leave the AI knowledge built for an organization owned by its agency. Managers should use external help to accelerate while deliberately retaining and internalizing capability, so that speed today does not become dependence tomorrow.</w:t>
      </w:r>
    </w:p>
    <w:p w14:paraId="446A0A46" w14:textId="77777777" w:rsidR="006E2577" w:rsidRDefault="00000000">
      <w:pPr>
        <w:rPr>
          <w:color w:val="00312A"/>
        </w:rPr>
      </w:pPr>
      <w:r>
        <w:rPr>
          <w:b/>
          <w:bCs/>
          <w:color w:val="00312A"/>
        </w:rPr>
        <w:t xml:space="preserve">Treat AI budgeting as a strategic act. </w:t>
      </w:r>
      <w:r>
        <w:rPr>
          <w:color w:val="00312A"/>
        </w:rPr>
        <w:t xml:space="preserve">Even in AI-forward organizations, securing budget for agentic AI remained difficult despite reported returns as high as a tenfold ROI (Section 4.4.1). Where the upside is large but uncertain and the time to return is variable, conventional business-case discipline can systematically under-fund experimentation. </w:t>
      </w:r>
      <w:r>
        <w:rPr>
          <w:color w:val="00312A"/>
        </w:rPr>
        <w:lastRenderedPageBreak/>
        <w:t>Centralizing or absorbing the cost of early AI work, as some leaders did, is one way to resolve this tension while signaling commitment.</w:t>
      </w:r>
    </w:p>
    <w:p w14:paraId="3318F2C0" w14:textId="77777777" w:rsidR="006E2577" w:rsidRDefault="00000000">
      <w:pPr>
        <w:rPr>
          <w:color w:val="00312A"/>
        </w:rPr>
      </w:pPr>
      <w:r>
        <w:rPr>
          <w:b/>
          <w:bCs/>
          <w:color w:val="00312A"/>
        </w:rPr>
        <w:t xml:space="preserve">Prepare for an agentic demand side without hollowing the talent pipeline. </w:t>
      </w:r>
      <w:r>
        <w:rPr>
          <w:color w:val="00312A"/>
        </w:rPr>
        <w:t>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At the same time, deploying AI first on junior tasks risks eroding the pipeline that develops juniors into seniors (Section 4.5.4). Managers should weigh short-term efficiency against the longer-term cost to capability and brand distinctiveness, neither of which is captured by efficiency metrics alone.</w:t>
      </w:r>
    </w:p>
    <w:p w14:paraId="3C6C8974" w14:textId="77777777" w:rsidR="00401741" w:rsidRDefault="00000000">
      <w:pPr>
        <w:pStyle w:val="Heading2"/>
        <w:rPr>
          <w:color w:val="00312A"/>
        </w:rPr>
      </w:pPr>
      <w:bookmarkStart w:id="203" w:name="_mnyukkjx9iq" w:colFirst="0" w:colLast="0"/>
      <w:bookmarkEnd w:id="203"/>
      <w:r>
        <w:rPr>
          <w:color w:val="00312A"/>
        </w:rPr>
        <w:t>5.3</w:t>
      </w:r>
      <w:r>
        <w:rPr>
          <w:color w:val="00312A"/>
        </w:rPr>
        <w:tab/>
        <w:t>Limitations &amp; Future research</w:t>
      </w:r>
    </w:p>
    <w:p w14:paraId="2AE1FFA2" w14:textId="77777777" w:rsidR="00401741" w:rsidRDefault="00000000">
      <w:pPr>
        <w:rPr>
          <w:color w:val="00312A"/>
        </w:rPr>
      </w:pPr>
      <w:r>
        <w:rPr>
          <w:color w:val="00312A"/>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t xml:space="preserve">Two further limitations deserve brief acknowledgement. The sample is skewed toward external AI advisors and consultants (nine of seventeen participants; Table 1), who may </w:t>
      </w:r>
      <w:r>
        <w:rPr>
          <w:color w:val="00312A"/>
        </w:rPr>
        <w:lastRenderedPageBreak/>
        <w:t>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3D522EEB" w14:textId="77777777" w:rsidR="00401741" w:rsidRDefault="00000000">
      <w:pPr>
        <w:rPr>
          <w:color w:val="00312A"/>
        </w:rPr>
      </w:pPr>
      <w:r>
        <w:rPr>
          <w:color w:val="00312A"/>
        </w:rPr>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77777777" w:rsidR="00401741" w:rsidRDefault="00000000">
      <w:pPr>
        <w:rPr>
          <w:color w:val="00312A"/>
        </w:rPr>
      </w:pPr>
      <w:r>
        <w:rPr>
          <w:color w:val="00312A"/>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observational methods, workflow documentation, or objectively measured performance indicators would substantially strengthen the empirical grounding of the theory developed here, </w:t>
      </w:r>
      <w:r>
        <w:rPr>
          <w:color w:val="00312A"/>
        </w:rPr>
        <w:lastRenderedPageBreak/>
        <w:t xml:space="preserve">and would be better positioned to assess where </w:t>
      </w:r>
      <w:ins w:id="204" w:author="Claude" w:date="2026-06-07T12:00:00Z">
        <w:r>
          <w:t>the dependence on internal conditions and configuration identified in section 4</w:t>
        </w:r>
      </w:ins>
      <w:del w:id="205" w:author="Claude" w:date="2026-06-07T12:00:00Z">
        <w:r>
          <w:rPr>
            <w:color w:val="00312A"/>
          </w:rPr>
          <w:delText>the inside-out logic identified in section 4</w:delText>
        </w:r>
      </w:del>
      <w:r>
        <w:rPr>
          <w:color w:val="00312A"/>
        </w:rPr>
        <w:t xml:space="preserve"> actually produces the value creation it describes.</w:t>
      </w:r>
    </w:p>
    <w:p w14:paraId="3ECCF3F9" w14:textId="77777777" w:rsidR="00401741" w:rsidRDefault="00000000">
      <w:pPr>
        <w:pStyle w:val="Heading1"/>
      </w:pPr>
      <w:bookmarkStart w:id="206" w:name="_dd6zel2y4t5x" w:colFirst="0" w:colLast="0"/>
      <w:bookmarkEnd w:id="206"/>
      <w:r>
        <w:t>6.</w:t>
      </w:r>
      <w:r>
        <w:tab/>
        <w:t>Conclusion</w:t>
      </w:r>
    </w:p>
    <w:p w14:paraId="5F2588FD" w14:textId="77777777" w:rsidR="006E2577" w:rsidRDefault="00000000">
      <w:pPr>
        <w:rPr>
          <w:color w:val="00312A"/>
        </w:rPr>
      </w:pPr>
      <w:r>
        <w:rPr>
          <w:color w:val="00312A"/>
        </w:rPr>
        <w:t xml:space="preserve">This thesis asked how marketing managers create value with agentic AI. Drawing on seventeen interviews with marketing managers and AI experts, analyzed through constructivist grounded theory, it concludes that value creation with agentic AI </w:t>
      </w:r>
      <w:ins w:id="207" w:author="Claude" w:date="2026-06-07T12:00:00Z">
        <w:r>
          <w:t>is highly dependent on internal conditions and the configuration in which it is applied</w:t>
        </w:r>
      </w:ins>
      <w:del w:id="208" w:author="Claude" w:date="2026-06-07T12:00:00Z">
        <w:r>
          <w:rPr>
            <w:color w:val="00312A"/>
          </w:rPr>
          <w:delText>is an inside-out, managerial accomplishment</w:delText>
        </w:r>
      </w:del>
      <w:r>
        <w:rPr>
          <w:color w:val="00312A"/>
        </w:rPr>
        <w:t>. The technology is necessary but not sufficient: across the data, comparable use cases produced very different outcomes, and the difference lay in the organizational conditions that managers built and the configuration in which the technology was applied, not in the technology itself.</w:t>
      </w:r>
    </w:p>
    <w:p w14:paraId="3E053890" w14:textId="77777777" w:rsidR="006E2577" w:rsidRDefault="00000000">
      <w:pPr>
        <w:rPr>
          <w:color w:val="00312A"/>
        </w:rPr>
      </w:pPr>
      <w:r>
        <w:rPr>
          <w:color w:val="00312A"/>
        </w:rPr>
        <w:t xml:space="preserve">The three subquestions structure this answer. Marketing managers </w:t>
      </w:r>
      <w:r>
        <w:rPr>
          <w:i/>
          <w:iCs/>
          <w:color w:val="00312A"/>
        </w:rPr>
        <w:t>identify and translate</w:t>
      </w:r>
      <w:r>
        <w:rPr>
          <w:color w:val="00312A"/>
        </w:rPr>
        <w:t xml:space="preserve"> agentic AI opportunities by observing three external signals — the rapid progression of AI, market pressure from competitors and increasingly from consumers’ own agents, and the roadmaps of their software suppliers —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6957C04E" w14:textId="77777777" w:rsidR="006E2577" w:rsidRDefault="00000000">
      <w:pPr>
        <w:rPr>
          <w:color w:val="00312A"/>
        </w:rPr>
      </w:pPr>
      <w:r>
        <w:rPr>
          <w:color w:val="00312A"/>
        </w:rPr>
        <w:t xml:space="preserve">They </w:t>
      </w:r>
      <w:r>
        <w:rPr>
          <w:i/>
          <w:iCs/>
          <w:color w:val="00312A"/>
        </w:rPr>
        <w:t>enable adoption</w:t>
      </w:r>
      <w:r>
        <w:rPr>
          <w:color w:val="00312A"/>
        </w:rPr>
        <w:t xml:space="preserve"> by steering the organization through three responses to its conditions: reshaping the conditions they control —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667961ED" w14:textId="77777777" w:rsidR="006E2577" w:rsidRDefault="00000000">
      <w:pPr>
        <w:rPr>
          <w:color w:val="00312A"/>
        </w:rPr>
      </w:pPr>
      <w:r>
        <w:rPr>
          <w:color w:val="00312A"/>
        </w:rPr>
        <w:lastRenderedPageBreak/>
        <w:t xml:space="preserve">They </w:t>
      </w:r>
      <w:r>
        <w:rPr>
          <w:i/>
          <w:iCs/>
          <w:color w:val="00312A"/>
        </w:rPr>
        <w:t>navigate obstacles and risks</w:t>
      </w:r>
      <w:r>
        <w:rPr>
          <w:color w:val="00312A"/>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by avoiding agentic AI but by deploying further AI to govern it and by retaining human oversight calibrated to the cost of error. The recurring paradoxes capture this logic: the technology that creates a risk also furnishes the means to control it.</w:t>
      </w:r>
    </w:p>
    <w:p w14:paraId="57B87D0F" w14:textId="1D89FFEF" w:rsidR="00401741" w:rsidRPr="00396066" w:rsidRDefault="00000000" w:rsidP="00396066">
      <w:pPr>
        <w:rPr>
          <w:color w:val="00312A"/>
        </w:rPr>
      </w:pPr>
      <w:r>
        <w:rPr>
          <w:color w:val="00312A"/>
        </w:rPr>
        <w:t xml:space="preserve">The contribution of this study is </w:t>
      </w:r>
      <w:ins w:id="209" w:author="Claude" w:date="2026-06-07T12:00:00Z">
        <w:r>
          <w:t>a grounded, process account of how internal conditions and the configuration in which agentic AI is applied shape value creation, together with</w:t>
        </w:r>
      </w:ins>
      <w:del w:id="210" w:author="Claude" w:date="2026-06-07T12:00:00Z">
        <w:r>
          <w:rPr>
            <w:color w:val="00312A"/>
          </w:rPr>
          <w:delText>a grounded, process account of inside-out value creation, together with</w:delText>
        </w:r>
      </w:del>
      <w:r>
        <w:rPr>
          <w:color w:val="00312A"/>
        </w:rPr>
        <w:t xml:space="preserve"> the analytical vocabulary — observing, steering, leveraging, navigating, the harness, and value as a managed portfolio — through which it can be understood. The empirical specifics reported here are snapshots of a fast-moving technology and will date quickly;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them.</w:t>
      </w:r>
      <w:bookmarkStart w:id="211" w:name="_9375lqp6ztft" w:colFirst="0" w:colLast="0"/>
      <w:bookmarkEnd w:id="211"/>
    </w:p>
    <w:p w14:paraId="5BA28DFA" w14:textId="77777777" w:rsidR="00401741" w:rsidRDefault="00000000">
      <w:pPr>
        <w:pStyle w:val="Heading1"/>
        <w:rPr>
          <w:color w:val="222222"/>
          <w:highlight w:val="white"/>
        </w:rPr>
      </w:pPr>
      <w:bookmarkStart w:id="212" w:name="_kgmnd1ymad1c" w:colFirst="0" w:colLast="0"/>
      <w:bookmarkEnd w:id="212"/>
      <w:r>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0">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1">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lastRenderedPageBreak/>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2">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3">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13"/>
      <w:r>
        <w:rPr>
          <w:strike/>
          <w:color w:val="18181B"/>
          <w:highlight w:val="white"/>
          <w:lang w:val="it-IT"/>
        </w:rPr>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4">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13"/>
      <w:r>
        <w:rPr>
          <w:rStyle w:val="CommentReference"/>
          <w:strike/>
          <w:sz w:val="20"/>
          <w:szCs w:val="20"/>
          <w:highlight w:val="white"/>
        </w:rPr>
        <w:commentReference w:id="213"/>
      </w:r>
    </w:p>
    <w:p w14:paraId="3A3835CB" w14:textId="77777777" w:rsidR="00401741" w:rsidRDefault="00000000">
      <w:pPr>
        <w:ind w:left="720" w:hanging="720"/>
        <w:rPr>
          <w:strike/>
          <w:sz w:val="20"/>
          <w:szCs w:val="20"/>
          <w:highlight w:val="white"/>
        </w:rPr>
      </w:pPr>
      <w:commentRangeStart w:id="214"/>
      <w:r>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14"/>
      <w:r>
        <w:rPr>
          <w:rStyle w:val="CommentReference"/>
          <w:strike/>
          <w:sz w:val="20"/>
          <w:szCs w:val="20"/>
          <w:highlight w:val="white"/>
        </w:rPr>
        <w:commentReference w:id="214"/>
      </w:r>
    </w:p>
    <w:p w14:paraId="5F7CA868" w14:textId="77777777" w:rsidR="006E2577" w:rsidRDefault="00000000">
      <w:pPr>
        <w:spacing w:line="360" w:lineRule="auto"/>
        <w:ind w:left="720" w:hanging="720"/>
        <w:rPr>
          <w:ins w:id="215" w:author="Claude" w:date="2026-06-06T00:00:00Z"/>
          <w:highlight w:val="white"/>
        </w:rPr>
      </w:pPr>
      <w:ins w:id="216" w:author="Claude" w:date="2026-06-06T00:00:00Z">
        <w:r>
          <w:rPr>
            <w:highlight w:val="white"/>
          </w:rPr>
          <w:t xml:space="preserve">Cieslak, V., &amp; Valor, C. (2024). Moving beyond conventional resistance and resistors: An integrative review of employee resistance to digital transformation. </w:t>
        </w:r>
        <w:r>
          <w:rPr>
            <w:i/>
            <w:iCs/>
            <w:highlight w:val="white"/>
          </w:rPr>
          <w:t>Cogent Business &amp; Management</w:t>
        </w:r>
        <w:r>
          <w:rPr>
            <w:highlight w:val="white"/>
          </w:rPr>
          <w:t xml:space="preserve">, </w:t>
        </w:r>
        <w:r>
          <w:rPr>
            <w:i/>
            <w:iCs/>
            <w:highlight w:val="white"/>
          </w:rPr>
          <w:t>12</w:t>
        </w:r>
        <w:r>
          <w:rPr>
            <w:highlight w:val="white"/>
          </w:rPr>
          <w:t>(1), 2442550. https://doi.org/10.1080/23311975.2024.2442550</w:t>
        </w:r>
      </w:ins>
    </w:p>
    <w:p w14:paraId="19747DE5" w14:textId="77777777" w:rsidR="00401741" w:rsidRDefault="00000000">
      <w:pPr>
        <w:ind w:left="720" w:hanging="720"/>
        <w:rPr>
          <w:highlight w:val="white"/>
        </w:rPr>
      </w:pPr>
      <w:r>
        <w:rPr>
          <w:highlight w:val="white"/>
        </w:rPr>
        <w:lastRenderedPageBreak/>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5">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55A6B502" w14:textId="77777777" w:rsidR="00401741"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lastRenderedPageBreak/>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6">
        <w:r w:rsidR="00401741">
          <w:rPr>
            <w:u w:val="single"/>
          </w:rPr>
          <w:t xml:space="preserve"> </w:t>
        </w:r>
      </w:hyperlink>
      <w:hyperlink r:id="rId27">
        <w:r w:rsidR="00401741">
          <w:rPr>
            <w:color w:val="1155CC"/>
            <w:u w:val="single"/>
          </w:rPr>
          <w:t>https://doi.org/10.1016/j.bushor.2021.03.006</w:t>
        </w:r>
      </w:hyperlink>
    </w:p>
    <w:p w14:paraId="008C81D1" w14:textId="77777777" w:rsidR="00401741" w:rsidRDefault="00000000">
      <w:pPr>
        <w:ind w:left="720" w:hanging="720"/>
        <w:rPr>
          <w:strike/>
        </w:rPr>
      </w:pPr>
      <w:commentRangeStart w:id="217"/>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8">
        <w:r w:rsidR="00401741">
          <w:rPr>
            <w:strike/>
            <w:color w:val="068EF1"/>
            <w:highlight w:val="white"/>
            <w:u w:val="single"/>
          </w:rPr>
          <w:t>https://doi.org/10.1007/s11747-020-00749-9</w:t>
        </w:r>
      </w:hyperlink>
      <w:r>
        <w:rPr>
          <w:strike/>
          <w:color w:val="18181B"/>
          <w:highlight w:val="white"/>
        </w:rPr>
        <w:t>.</w:t>
      </w:r>
      <w:r>
        <w:rPr>
          <w:strike/>
        </w:rPr>
        <w:t xml:space="preserve"> </w:t>
      </w:r>
      <w:commentRangeEnd w:id="217"/>
      <w:r>
        <w:rPr>
          <w:rStyle w:val="CommentReference"/>
          <w:strike/>
          <w:sz w:val="22"/>
          <w:szCs w:val="22"/>
        </w:rPr>
        <w:commentReference w:id="217"/>
      </w:r>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399B4B10" w14:textId="01B4CB0A" w:rsidR="00DA6386" w:rsidRDefault="00DA6386">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41C68E83" w14:textId="77777777" w:rsidR="00401741" w:rsidRDefault="00000000">
      <w:pPr>
        <w:ind w:left="720" w:hanging="720"/>
      </w:pPr>
      <w:r>
        <w:lastRenderedPageBreak/>
        <w:t>Lewis, P., Perez, E., Piktus, A., Petroni, F., Karpukhin, V., Goyal, N., Küttler, H., Lewis, M., Yih, W., Rocktäschel, T., et al. (2020). Retrieval-augmented generation for knowledge-intensive nlp tasks. Advances in Neural Information Processing Systems, 33, 9459–9474.</w:t>
      </w:r>
    </w:p>
    <w:p w14:paraId="0802C79B" w14:textId="77777777" w:rsidR="006E2577" w:rsidRDefault="00000000">
      <w:pPr>
        <w:spacing w:line="360" w:lineRule="auto"/>
        <w:ind w:left="720" w:hanging="720"/>
        <w:rPr>
          <w:ins w:id="218" w:author="Claude" w:date="2026-06-06T00:00:00Z"/>
          <w:highlight w:val="white"/>
        </w:rPr>
      </w:pPr>
      <w:ins w:id="219" w:author="Claude" w:date="2026-06-06T00:00:00Z">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ins>
    </w:p>
    <w:p w14:paraId="795600DE" w14:textId="77777777" w:rsidR="00401741" w:rsidRDefault="00000000">
      <w:pPr>
        <w:ind w:left="720" w:hanging="720"/>
        <w:rPr>
          <w:highlight w:val="white"/>
        </w:rPr>
      </w:pPr>
      <w:r>
        <w:rPr>
          <w:highlight w:val="white"/>
          <w:lang w:val="en-US"/>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20"/>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20"/>
      <w:r>
        <w:rPr>
          <w:rStyle w:val="CommentReference"/>
          <w:strike/>
          <w:sz w:val="22"/>
          <w:szCs w:val="22"/>
          <w:highlight w:val="white"/>
        </w:rPr>
        <w:commentReference w:id="220"/>
      </w:r>
    </w:p>
    <w:p w14:paraId="1F4525E3" w14:textId="77777777" w:rsidR="00401741" w:rsidRDefault="00000000">
      <w:pPr>
        <w:ind w:left="720" w:hanging="720"/>
      </w:pPr>
      <w:r>
        <w:t>Mayer, H., Yee, L., Chui, M., &amp; Roberts, R. (2025). AI in the workplace: A report for 2025. McKinsey &amp; Company.</w:t>
      </w:r>
      <w:hyperlink r:id="rId29">
        <w:r w:rsidR="00401741">
          <w:rPr>
            <w:u w:val="single"/>
          </w:rPr>
          <w:t xml:space="preserve"> </w:t>
        </w:r>
      </w:hyperlink>
      <w:hyperlink r:id="rId30">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1">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2">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21"/>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21"/>
      <w:r>
        <w:rPr>
          <w:rStyle w:val="CommentReference"/>
          <w:strike/>
          <w:sz w:val="22"/>
          <w:szCs w:val="22"/>
          <w:highlight w:val="white"/>
        </w:rPr>
        <w:commentReference w:id="221"/>
      </w:r>
    </w:p>
    <w:p w14:paraId="793D775A" w14:textId="77777777" w:rsidR="006E2577" w:rsidRDefault="00000000">
      <w:pPr>
        <w:spacing w:line="360" w:lineRule="auto"/>
        <w:ind w:left="720" w:hanging="720"/>
        <w:rPr>
          <w:ins w:id="222" w:author="Claude" w:date="2026-06-06T00:00:00Z"/>
          <w:highlight w:val="white"/>
        </w:rPr>
      </w:pPr>
      <w:ins w:id="223" w:author="Claude" w:date="2026-06-06T00:00:00Z">
        <w:r>
          <w:rPr>
            <w:highlight w:val="white"/>
          </w:rPr>
          <w:t xml:space="preserve">Ritala, P., Aaltonen, P., Ruokonen, M., &amp; Nemeh, A. (2024). Developing industrial AI capabilities: An organisational learning perspective. </w:t>
        </w:r>
        <w:r>
          <w:rPr>
            <w:i/>
            <w:iCs/>
            <w:highlight w:val="white"/>
          </w:rPr>
          <w:t>Technovation</w:t>
        </w:r>
        <w:r>
          <w:rPr>
            <w:highlight w:val="white"/>
          </w:rPr>
          <w:t xml:space="preserve">, </w:t>
        </w:r>
        <w:r>
          <w:rPr>
            <w:i/>
            <w:iCs/>
            <w:highlight w:val="white"/>
          </w:rPr>
          <w:t>138</w:t>
        </w:r>
        <w:r>
          <w:rPr>
            <w:highlight w:val="white"/>
          </w:rPr>
          <w:t>, 103120. https://doi.org/10.1016/j.technovation.2024.103120</w:t>
        </w:r>
      </w:ins>
    </w:p>
    <w:p w14:paraId="4618A53E" w14:textId="77777777" w:rsidR="006E2577" w:rsidRPr="00396066" w:rsidRDefault="00000000">
      <w:pPr>
        <w:spacing w:line="360" w:lineRule="auto"/>
        <w:ind w:left="720" w:hanging="720"/>
        <w:rPr>
          <w:ins w:id="224" w:author="Claude" w:date="2026-06-06T00:00:00Z"/>
          <w:highlight w:val="white"/>
          <w:lang w:val="de-DE"/>
        </w:rPr>
      </w:pPr>
      <w:ins w:id="225" w:author="Claude" w:date="2026-06-06T00:00:00Z">
        <w:r>
          <w:rPr>
            <w:highlight w:val="white"/>
          </w:rPr>
          <w:t xml:space="preserve">Romeo, E., &amp; Lacko, J. (2026). Adoption and integration of AI in organizations: A systematic review of challenges and drivers towards future directions of research. </w:t>
        </w:r>
        <w:r>
          <w:rPr>
            <w:i/>
            <w:iCs/>
            <w:highlight w:val="white"/>
            <w:lang w:val="de-DE"/>
          </w:rPr>
          <w:t>Kybernetes</w:t>
        </w:r>
        <w:r>
          <w:rPr>
            <w:highlight w:val="white"/>
            <w:lang w:val="de-DE"/>
          </w:rPr>
          <w:t xml:space="preserve">, </w:t>
        </w:r>
        <w:r>
          <w:rPr>
            <w:i/>
            <w:iCs/>
            <w:highlight w:val="white"/>
            <w:lang w:val="de-DE"/>
          </w:rPr>
          <w:t>55</w:t>
        </w:r>
        <w:r>
          <w:rPr>
            <w:highlight w:val="white"/>
            <w:lang w:val="de-DE"/>
          </w:rPr>
          <w:t>(3), 1286–1307. https://doi.org/10.1108/K-07-2024-2002</w:t>
        </w:r>
      </w:ins>
    </w:p>
    <w:p w14:paraId="7AAE01F7" w14:textId="77777777" w:rsidR="00401741" w:rsidRDefault="00000000">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3">
        <w:r w:rsidR="00401741">
          <w:rPr>
            <w:u w:val="single"/>
          </w:rPr>
          <w:t xml:space="preserve"> </w:t>
        </w:r>
      </w:hyperlink>
      <w:hyperlink r:id="rId34">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5">
        <w:r w:rsidR="00401741">
          <w:rPr>
            <w:u w:val="single"/>
          </w:rPr>
          <w:t xml:space="preserve"> </w:t>
        </w:r>
      </w:hyperlink>
      <w:hyperlink r:id="rId36">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lastRenderedPageBreak/>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26"/>
      <w:r>
        <w:rPr>
          <w:strike/>
          <w:lang w:val="it-IT"/>
        </w:rPr>
        <w:t xml:space="preserve">Vidal, J. F., Perotti, F. A., Gonzalez, R., &amp; Gasco, J. (2022). </w:t>
      </w:r>
      <w:r>
        <w:rPr>
          <w:strike/>
        </w:rPr>
        <w:t>Managing digital transformation: The view from the top. Journal of Business Research, 152, 29–41.</w:t>
      </w:r>
      <w:hyperlink r:id="rId37">
        <w:r w:rsidR="00401741">
          <w:rPr>
            <w:strike/>
            <w:u w:val="single"/>
          </w:rPr>
          <w:t xml:space="preserve"> </w:t>
        </w:r>
      </w:hyperlink>
      <w:hyperlink r:id="rId38">
        <w:r w:rsidR="00401741">
          <w:rPr>
            <w:strike/>
            <w:color w:val="1155CC"/>
            <w:u w:val="single"/>
          </w:rPr>
          <w:t>https://doi.org/10.1016/j.jbusres.2022.07.0200</w:t>
        </w:r>
      </w:hyperlink>
      <w:commentRangeEnd w:id="226"/>
      <w:r>
        <w:rPr>
          <w:rStyle w:val="CommentReference"/>
          <w:strike/>
          <w:sz w:val="22"/>
          <w:szCs w:val="22"/>
        </w:rPr>
        <w:commentReference w:id="226"/>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0F247F6E" w14:textId="77777777" w:rsidR="006E2577" w:rsidRDefault="00000000">
      <w:pPr>
        <w:spacing w:line="360" w:lineRule="auto"/>
        <w:ind w:left="720" w:hanging="720"/>
        <w:rPr>
          <w:ins w:id="227" w:author="Claude" w:date="2026-06-06T00:00:00Z"/>
          <w:highlight w:val="white"/>
        </w:rPr>
      </w:pPr>
      <w:ins w:id="228" w:author="Claude" w:date="2026-06-06T00:00:00Z">
        <w:r>
          <w:rPr>
            <w:highlight w:val="white"/>
          </w:rPr>
          <w:t xml:space="preserve">Weber, M., Engert, M., Schaffer, N., Weking, J., &amp; Krcmar, H. (2023). Organizational capabilities for AI implementation—Coping with inscrutability and data dependency in AI. </w:t>
        </w:r>
        <w:r>
          <w:rPr>
            <w:i/>
            <w:iCs/>
            <w:highlight w:val="white"/>
          </w:rPr>
          <w:t>Information Systems Frontiers</w:t>
        </w:r>
        <w:r>
          <w:rPr>
            <w:highlight w:val="white"/>
          </w:rPr>
          <w:t xml:space="preserve">, </w:t>
        </w:r>
        <w:r>
          <w:rPr>
            <w:i/>
            <w:iCs/>
            <w:highlight w:val="white"/>
          </w:rPr>
          <w:t>25</w:t>
        </w:r>
        <w:r>
          <w:rPr>
            <w:highlight w:val="white"/>
          </w:rPr>
          <w:t>(4), 1549–1569. https://doi.org/10.1007/s10796-022-10297-y</w:t>
        </w:r>
      </w:ins>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29" w:name="_icpp6ljm25yc" w:colFirst="0" w:colLast="0"/>
      <w:bookmarkEnd w:id="229"/>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30" w:name="_yaxctkjupl5f" w:colFirst="0" w:colLast="0"/>
      <w:bookmarkEnd w:id="230"/>
      <w:r>
        <w:t>A.1.</w:t>
      </w:r>
      <w:r>
        <w:tab/>
        <w:t>Interview Guide</w:t>
      </w:r>
    </w:p>
    <w:p w14:paraId="10752A95" w14:textId="77777777" w:rsidR="00401741" w:rsidRDefault="00000000">
      <w:pPr>
        <w:pStyle w:val="Heading3"/>
      </w:pPr>
      <w:bookmarkStart w:id="231" w:name="_fso8dir40043" w:colFirst="0" w:colLast="0"/>
      <w:bookmarkEnd w:id="231"/>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32" w:name="_xu7tl6fyia16" w:colFirst="0" w:colLast="0"/>
      <w:bookmarkEnd w:id="232"/>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33" w:name="_uslcrode5spj" w:colFirst="0" w:colLast="0"/>
      <w:bookmarkEnd w:id="233"/>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34" w:name="_4i48gt7nuy87" w:colFirst="0" w:colLast="0"/>
      <w:bookmarkEnd w:id="234"/>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782100" w14:textId="77777777" w:rsidR="00401741" w:rsidRDefault="00401741">
      <w:pPr>
        <w:pStyle w:val="Heading1"/>
        <w:ind w:firstLine="0"/>
        <w:jc w:val="left"/>
        <w:sectPr w:rsidR="00401741">
          <w:pgSz w:w="12240" w:h="15840"/>
          <w:pgMar w:top="1440" w:right="1440" w:bottom="1440" w:left="1440" w:header="720" w:footer="720" w:gutter="0"/>
          <w:cols w:space="708"/>
        </w:sectPr>
      </w:pPr>
      <w:bookmarkStart w:id="235" w:name="_i4eri4z2mseg" w:colFirst="0" w:colLast="0"/>
      <w:bookmarkEnd w:id="235"/>
    </w:p>
    <w:p w14:paraId="7396CC0C" w14:textId="77777777" w:rsidR="00401741" w:rsidRDefault="00000000">
      <w:pPr>
        <w:pStyle w:val="Heading1"/>
      </w:pPr>
      <w:bookmarkStart w:id="236" w:name="_n4q94a2ei39t" w:colFirst="0" w:colLast="0"/>
      <w:bookmarkEnd w:id="236"/>
      <w:r>
        <w:lastRenderedPageBreak/>
        <w:t>Appendix C. The process of constructive grounded theory</w:t>
      </w:r>
    </w:p>
    <w:p w14:paraId="7B1EDA66" w14:textId="77777777" w:rsidR="00401741" w:rsidRDefault="00000000">
      <w:pPr>
        <w:spacing w:line="360" w:lineRule="auto"/>
        <w:rPr>
          <w:b/>
          <w:bCs/>
        </w:rPr>
      </w:pPr>
      <w:r>
        <w:rPr>
          <w:b/>
          <w:bCs/>
        </w:rPr>
        <w:t>Figure B1.</w:t>
      </w:r>
    </w:p>
    <w:p w14:paraId="69AD6693" w14:textId="77777777" w:rsidR="00401741" w:rsidRDefault="00000000">
      <w:pPr>
        <w:spacing w:line="360" w:lineRule="auto"/>
        <w:rPr>
          <w:i/>
          <w:iCs/>
        </w:rPr>
      </w:pPr>
      <w:r>
        <w:rPr>
          <w:i/>
          <w:iCs/>
        </w:rPr>
        <w:t>The process of constructive grounded theory.</w:t>
      </w:r>
    </w:p>
    <w:p w14:paraId="3C45086B" w14:textId="77777777" w:rsidR="00401741" w:rsidRDefault="00000000">
      <w:pPr>
        <w:spacing w:line="360" w:lineRule="auto"/>
      </w:pPr>
      <w:r>
        <w:rPr>
          <w:noProof/>
        </w:rPr>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4305300" cy="3028950"/>
                    </a:xfrm>
                    <a:prstGeom prst="rect">
                      <a:avLst/>
                    </a:prstGeom>
                    <a:ln/>
                  </pic:spPr>
                </pic:pic>
              </a:graphicData>
            </a:graphic>
          </wp:inline>
        </w:drawing>
      </w:r>
    </w:p>
    <w:p w14:paraId="3F60C3BE" w14:textId="77777777" w:rsidR="00401741" w:rsidRDefault="00000000">
      <w:pPr>
        <w:spacing w:line="360" w:lineRule="auto"/>
      </w:pPr>
      <w:r>
        <w:rPr>
          <w:i/>
          <w:iCs/>
        </w:rPr>
        <w:t xml:space="preserve">Note: </w:t>
      </w:r>
      <w:r>
        <w:t>Figure taken from Charmaz (2014)</w:t>
      </w:r>
    </w:p>
    <w:p w14:paraId="7E4225D0" w14:textId="77777777" w:rsidR="00401741" w:rsidRDefault="00000000">
      <w:pPr>
        <w:pStyle w:val="Heading1"/>
      </w:pPr>
      <w:bookmarkStart w:id="237" w:name="_z0nzv114icat" w:colFirst="0" w:colLast="0"/>
      <w:bookmarkEnd w:id="237"/>
      <w:r>
        <w:br w:type="page"/>
      </w:r>
    </w:p>
    <w:p w14:paraId="4AB19BF1" w14:textId="77777777" w:rsidR="00401741" w:rsidRDefault="00000000">
      <w:pPr>
        <w:pStyle w:val="Heading1"/>
      </w:pPr>
      <w:bookmarkStart w:id="238" w:name="_8iomnw571gh6" w:colFirst="0" w:colLast="0"/>
      <w:bookmarkEnd w:id="238"/>
      <w:r>
        <w:lastRenderedPageBreak/>
        <w:t>Appendix D. Supporting Quotes</w:t>
      </w:r>
    </w:p>
    <w:p w14:paraId="10554608" w14:textId="77777777" w:rsidR="00EE05F1" w:rsidRDefault="00000000">
      <w:ins w:id="239" w:author="Claude" w:date="2026-06-07T00:00:00Z">
        <w:r>
          <w:t>The quotes below support the comparison in Section 4.4 (Table 4). They are grouped by the contrast they illustrate.</w:t>
        </w:r>
      </w:ins>
    </w:p>
    <w:p w14:paraId="326C6CE2" w14:textId="77777777" w:rsidR="00EE05F1" w:rsidRDefault="00000000">
      <w:ins w:id="240" w:author="Claude" w:date="2026-06-07T00:00:00Z">
        <w:r>
          <w:rPr>
            <w:b/>
          </w:rPr>
          <w:t>Comparable use cases, divergent outcomes</w:t>
        </w:r>
      </w:ins>
    </w:p>
    <w:p w14:paraId="0499FAFD" w14:textId="77777777" w:rsidR="00EE05F1" w:rsidRDefault="00000000">
      <w:ins w:id="241" w:author="Claude" w:date="2026-06-07T00:00:00Z">
        <w:r>
          <w:t>Interviewee 15, on connecting data sources directly to the agent:</w:t>
        </w:r>
      </w:ins>
    </w:p>
    <w:p w14:paraId="223E6A11" w14:textId="77777777" w:rsidR="00EE05F1" w:rsidRDefault="00000000">
      <w:pPr>
        <w:ind w:left="720"/>
      </w:pPr>
      <w:ins w:id="242" w:author="Claude" w:date="2026-06-07T00:00:00Z">
        <w:r>
          <w:t>But just reviewing our entire data infrastructure […] you always want to go toward self-service. Yes, but with Claude you just connect those data sources directly to Claude. And then you naturally still have some governance to do, but then everyone can really do self-service with that. Because it’s just a question and answer and you get insight.</w:t>
        </w:r>
      </w:ins>
    </w:p>
    <w:p w14:paraId="4F77E3D1" w14:textId="77777777" w:rsidR="00EE05F1" w:rsidRDefault="00000000">
      <w:ins w:id="243" w:author="Claude" w:date="2026-06-07T00:00:00Z">
        <w:r>
          <w:t>Interviewee 4, on an analytics agent wired to live data:</w:t>
        </w:r>
      </w:ins>
    </w:p>
    <w:p w14:paraId="456BBA5E" w14:textId="77777777" w:rsidR="00EE05F1" w:rsidRDefault="00000000">
      <w:pPr>
        <w:ind w:left="720"/>
      </w:pPr>
      <w:ins w:id="244" w:author="Claude" w:date="2026-06-07T00:00:00Z">
        <w:r>
          <w:t>I connected an [agent] to their [analytics and search-console data]. So I have direct access to that data source […] and I can run cron jobs […] and have an agent run reports and spit that out. And we got much better reporting […] that was not there because you had to download […] from two different system[s], then in Excel, you had to cross correlate.</w:t>
        </w:r>
      </w:ins>
    </w:p>
    <w:p w14:paraId="50D98223" w14:textId="77777777" w:rsidR="00EE05F1" w:rsidRDefault="00000000">
      <w:ins w:id="245" w:author="Claude" w:date="2026-06-07T00:00:00Z">
        <w:r>
          <w:t>Interviewee 3, on the same use case under infrastructure constraints:</w:t>
        </w:r>
      </w:ins>
    </w:p>
    <w:p w14:paraId="43625853" w14:textId="77777777" w:rsidR="00EE05F1" w:rsidRDefault="00000000">
      <w:pPr>
        <w:ind w:left="720"/>
      </w:pPr>
      <w:ins w:id="246" w:author="Claude" w:date="2026-06-07T00:00:00Z">
        <w:r>
          <w:t>[The internal AI tool] can only digest so much data. So if I try to dump anything over, like, 30 [megabytes], it doesn’t […] do it. So sometimes I wanna work with […] larger datasets. So […] they’re working on layering this on top of our data lakes. It’s not there yet. So in the meantime […] I pull the data from [the warehouse] myself, dump it in, and then have it analyzed.</w:t>
        </w:r>
      </w:ins>
    </w:p>
    <w:p w14:paraId="2EE3394D" w14:textId="77777777" w:rsidR="00EE05F1" w:rsidRDefault="00000000">
      <w:ins w:id="247" w:author="Claude" w:date="2026-06-07T00:00:00Z">
        <w:r>
          <w:t>Interviewee 16, on the governance work that made conversational analytics possible:</w:t>
        </w:r>
      </w:ins>
    </w:p>
    <w:p w14:paraId="5E1A0DF2" w14:textId="77777777" w:rsidR="00EE05F1" w:rsidRDefault="00000000">
      <w:pPr>
        <w:ind w:left="720"/>
      </w:pPr>
      <w:ins w:id="248" w:author="Claude" w:date="2026-06-07T00:00:00Z">
        <w:r>
          <w:t xml:space="preserve">conversational analytics is […] definitely a use case that we’re working on […] but […] I started […] two years ago with a track on […] data governance […] basically </w:t>
        </w:r>
        <w:r>
          <w:lastRenderedPageBreak/>
          <w:t>describing our business definitions […] because I believe that we needed that for the enablement of AI on conversational analytics.</w:t>
        </w:r>
      </w:ins>
    </w:p>
    <w:p w14:paraId="2895E7FD" w14:textId="77777777" w:rsidR="00EE05F1" w:rsidRDefault="00000000">
      <w:ins w:id="249" w:author="Claude" w:date="2026-06-07T00:00:00Z">
        <w:r>
          <w:t>Interviewee 11, on automated content that worked:</w:t>
        </w:r>
      </w:ins>
    </w:p>
    <w:p w14:paraId="19F19E0B" w14:textId="77777777" w:rsidR="00EE05F1" w:rsidRDefault="00000000">
      <w:pPr>
        <w:ind w:left="720"/>
      </w:pPr>
      <w:ins w:id="250" w:author="Claude" w:date="2026-06-07T00:00:00Z">
        <w:r>
          <w:t>we created content for a recruitment organization […] everything there was fully automated. So we created […] about thousand web pages fully automated. […] in that use case, it worked. Because it was very standardized.</w:t>
        </w:r>
      </w:ins>
    </w:p>
    <w:p w14:paraId="6548CA42" w14:textId="77777777" w:rsidR="00EE05F1" w:rsidRDefault="00000000">
      <w:ins w:id="251" w:author="Claude" w:date="2026-06-07T00:00:00Z">
        <w:r>
          <w:t>Interviewee 11, on the same approach where it fell short:</w:t>
        </w:r>
      </w:ins>
    </w:p>
    <w:p w14:paraId="34844402" w14:textId="77777777" w:rsidR="00EE05F1" w:rsidRDefault="00000000">
      <w:pPr>
        <w:ind w:left="720"/>
      </w:pPr>
      <w:ins w:id="252" w:author="Claude" w:date="2026-06-07T00:00:00Z">
        <w:r>
          <w:t>once you have to have more creativity in the output and also if it needs to be on brand that AI still falls very very short. […] What we really, really stepped away from is […] that AI makes something for us without human intervention […] we thought that was scalable, but it’s not scalable.</w:t>
        </w:r>
      </w:ins>
    </w:p>
    <w:p w14:paraId="5131C822" w14:textId="77777777" w:rsidR="00EE05F1" w:rsidRDefault="00000000">
      <w:ins w:id="253" w:author="Claude" w:date="2026-06-07T00:00:00Z">
        <w:r>
          <w:t>Interviewee 15, on AI-written outreach that backfired:</w:t>
        </w:r>
      </w:ins>
    </w:p>
    <w:p w14:paraId="7DD79E29" w14:textId="77777777" w:rsidR="00EE05F1" w:rsidRDefault="00000000">
      <w:pPr>
        <w:ind w:left="720"/>
      </w:pPr>
      <w:ins w:id="254" w:author="Claude" w:date="2026-06-07T00:00:00Z">
        <w:r>
          <w:t>There was also an experiment done with generating emails from a BDR to customers. Well, the customer sees through that pretty quickly: nice that you still want to be personal and now you’re sending me this, so, just a bit too much of a shortcut with this use case.</w:t>
        </w:r>
      </w:ins>
    </w:p>
    <w:p w14:paraId="53DB749E" w14:textId="77777777" w:rsidR="00EE05F1" w:rsidRDefault="00000000">
      <w:ins w:id="255" w:author="Claude" w:date="2026-06-07T00:00:00Z">
        <w:r>
          <w:t>Interviewee 16, on the configuration that protected content quality:</w:t>
        </w:r>
      </w:ins>
    </w:p>
    <w:p w14:paraId="2515B6A1" w14:textId="77777777" w:rsidR="00EE05F1" w:rsidRDefault="00000000">
      <w:pPr>
        <w:ind w:left="720"/>
      </w:pPr>
      <w:ins w:id="256" w:author="Claude" w:date="2026-06-07T00:00:00Z">
        <w:r>
          <w:t>what we did is we gathered around all the business owners […] one, for example, is […] an add to cart. […] I would assume that there’s one definition of an add to cart […] We got out five different definitions of that add to cart. So this is a problem if you want to feed it to AI […] So we cleaned up that part with […] agreed-on business definitions.</w:t>
        </w:r>
      </w:ins>
    </w:p>
    <w:p w14:paraId="4D0C012D" w14:textId="77777777" w:rsidR="00EE05F1" w:rsidRDefault="00000000">
      <w:ins w:id="257" w:author="Claude" w:date="2026-06-07T00:00:00Z">
        <w:r>
          <w:t>Interviewee 6, on a deployed customer-facing chatbot:</w:t>
        </w:r>
      </w:ins>
    </w:p>
    <w:p w14:paraId="6095E826" w14:textId="77777777" w:rsidR="00EE05F1" w:rsidRDefault="00000000">
      <w:pPr>
        <w:ind w:left="720"/>
      </w:pPr>
      <w:ins w:id="258" w:author="Claude" w:date="2026-06-07T00:00:00Z">
        <w:r>
          <w:t>we have a chatbot, she’s called [Ruby], for our members. And in the chatbot, we’ve defined a lot of conversations where agentic takes over. […] I would say 10X […] Because it’s not two and it’s also not 200. […] it was really because we had commercial success first […] so now we can roll it out throughout the company to other departments.</w:t>
        </w:r>
      </w:ins>
    </w:p>
    <w:p w14:paraId="71F7DA9C" w14:textId="77777777" w:rsidR="00EE05F1" w:rsidRDefault="00000000">
      <w:ins w:id="259" w:author="Claude" w:date="2026-06-07T00:00:00Z">
        <w:r>
          <w:lastRenderedPageBreak/>
          <w:t>Interviewee 7, on why the same use case was withheld in a regulated sector:</w:t>
        </w:r>
      </w:ins>
    </w:p>
    <w:p w14:paraId="4C8A8696" w14:textId="77777777" w:rsidR="00EE05F1" w:rsidRDefault="00000000">
      <w:pPr>
        <w:ind w:left="720"/>
      </w:pPr>
      <w:ins w:id="260" w:author="Claude" w:date="2026-06-07T00:00:00Z">
        <w:r>
          <w:t>I was in [a major healthcare company], so we used to do a lot of healthcare AI […] but that is the most […] regulated side of things […] you can’t just build a chatbot and throw it in healthcare. It needs to go through a lot of scrutiny.</w:t>
        </w:r>
      </w:ins>
    </w:p>
    <w:p w14:paraId="795A0254" w14:textId="77777777" w:rsidR="00EE05F1" w:rsidRDefault="00000000">
      <w:ins w:id="261" w:author="Claude" w:date="2026-06-07T00:00:00Z">
        <w:r>
          <w:rPr>
            <w:b/>
          </w:rPr>
          <w:t>Explaining the variance: organization over model</w:t>
        </w:r>
      </w:ins>
    </w:p>
    <w:p w14:paraId="0D18488E" w14:textId="77777777" w:rsidR="00EE05F1" w:rsidRDefault="00000000">
      <w:ins w:id="262" w:author="Claude" w:date="2026-06-07T00:00:00Z">
        <w:r>
          <w:t>Interviewee 9, on value as a whole operating model:</w:t>
        </w:r>
      </w:ins>
    </w:p>
    <w:p w14:paraId="77A422C2" w14:textId="77777777" w:rsidR="00EE05F1" w:rsidRDefault="00000000">
      <w:pPr>
        <w:ind w:left="720"/>
      </w:pPr>
      <w:ins w:id="263" w:author="Claude" w:date="2026-06-07T00:00:00Z">
        <w:r>
          <w:t>It’s like a pie. It’s like you have to have all these pieces in order for it to be successful. It can’t just be successful because the guy at the top building it built this really cool product. The […] people have to understand it […] It has to be governed properly, it has to be priced properly […] it is a whole operational model that needs to be built around it.</w:t>
        </w:r>
      </w:ins>
    </w:p>
    <w:p w14:paraId="6ED66F00" w14:textId="77777777" w:rsidR="00EE05F1" w:rsidRDefault="00000000">
      <w:ins w:id="264" w:author="Claude" w:date="2026-06-07T00:00:00Z">
        <w:r>
          <w:t>Interviewee 13, on AI as a multiplier of what an organization already has:</w:t>
        </w:r>
      </w:ins>
    </w:p>
    <w:p w14:paraId="336D3D06" w14:textId="77777777" w:rsidR="00EE05F1" w:rsidRDefault="00000000">
      <w:pPr>
        <w:ind w:left="720"/>
      </w:pPr>
      <w:ins w:id="265" w:author="Claude" w:date="2026-06-07T00:00:00Z">
        <w:r>
          <w:t>GenAI can’t solve any of your problems. GenAI can scale up the concepts you have in mind, the knowledge you have, the […] drive that is already there in the company if you use it in the right way. So […] if you now dump any […] AI tool on a company who has no […] clue about what they want to do […] then it will fail.</w:t>
        </w:r>
      </w:ins>
    </w:p>
    <w:p w14:paraId="00CAE9EC" w14:textId="77777777" w:rsidR="00EE05F1" w:rsidRDefault="00000000">
      <w:ins w:id="266" w:author="Claude" w:date="2026-06-07T00:00:00Z">
        <w:r>
          <w:t>Interviewee 12, on efficiency as a shared, non-differentiating gain:</w:t>
        </w:r>
      </w:ins>
    </w:p>
    <w:p w14:paraId="037CB4F1" w14:textId="77777777" w:rsidR="00EE05F1" w:rsidRDefault="00000000">
      <w:pPr>
        <w:ind w:left="720"/>
      </w:pPr>
      <w:ins w:id="267" w:author="Claude" w:date="2026-06-07T00:00:00Z">
        <w:r>
          <w:t>it’s not a competitive advantage, certainly not in the long term […] but everybody is gonna get the benefit of efficiency through AI, so it’s not really gonna be a way to distinguish yourself from your competitors.</w:t>
        </w:r>
      </w:ins>
    </w:p>
    <w:p w14:paraId="6236297D" w14:textId="77777777" w:rsidR="00EE05F1" w:rsidRDefault="00000000">
      <w:ins w:id="268" w:author="Claude" w:date="2026-06-07T00:00:00Z">
        <w:r>
          <w:t>Interviewee 17, on the alignment of conditions:</w:t>
        </w:r>
      </w:ins>
    </w:p>
    <w:p w14:paraId="52E27EA1" w14:textId="77777777" w:rsidR="00EE05F1" w:rsidRDefault="00000000">
      <w:pPr>
        <w:ind w:left="720"/>
      </w:pPr>
      <w:ins w:id="269" w:author="Claude" w:date="2026-06-07T00:00:00Z">
        <w:r>
          <w:t>leadership wants us to work with AI. But can employees do that too? Do they do it and do they want to? Those are basically three things. And when those three things align with each other, you get a fantastic AI implementation. But when that’s not there […] it just stops. And nothing happens.</w:t>
        </w:r>
      </w:ins>
    </w:p>
    <w:p w14:paraId="5620B563" w14:textId="77777777" w:rsidR="00EE05F1" w:rsidRDefault="00000000">
      <w:ins w:id="270" w:author="Claude" w:date="2026-06-07T00:00:00Z">
        <w:r>
          <w:t>Interviewee 14, on the balance of technology and organization:</w:t>
        </w:r>
      </w:ins>
    </w:p>
    <w:p w14:paraId="3FDB7B12" w14:textId="77777777" w:rsidR="00EE05F1" w:rsidRDefault="00000000">
      <w:pPr>
        <w:ind w:left="720"/>
      </w:pPr>
      <w:ins w:id="271" w:author="Claude" w:date="2026-06-07T00:00:00Z">
        <w:r>
          <w:lastRenderedPageBreak/>
          <w:t>30% of all AI trajectories is just technology and […] 60% to 70% is […] actually us as humans or as an organization and therefore also as an ecosystem.</w:t>
        </w:r>
      </w:ins>
    </w:p>
    <w:p w14:paraId="620D2ECA" w14:textId="77777777" w:rsidR="00EE05F1" w:rsidRDefault="00000000">
      <w:ins w:id="272" w:author="Claude" w:date="2026-06-07T00:00:00Z">
        <w:r>
          <w:t>Interviewee 10, on technology change without organizational change:</w:t>
        </w:r>
      </w:ins>
    </w:p>
    <w:p w14:paraId="2EC8DFA3" w14:textId="77777777" w:rsidR="00EE05F1" w:rsidRDefault="00000000">
      <w:pPr>
        <w:ind w:left="720"/>
      </w:pPr>
      <w:ins w:id="273" w:author="Claude" w:date="2026-06-07T00:00:00Z">
        <w:r>
          <w:t>a year later, after spending a million, everyone was still working toward exactly the same goals and producing basically the same output, just with a new system.</w:t>
        </w:r>
      </w:ins>
    </w:p>
    <w:p w14:paraId="6B384B66" w14:textId="77777777" w:rsidR="00EE05F1" w:rsidRDefault="00000000">
      <w:ins w:id="274" w:author="Claude" w:date="2026-06-07T00:00:00Z">
        <w:r>
          <w:t>Interviewee 5, on the configuration (the harness) around the model:</w:t>
        </w:r>
      </w:ins>
    </w:p>
    <w:p w14:paraId="69B18A6D" w14:textId="77777777" w:rsidR="00EE05F1" w:rsidRDefault="00000000">
      <w:pPr>
        <w:ind w:left="720"/>
      </w:pPr>
      <w:ins w:id="275" w:author="Claude" w:date="2026-06-07T00:00:00Z">
        <w:r>
          <w:t>the big change of agentic AI right now is […] very depending on who finds what they call the harness […] who finds the right harness around the AI […] If there’s a […] party who comes up with a really great […] wrapper around the […] product […] that’s gonna determine a lot of what our capabilities are.</w:t>
        </w:r>
      </w:ins>
    </w:p>
    <w:p w14:paraId="1AB83E4D" w14:textId="77777777" w:rsidR="00401741" w:rsidRDefault="00000000">
      <w:r>
        <w:t>Placeholder (</w:t>
      </w:r>
      <w:hyperlink r:id="rId40">
        <w:r w:rsidR="00401741">
          <w:rPr>
            <w:color w:val="1155CC"/>
            <w:u w:val="single"/>
          </w:rPr>
          <w:t>example paper</w:t>
        </w:r>
      </w:hyperlink>
      <w:r>
        <w:t>)</w:t>
      </w:r>
    </w:p>
    <w:p w14:paraId="293AC9F8" w14:textId="77777777" w:rsidR="00401741" w:rsidRDefault="00000000">
      <w:r>
        <w:br w:type="page"/>
      </w:r>
    </w:p>
    <w:p w14:paraId="4F62F932" w14:textId="77777777" w:rsidR="00401741" w:rsidRDefault="00000000">
      <w:pPr>
        <w:pStyle w:val="Heading1"/>
        <w:ind w:firstLine="0"/>
      </w:pPr>
      <w:bookmarkStart w:id="276" w:name="_a7k3h3b6oqi2" w:colFirst="0" w:colLast="0"/>
      <w:bookmarkEnd w:id="276"/>
      <w:r>
        <w:lastRenderedPageBreak/>
        <w:t>Appendix E.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5FC884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4"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5"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6"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47"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48"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49"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0"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1"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5"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4"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58"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57"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59"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0"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1"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3"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4"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69"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2"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0"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79"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4"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85"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86"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2"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1"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2"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3"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4"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95"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97"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99"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0"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1"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2"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4"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3"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07"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6"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08"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0"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09"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1"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2"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3"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15"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16"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17"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18"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19"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0"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1"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3"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4"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25"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26"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27"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28"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0"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1"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2"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3"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36"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37"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2"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1"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0"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45"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4"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48"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47"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46"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0"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49"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55"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4"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3"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2"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1"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58"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59"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9"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71"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73"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74"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86"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91" w:author="Luttik, Daan" w:date="2026-06-07T13:36:00Z" w:initials="DL">
    <w:p w14:paraId="3EE782C4" w14:textId="77777777" w:rsidR="006510E8" w:rsidRDefault="006510E8" w:rsidP="006510E8">
      <w:pPr>
        <w:pStyle w:val="CommentText"/>
        <w:ind w:firstLine="0"/>
      </w:pPr>
      <w:r>
        <w:rPr>
          <w:rStyle w:val="CommentReference"/>
        </w:rPr>
        <w:annotationRef/>
      </w:r>
      <w:r>
        <w:t>Here or in the discussion?..</w:t>
      </w:r>
    </w:p>
  </w:comment>
  <w:comment w:id="192" w:author="Luttik, Daan" w:date="2026-06-06T21:32:00Z" w:initials="DL">
    <w:p w14:paraId="2F6D59CB" w14:textId="77777777" w:rsidR="00864F3E" w:rsidRDefault="00864F3E"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194" w:author="Luttik, Daan" w:date="2026-06-06T21:39:00Z" w:initials="DL">
    <w:p w14:paraId="2EFAA959" w14:textId="77777777" w:rsidR="00850F75" w:rsidRDefault="00850F7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95" w:author="Luttik, Daan" w:date="2026-06-06T22:16:00Z" w:initials="DL">
    <w:p w14:paraId="1A01B2D5" w14:textId="77777777" w:rsidR="00F2696B" w:rsidRDefault="00F2696B" w:rsidP="00F2696B">
      <w:pPr>
        <w:pStyle w:val="CommentText"/>
        <w:ind w:firstLine="0"/>
      </w:pPr>
      <w:r>
        <w:rPr>
          <w:rStyle w:val="CommentReference"/>
        </w:rPr>
        <w:annotationRef/>
      </w:r>
      <w:r>
        <w:t>Again doubt about if this can be part of chapter 4</w:t>
      </w:r>
    </w:p>
  </w:comment>
  <w:comment w:id="199" w:author="Luttik, Daan" w:date="2026-06-07T10:56:00Z" w:initials="DL">
    <w:p w14:paraId="54DE6EE3" w14:textId="77777777" w:rsidR="00A83E78" w:rsidRDefault="00A83E78" w:rsidP="00A83E78">
      <w:pPr>
        <w:pStyle w:val="CommentText"/>
        <w:ind w:firstLine="0"/>
      </w:pPr>
      <w:r>
        <w:rPr>
          <w:rStyle w:val="CommentReference"/>
        </w:rPr>
        <w:annotationRef/>
      </w:r>
      <w:r>
        <w:t>@claude:  I don’t think this is entirely true. Value is partly based on the configuration you use, but it’s also very much dependent on the manager’s behaviour. If you’re implementing a system which you’re not bringing people along, it won’t be used and it won’t derive value. Likewise, a lot of the value is based on actually starting. Organisations that do not start with experimentation, getting stuck in their legal setup, are missing a lot of potential value.</w:t>
      </w:r>
    </w:p>
  </w:comment>
  <w:comment w:id="213"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14"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17"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20"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21"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26"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5FC884B8"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69B6D4C4" w15:done="0"/>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79B7721E" w15:done="0"/>
  <w15:commentEx w15:paraId="0DA1D061" w15:done="0"/>
  <w15:commentEx w15:paraId="13C3C6DF" w15:done="1"/>
  <w15:commentEx w15:paraId="58B1243D" w15:done="1"/>
  <w15:commentEx w15:paraId="1EC82017" w15:done="0"/>
  <w15:commentEx w15:paraId="7E83C35B" w15:done="0"/>
  <w15:commentEx w15:paraId="1FEA7252" w15:done="0"/>
  <w15:commentEx w15:paraId="00307BCD" w15:done="0"/>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69ACE959" w15:done="0"/>
  <w15:commentEx w15:paraId="2980F578" w15:done="0"/>
  <w15:commentEx w15:paraId="5355B2EA" w15:done="1"/>
  <w15:commentEx w15:paraId="323EB003" w15:done="0"/>
  <w15:commentEx w15:paraId="19BDAF4D" w15:done="0"/>
  <w15:commentEx w15:paraId="3EE782C4" w15:done="0"/>
  <w15:commentEx w15:paraId="2F6D59CB" w15:done="0"/>
  <w15:commentEx w15:paraId="2EFAA959" w15:done="0"/>
  <w15:commentEx w15:paraId="1A01B2D5" w15:done="0"/>
  <w15:commentEx w15:paraId="54DE6EE3"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0FBFE4F7" w16cex:dateUtc="2026-06-05T17:34:00Z"/>
  <w16cex:commentExtensible w16cex:durableId="5B3B7D67" w16cex:dateUtc="2026-06-07T11:36:00Z"/>
  <w16cex:commentExtensible w16cex:durableId="3DCB5162" w16cex:dateUtc="2026-06-06T19:32:00Z"/>
  <w16cex:commentExtensible w16cex:durableId="73DA34DA" w16cex:dateUtc="2026-06-06T19:39:00Z"/>
  <w16cex:commentExtensible w16cex:durableId="37A8CDDB" w16cex:dateUtc="2026-06-06T20:16:00Z"/>
  <w16cex:commentExtensible w16cex:durableId="1148F5F5" w16cex:dateUtc="2026-06-07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5FC884B8" w16cid:durableId="0E21E8AD"/>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3EE782C4" w16cid:durableId="5B3B7D67"/>
  <w16cid:commentId w16cid:paraId="2F6D59CB" w16cid:durableId="3DCB5162"/>
  <w16cid:commentId w16cid:paraId="2EFAA959" w16cid:durableId="73DA34DA"/>
  <w16cid:commentId w16cid:paraId="1A01B2D5" w16cid:durableId="37A8CDDB"/>
  <w16cid:commentId w16cid:paraId="54DE6EE3" w16cid:durableId="1148F5F5"/>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6C2A2" w14:textId="77777777" w:rsidR="00253A4E" w:rsidRDefault="00253A4E">
      <w:pPr>
        <w:spacing w:line="240" w:lineRule="auto"/>
      </w:pPr>
      <w:r>
        <w:separator/>
      </w:r>
    </w:p>
  </w:endnote>
  <w:endnote w:type="continuationSeparator" w:id="0">
    <w:p w14:paraId="300B706D" w14:textId="77777777" w:rsidR="00253A4E" w:rsidRDefault="00253A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70C41359-543D-4653-8069-030906F3720C}"/>
    <w:embedBold r:id="rId2" w:fontKey="{6AE8320D-F132-4951-A366-B1C1870989D3}"/>
    <w:embedItalic r:id="rId3" w:fontKey="{EA6621D3-CD74-499F-989F-AA667DDF3F02}"/>
    <w:embedBoldItalic r:id="rId4" w:fontKey="{65534EE4-0762-4002-8B8C-1808FE28B0F3}"/>
  </w:font>
  <w:font w:name="EB Garamond SemiBold">
    <w:charset w:val="00"/>
    <w:family w:val="auto"/>
    <w:pitch w:val="variable"/>
    <w:sig w:usb0="E00002FF" w:usb1="02000413" w:usb2="00000000" w:usb3="00000000" w:csb0="0000019F" w:csb1="00000000"/>
    <w:embedRegular r:id="rId5" w:fontKey="{6E7C4204-DFE4-4270-8FD0-DE317AA732EE}"/>
  </w:font>
  <w:font w:name="EB Garamond Medium">
    <w:charset w:val="00"/>
    <w:family w:val="auto"/>
    <w:pitch w:val="variable"/>
    <w:sig w:usb0="E00002FF" w:usb1="02000413" w:usb2="00000000" w:usb3="00000000" w:csb0="0000019F" w:csb1="00000000"/>
    <w:embedRegular r:id="rId6" w:fontKey="{20075004-C671-4C7E-AB18-11918267A861}"/>
  </w:font>
  <w:font w:name="Segoe UI">
    <w:panose1 w:val="020B0502040204020203"/>
    <w:charset w:val="00"/>
    <w:family w:val="swiss"/>
    <w:pitch w:val="variable"/>
    <w:sig w:usb0="E4002EFF" w:usb1="C000E47F" w:usb2="00000009" w:usb3="00000000" w:csb0="000001FF" w:csb1="00000000"/>
    <w:embedRegular r:id="rId7" w:fontKey="{7CE20981-C54E-4A90-B712-A6CA48D06BD4}"/>
    <w:embedBold r:id="rId8" w:fontKey="{6E617E0E-68E3-4E3A-8ABC-9C9B735C410F}"/>
  </w:font>
  <w:font w:name="Cardo">
    <w:charset w:val="00"/>
    <w:family w:val="auto"/>
    <w:pitch w:val="default"/>
    <w:embedRegular r:id="rId9" w:fontKey="{6B754309-2B66-44FA-98D3-2DAAD37428FD}"/>
  </w:font>
  <w:font w:name="Calibri">
    <w:panose1 w:val="020F0502020204030204"/>
    <w:charset w:val="00"/>
    <w:family w:val="swiss"/>
    <w:pitch w:val="variable"/>
    <w:sig w:usb0="E4002EFF" w:usb1="C200247B" w:usb2="00000009" w:usb3="00000000" w:csb0="000001FF" w:csb1="00000000"/>
    <w:embedRegular r:id="rId10" w:fontKey="{A2E067B7-2505-425E-9061-A2646D109015}"/>
  </w:font>
  <w:font w:name="Cambria">
    <w:panose1 w:val="02040503050406030204"/>
    <w:charset w:val="00"/>
    <w:family w:val="roman"/>
    <w:pitch w:val="variable"/>
    <w:sig w:usb0="E00006FF" w:usb1="420024FF" w:usb2="02000000" w:usb3="00000000" w:csb0="0000019F" w:csb1="00000000"/>
    <w:embedRegular r:id="rId11" w:fontKey="{1095E87B-8D28-4375-8835-5A838F865D5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E4A7" w14:textId="77777777" w:rsidR="00253A4E" w:rsidRDefault="00253A4E">
      <w:pPr>
        <w:spacing w:line="240" w:lineRule="auto"/>
      </w:pPr>
      <w:r>
        <w:separator/>
      </w:r>
    </w:p>
  </w:footnote>
  <w:footnote w:type="continuationSeparator" w:id="0">
    <w:p w14:paraId="3E71CDD0" w14:textId="77777777" w:rsidR="00253A4E" w:rsidRDefault="00253A4E">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2"/>
  </w:num>
  <w:num w:numId="4" w16cid:durableId="238558033">
    <w:abstractNumId w:val="8"/>
  </w:num>
  <w:num w:numId="5" w16cid:durableId="1646160777">
    <w:abstractNumId w:val="6"/>
  </w:num>
  <w:num w:numId="6" w16cid:durableId="1217813735">
    <w:abstractNumId w:val="5"/>
  </w:num>
  <w:num w:numId="7" w16cid:durableId="569197200">
    <w:abstractNumId w:val="2"/>
  </w:num>
  <w:num w:numId="8" w16cid:durableId="340592914">
    <w:abstractNumId w:val="10"/>
  </w:num>
  <w:num w:numId="9" w16cid:durableId="387461117">
    <w:abstractNumId w:val="4"/>
  </w:num>
  <w:num w:numId="10" w16cid:durableId="1699353059">
    <w:abstractNumId w:val="1"/>
  </w:num>
  <w:num w:numId="11" w16cid:durableId="964115238">
    <w:abstractNumId w:val="13"/>
  </w:num>
  <w:num w:numId="12" w16cid:durableId="1285959903">
    <w:abstractNumId w:val="9"/>
  </w:num>
  <w:num w:numId="13" w16cid:durableId="921449315">
    <w:abstractNumId w:val="7"/>
  </w:num>
  <w:num w:numId="14" w16cid:durableId="168377522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12595"/>
    <w:rsid w:val="00017B78"/>
    <w:rsid w:val="0002247E"/>
    <w:rsid w:val="0003407A"/>
    <w:rsid w:val="00036138"/>
    <w:rsid w:val="00040550"/>
    <w:rsid w:val="0006405F"/>
    <w:rsid w:val="000641A9"/>
    <w:rsid w:val="00082D32"/>
    <w:rsid w:val="0008462C"/>
    <w:rsid w:val="0008605E"/>
    <w:rsid w:val="000900D1"/>
    <w:rsid w:val="000D33B2"/>
    <w:rsid w:val="000E6B85"/>
    <w:rsid w:val="000F6EBA"/>
    <w:rsid w:val="00117595"/>
    <w:rsid w:val="00117F5C"/>
    <w:rsid w:val="001224F7"/>
    <w:rsid w:val="0012657A"/>
    <w:rsid w:val="00160104"/>
    <w:rsid w:val="00164FB9"/>
    <w:rsid w:val="00175508"/>
    <w:rsid w:val="0019308A"/>
    <w:rsid w:val="00197894"/>
    <w:rsid w:val="001B5FA5"/>
    <w:rsid w:val="001C0088"/>
    <w:rsid w:val="001C0E34"/>
    <w:rsid w:val="001C595F"/>
    <w:rsid w:val="001C79B1"/>
    <w:rsid w:val="001D2AF0"/>
    <w:rsid w:val="001E31FC"/>
    <w:rsid w:val="001E7E38"/>
    <w:rsid w:val="001F1BBD"/>
    <w:rsid w:val="002002AD"/>
    <w:rsid w:val="002042D9"/>
    <w:rsid w:val="002128D4"/>
    <w:rsid w:val="00212B99"/>
    <w:rsid w:val="00216F33"/>
    <w:rsid w:val="0022390F"/>
    <w:rsid w:val="00236A17"/>
    <w:rsid w:val="00246FE8"/>
    <w:rsid w:val="00253A4E"/>
    <w:rsid w:val="002660AA"/>
    <w:rsid w:val="00282FBD"/>
    <w:rsid w:val="00287922"/>
    <w:rsid w:val="002940E3"/>
    <w:rsid w:val="002A58E8"/>
    <w:rsid w:val="002B5E5E"/>
    <w:rsid w:val="002C13D1"/>
    <w:rsid w:val="002D4619"/>
    <w:rsid w:val="002E66F3"/>
    <w:rsid w:val="003119AA"/>
    <w:rsid w:val="003210BF"/>
    <w:rsid w:val="00326636"/>
    <w:rsid w:val="00326A4A"/>
    <w:rsid w:val="00330A78"/>
    <w:rsid w:val="00332258"/>
    <w:rsid w:val="00334419"/>
    <w:rsid w:val="003370C8"/>
    <w:rsid w:val="00341565"/>
    <w:rsid w:val="00342530"/>
    <w:rsid w:val="00343798"/>
    <w:rsid w:val="00343FC7"/>
    <w:rsid w:val="00344144"/>
    <w:rsid w:val="003600C1"/>
    <w:rsid w:val="00363878"/>
    <w:rsid w:val="00376567"/>
    <w:rsid w:val="00380EBF"/>
    <w:rsid w:val="00396066"/>
    <w:rsid w:val="00396F15"/>
    <w:rsid w:val="003B08C8"/>
    <w:rsid w:val="003B7C04"/>
    <w:rsid w:val="003C58DC"/>
    <w:rsid w:val="003D3C88"/>
    <w:rsid w:val="003E199D"/>
    <w:rsid w:val="003E2895"/>
    <w:rsid w:val="003E5F14"/>
    <w:rsid w:val="00401741"/>
    <w:rsid w:val="00405433"/>
    <w:rsid w:val="00405B97"/>
    <w:rsid w:val="00406285"/>
    <w:rsid w:val="00432CAE"/>
    <w:rsid w:val="00435C82"/>
    <w:rsid w:val="0043656F"/>
    <w:rsid w:val="00441064"/>
    <w:rsid w:val="00444E94"/>
    <w:rsid w:val="00445258"/>
    <w:rsid w:val="004515FE"/>
    <w:rsid w:val="00454B20"/>
    <w:rsid w:val="00462B1A"/>
    <w:rsid w:val="004638BF"/>
    <w:rsid w:val="00464760"/>
    <w:rsid w:val="004756DD"/>
    <w:rsid w:val="00485E33"/>
    <w:rsid w:val="00494D0B"/>
    <w:rsid w:val="004951D2"/>
    <w:rsid w:val="004A6EB2"/>
    <w:rsid w:val="004B4F1B"/>
    <w:rsid w:val="004D4576"/>
    <w:rsid w:val="004D6F47"/>
    <w:rsid w:val="004F1AA8"/>
    <w:rsid w:val="004F7EE2"/>
    <w:rsid w:val="00500E64"/>
    <w:rsid w:val="00501595"/>
    <w:rsid w:val="00501D6C"/>
    <w:rsid w:val="00516EED"/>
    <w:rsid w:val="005365C8"/>
    <w:rsid w:val="00542D46"/>
    <w:rsid w:val="00545C1C"/>
    <w:rsid w:val="00545E45"/>
    <w:rsid w:val="005464FB"/>
    <w:rsid w:val="00551A0C"/>
    <w:rsid w:val="00557F47"/>
    <w:rsid w:val="00560D44"/>
    <w:rsid w:val="00582337"/>
    <w:rsid w:val="005846F5"/>
    <w:rsid w:val="00587D7C"/>
    <w:rsid w:val="00591258"/>
    <w:rsid w:val="00592BDE"/>
    <w:rsid w:val="0059315C"/>
    <w:rsid w:val="005A4BAD"/>
    <w:rsid w:val="005B6108"/>
    <w:rsid w:val="005C55FC"/>
    <w:rsid w:val="005F0FB6"/>
    <w:rsid w:val="00606BD5"/>
    <w:rsid w:val="00611F20"/>
    <w:rsid w:val="00637EA7"/>
    <w:rsid w:val="006510E8"/>
    <w:rsid w:val="00652B3F"/>
    <w:rsid w:val="00655088"/>
    <w:rsid w:val="0066236E"/>
    <w:rsid w:val="00664D2B"/>
    <w:rsid w:val="00685F05"/>
    <w:rsid w:val="00696CD7"/>
    <w:rsid w:val="006A47C9"/>
    <w:rsid w:val="006C140F"/>
    <w:rsid w:val="006C6062"/>
    <w:rsid w:val="006E2577"/>
    <w:rsid w:val="006F4101"/>
    <w:rsid w:val="0071032E"/>
    <w:rsid w:val="0072494C"/>
    <w:rsid w:val="0072754C"/>
    <w:rsid w:val="00731B8A"/>
    <w:rsid w:val="007336B7"/>
    <w:rsid w:val="0074556E"/>
    <w:rsid w:val="00754B18"/>
    <w:rsid w:val="00754F9D"/>
    <w:rsid w:val="00757497"/>
    <w:rsid w:val="007738BF"/>
    <w:rsid w:val="007A1110"/>
    <w:rsid w:val="007A4571"/>
    <w:rsid w:val="007C5AFE"/>
    <w:rsid w:val="007D533F"/>
    <w:rsid w:val="007D5970"/>
    <w:rsid w:val="007E1665"/>
    <w:rsid w:val="00800E71"/>
    <w:rsid w:val="00824F76"/>
    <w:rsid w:val="008341B7"/>
    <w:rsid w:val="00842EEA"/>
    <w:rsid w:val="00850F75"/>
    <w:rsid w:val="008632C5"/>
    <w:rsid w:val="00864F3E"/>
    <w:rsid w:val="00872655"/>
    <w:rsid w:val="0087346B"/>
    <w:rsid w:val="008903B6"/>
    <w:rsid w:val="008927A5"/>
    <w:rsid w:val="0089648C"/>
    <w:rsid w:val="00896C29"/>
    <w:rsid w:val="008A7B31"/>
    <w:rsid w:val="008B5BF3"/>
    <w:rsid w:val="008B7CBE"/>
    <w:rsid w:val="008E1D68"/>
    <w:rsid w:val="008F107B"/>
    <w:rsid w:val="008F538E"/>
    <w:rsid w:val="00924A3C"/>
    <w:rsid w:val="009250B0"/>
    <w:rsid w:val="009267BF"/>
    <w:rsid w:val="00927175"/>
    <w:rsid w:val="00935832"/>
    <w:rsid w:val="00940849"/>
    <w:rsid w:val="00943084"/>
    <w:rsid w:val="009505B0"/>
    <w:rsid w:val="0095250B"/>
    <w:rsid w:val="00960F07"/>
    <w:rsid w:val="0097292D"/>
    <w:rsid w:val="00974539"/>
    <w:rsid w:val="00981EAD"/>
    <w:rsid w:val="00983B42"/>
    <w:rsid w:val="00985546"/>
    <w:rsid w:val="00991EA0"/>
    <w:rsid w:val="00993889"/>
    <w:rsid w:val="009A0CDC"/>
    <w:rsid w:val="009E1EE4"/>
    <w:rsid w:val="009E5E88"/>
    <w:rsid w:val="00A0641D"/>
    <w:rsid w:val="00A1391D"/>
    <w:rsid w:val="00A21701"/>
    <w:rsid w:val="00A227E8"/>
    <w:rsid w:val="00A465FF"/>
    <w:rsid w:val="00A51264"/>
    <w:rsid w:val="00A5154E"/>
    <w:rsid w:val="00A67943"/>
    <w:rsid w:val="00A7239D"/>
    <w:rsid w:val="00A83E78"/>
    <w:rsid w:val="00AA5558"/>
    <w:rsid w:val="00AB584C"/>
    <w:rsid w:val="00AB5895"/>
    <w:rsid w:val="00AC12A9"/>
    <w:rsid w:val="00AC2F05"/>
    <w:rsid w:val="00AD6FDD"/>
    <w:rsid w:val="00AE65D3"/>
    <w:rsid w:val="00AF3177"/>
    <w:rsid w:val="00B149D8"/>
    <w:rsid w:val="00B47AAF"/>
    <w:rsid w:val="00B50D1F"/>
    <w:rsid w:val="00B64A37"/>
    <w:rsid w:val="00B64A72"/>
    <w:rsid w:val="00B87008"/>
    <w:rsid w:val="00B92841"/>
    <w:rsid w:val="00B928A9"/>
    <w:rsid w:val="00BB17A3"/>
    <w:rsid w:val="00BB6A09"/>
    <w:rsid w:val="00BD693C"/>
    <w:rsid w:val="00BF68AF"/>
    <w:rsid w:val="00C016E4"/>
    <w:rsid w:val="00C16581"/>
    <w:rsid w:val="00C2043D"/>
    <w:rsid w:val="00C31A3B"/>
    <w:rsid w:val="00C33013"/>
    <w:rsid w:val="00C37340"/>
    <w:rsid w:val="00C4676C"/>
    <w:rsid w:val="00C46AF7"/>
    <w:rsid w:val="00C50BB3"/>
    <w:rsid w:val="00CA611F"/>
    <w:rsid w:val="00CB1B7C"/>
    <w:rsid w:val="00CB4C7D"/>
    <w:rsid w:val="00CB6AD2"/>
    <w:rsid w:val="00CC2CA4"/>
    <w:rsid w:val="00CC65FE"/>
    <w:rsid w:val="00CD47EB"/>
    <w:rsid w:val="00CD79F9"/>
    <w:rsid w:val="00CE71D1"/>
    <w:rsid w:val="00D0074F"/>
    <w:rsid w:val="00D0792E"/>
    <w:rsid w:val="00D4793F"/>
    <w:rsid w:val="00D519FB"/>
    <w:rsid w:val="00D54526"/>
    <w:rsid w:val="00D81157"/>
    <w:rsid w:val="00DA220B"/>
    <w:rsid w:val="00DA407F"/>
    <w:rsid w:val="00DA6386"/>
    <w:rsid w:val="00DB368A"/>
    <w:rsid w:val="00DB3D5B"/>
    <w:rsid w:val="00DC24D4"/>
    <w:rsid w:val="00DD1D41"/>
    <w:rsid w:val="00DD3A03"/>
    <w:rsid w:val="00E10270"/>
    <w:rsid w:val="00E26B0B"/>
    <w:rsid w:val="00E370E5"/>
    <w:rsid w:val="00E442A2"/>
    <w:rsid w:val="00E44EA4"/>
    <w:rsid w:val="00E54D37"/>
    <w:rsid w:val="00E84660"/>
    <w:rsid w:val="00EB4E8E"/>
    <w:rsid w:val="00EB7CDD"/>
    <w:rsid w:val="00EE05F1"/>
    <w:rsid w:val="00EE2059"/>
    <w:rsid w:val="00EE60F5"/>
    <w:rsid w:val="00EF0188"/>
    <w:rsid w:val="00F002CA"/>
    <w:rsid w:val="00F2649A"/>
    <w:rsid w:val="00F2696B"/>
    <w:rsid w:val="00F53221"/>
    <w:rsid w:val="00F535D8"/>
    <w:rsid w:val="00F566FE"/>
    <w:rsid w:val="00F56FF9"/>
    <w:rsid w:val="00F672A4"/>
    <w:rsid w:val="00F74A04"/>
    <w:rsid w:val="00F75BE0"/>
    <w:rsid w:val="00F77903"/>
    <w:rsid w:val="00F90858"/>
    <w:rsid w:val="00F9706B"/>
    <w:rsid w:val="00FB1D74"/>
    <w:rsid w:val="00FC6A82"/>
    <w:rsid w:val="00FE308E"/>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9315C"/>
    <w:tblPr>
      <w:tblCellMar>
        <w:top w:w="100" w:type="dxa"/>
        <w:left w:w="100" w:type="dxa"/>
        <w:bottom w:w="100" w:type="dxa"/>
        <w:right w:w="100" w:type="dxa"/>
      </w:tblCellMar>
    </w:tblPr>
    <w:tblStylePr w:type="firstRow">
      <w:tblPr/>
      <w:tcPr>
        <w:tcBorders>
          <w:top w:val="nil"/>
          <w:bottom w:val="nil"/>
        </w:tcBorders>
      </w:tcPr>
    </w:tblStylePr>
    <w:tblStylePr w:type="lastRow">
      <w:tblPr/>
      <w:tcPr>
        <w:tcBorders>
          <w:bottom w:val="nil"/>
        </w:tcBorders>
      </w:tcPr>
    </w:tblStyle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0">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1">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2">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59315C"/>
    <w:pPr>
      <w:spacing w:line="240" w:lineRule="auto"/>
      <w:ind w:firstLine="0"/>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eader" Target="header3.xml"/><Relationship Id="rId26" Type="http://schemas.openxmlformats.org/officeDocument/2006/relationships/hyperlink" Target="https://doi.org/10.1016/j.bushor.2021.03.006" TargetMode="External"/><Relationship Id="rId39" Type="http://schemas.openxmlformats.org/officeDocument/2006/relationships/image" Target="media/image4.png"/><Relationship Id="rId21" Type="http://schemas.openxmlformats.org/officeDocument/2006/relationships/hyperlink" Target="https://www.anthropic.com/engineering/equipping-agents-for-the-real-world-with-agent-skills" TargetMode="External"/><Relationship Id="rId34" Type="http://schemas.openxmlformats.org/officeDocument/2006/relationships/hyperlink" Target="https://doi.org/10.5539/ass.v11n9p320"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anthropic.com/news/model-context-protocol" TargetMode="External"/><Relationship Id="rId29" Type="http://schemas.openxmlformats.org/officeDocument/2006/relationships/hyperlink" Target="https://www.mckinsey.com/capabilities/mckinsey-digital/our-insights/superagency-in-the-workplace-empowering-people-to-unlock-ais-full-potential-at-work"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69554/xehz1946" TargetMode="External"/><Relationship Id="rId32" Type="http://schemas.openxmlformats.org/officeDocument/2006/relationships/hyperlink" Target="https://openai.com/index/function-calling-and-other-api-updates/" TargetMode="External"/><Relationship Id="rId37" Type="http://schemas.openxmlformats.org/officeDocument/2006/relationships/hyperlink" Target="https://doi.org/10.1016/j.jbusres.2022.07.020" TargetMode="External"/><Relationship Id="rId40" Type="http://schemas.openxmlformats.org/officeDocument/2006/relationships/hyperlink" Target="https://www.sciencedirect.com/science/article/pii/S0148296320305816?casa_token=-TZnYSiJItAAAAAA:2TosN3zZkh8TzkAafxZI0TgvzAI9n52IVpDxicnCelZ6WeQl9xhDpmvVVY0ewWM_RntdOMqccns"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help.openai.com/en/articles/20001066-skills-in-chatgpt" TargetMode="External"/><Relationship Id="rId28" Type="http://schemas.openxmlformats.org/officeDocument/2006/relationships/hyperlink" Target="https://doi.org/10.1007/s11747-020-00749-9"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hyperlink" Target="https://openai.com/index/chatgpt/"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claude.com/blog/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1002/(SICI)1097-0266(199708)18:7%3c509::AID-SMJ882%3e3.0.CO;2-Z" TargetMode="External"/><Relationship Id="rId43"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microsoft.com/office/2018/08/relationships/commentsExtensible" Target="commentsExtensible.xml"/><Relationship Id="rId25" Type="http://schemas.openxmlformats.org/officeDocument/2006/relationships/hyperlink" Target="https://doi.org/10.48550/arXiv.2405.21015" TargetMode="External"/><Relationship Id="rId33" Type="http://schemas.openxmlformats.org/officeDocument/2006/relationships/hyperlink" Target="https://doi.org/10.5539/ass.v11n9p320" TargetMode="External"/><Relationship Id="rId38" Type="http://schemas.openxmlformats.org/officeDocument/2006/relationships/hyperlink" Target="https://doi.org/10.1016/j.jbusres.2022.07.020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81</Pages>
  <Words>22068</Words>
  <Characters>121378</Characters>
  <Application>Microsoft Office Word</Application>
  <DocSecurity>0</DocSecurity>
  <Lines>1011</Lines>
  <Paragraphs>286</Paragraphs>
  <ScaleCrop>false</ScaleCrop>
  <Company/>
  <LinksUpToDate>false</LinksUpToDate>
  <CharactersWithSpaces>143160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231</cp:revision>
  <dcterms:created xsi:type="dcterms:W3CDTF">2026-06-01T19:34:00Z</dcterms:created>
  <dcterms:modified xsi:type="dcterms:W3CDTF">2026-06-07T11:37:00Z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