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289A5" w14:textId="77777777" w:rsidR="009A60FD" w:rsidRDefault="007D1AA7">
      <w:pPr>
        <w:pageBreakBefore/>
        <w:spacing w:before="240" w:after="120" w:line="480" w:lineRule="exact"/>
        <w:jc w:val="center"/>
      </w:pPr>
      <w:r>
        <w:rPr>
          <w:rFonts w:ascii="Times New Roman" w:hAnsi="Times New Roman" w:cs="Times New Roman"/>
          <w:b/>
          <w:sz w:val="32"/>
        </w:rPr>
        <w:t>РОЗДІЛ 1. ОГЛЯД ЛІТЕРАТУРИ ТА АНАЛІЗ ПРЕДМЕТНОЇ ОБЛАСТІ</w:t>
      </w:r>
    </w:p>
    <w:p w14:paraId="77674B4A" w14:textId="77777777" w:rsidR="009A60FD" w:rsidRDefault="007D1AA7">
      <w:pPr>
        <w:spacing w:before="60" w:after="60" w:line="360" w:lineRule="exact"/>
        <w:jc w:val="center"/>
      </w:pPr>
      <w:r>
        <w:rPr>
          <w:rFonts w:ascii="Times New Roman" w:hAnsi="Times New Roman" w:cs="Times New Roman"/>
          <w:b/>
          <w:i/>
          <w:sz w:val="28"/>
        </w:rPr>
        <w:t>1.1. Концепція Smart City: роль інтелектуальних енергосистем (Smart Grid)</w:t>
      </w:r>
    </w:p>
    <w:p w14:paraId="50C0599B" w14:textId="77777777" w:rsidR="009A60FD" w:rsidRDefault="007D1AA7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1.1.1. Еволюція міських інфраструктур та виклики сучасної урбанізації</w:t>
      </w:r>
    </w:p>
    <w:p w14:paraId="7E3A75BB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Чому сучасні міста потребують нових підходів? Сучасна урбанізація вимагає якісно нових підходів до управління міською інфраструктурою [7]. Згідно з прогнозами ООН, до 2050 року понад 68% населення планети проживатиме у містах, що створить безпрецедентне навантаження на енергетичні, транспортні та соціальні системи. Концепція </w:t>
      </w:r>
      <w:r>
        <w:rPr>
          <w:rFonts w:ascii="Times New Roman" w:hAnsi="Times New Roman" w:cs="Times New Roman"/>
          <w:b/>
          <w:sz w:val="28"/>
        </w:rPr>
        <w:t>«Розумного міста» (Smart City)</w:t>
      </w:r>
      <w:r>
        <w:rPr>
          <w:rFonts w:ascii="Times New Roman" w:hAnsi="Times New Roman" w:cs="Times New Roman"/>
          <w:sz w:val="28"/>
        </w:rPr>
        <w:t xml:space="preserve"> постає як відповідь на ці виклики, де ефективність функціонування забезпечується глибокою інтеграцією інформаційно-комунікаційних технологій (ІКТ).</w:t>
      </w:r>
    </w:p>
    <w:p w14:paraId="23C392C0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Проблематика сучасних мегаполісів включає:</w:t>
      </w:r>
    </w:p>
    <w:p w14:paraId="20E1A77E" w14:textId="77777777" w:rsidR="009A60FD" w:rsidRDefault="007D1AA7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Дефіцит енергетичних потужностей:</w:t>
      </w:r>
      <w:r>
        <w:rPr>
          <w:rFonts w:ascii="Times New Roman" w:hAnsi="Times New Roman" w:cs="Times New Roman"/>
          <w:sz w:val="28"/>
        </w:rPr>
        <w:t xml:space="preserve"> застарілі мережі не розраховані на різке зростання кількості електромобілів та систем кондиціонування.</w:t>
      </w:r>
    </w:p>
    <w:p w14:paraId="0BE35B27" w14:textId="77777777" w:rsidR="009A60FD" w:rsidRDefault="007D1AA7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Нерівномірність споживання:</w:t>
      </w:r>
      <w:r>
        <w:rPr>
          <w:rFonts w:ascii="Times New Roman" w:hAnsi="Times New Roman" w:cs="Times New Roman"/>
          <w:sz w:val="28"/>
        </w:rPr>
        <w:t xml:space="preserve"> виникнення критичних піків, що змушують тримати в резерві неекологічні потужності (вугільні ТЕС).</w:t>
      </w:r>
    </w:p>
    <w:p w14:paraId="2C2C9A7F" w14:textId="77777777" w:rsidR="009A60FD" w:rsidRDefault="007D1AA7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Інформаційна розрізненість:</w:t>
      </w:r>
      <w:r>
        <w:rPr>
          <w:rFonts w:ascii="Times New Roman" w:hAnsi="Times New Roman" w:cs="Times New Roman"/>
          <w:sz w:val="28"/>
        </w:rPr>
        <w:t xml:space="preserve"> дані про споживання часто залишаються "закритими" всередині окремих підрозділів, що унеможливлює комплексне планування.</w:t>
      </w:r>
    </w:p>
    <w:p w14:paraId="462FBDDF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Історично розвиток міст проходив через кілька етапів: від Infrastructure City (фізична розбудова) та Digital City (оцифрування реєстрів) до сучасного Smart City 3.0, де використання систем штучного інтелекту та великих даних (Big Data) дозволяє здійснювати проактивне управління. В основі Smart City лежить розгалужена мережа взаємопов'язаних пристроїв — </w:t>
      </w:r>
      <w:r>
        <w:rPr>
          <w:rFonts w:ascii="Times New Roman" w:hAnsi="Times New Roman" w:cs="Times New Roman"/>
          <w:b/>
          <w:sz w:val="28"/>
        </w:rPr>
        <w:t>Інтернету речей (IoT)</w:t>
      </w:r>
      <w:r>
        <w:rPr>
          <w:rFonts w:ascii="Times New Roman" w:hAnsi="Times New Roman" w:cs="Times New Roman"/>
          <w:sz w:val="28"/>
        </w:rPr>
        <w:t xml:space="preserve">. </w:t>
      </w:r>
    </w:p>
    <w:p w14:paraId="3093F5A5" w14:textId="77777777" w:rsidR="009A60FD" w:rsidRDefault="007D1AA7">
      <w:pPr>
        <w:jc w:val="center"/>
      </w:pPr>
      <w:r>
        <w:rPr>
          <w:noProof/>
        </w:rPr>
        <w:lastRenderedPageBreak/>
        <w:drawing>
          <wp:inline distT="0" distB="0" distL="0" distR="0" wp14:anchorId="488CD97E" wp14:editId="5E808BD1">
            <wp:extent cx="5580000" cy="43669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886B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Рис. 1.1. Типова багаторівнева архітектура IoT-платформи Smart City</w:t>
      </w:r>
    </w:p>
    <w:p w14:paraId="34D543AB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Процеси збору та аналізу даних у реальному часі дозволяють трансформувати міське середовище у динамічну екосистему, здатну до самодіагностики та самовідновлення. Світовий досвід (Сінгапур, Барселона) підтверджує, що саме цифровізація дозволяє економити до 30% енергоресурсів на рівні муніципалітету.</w:t>
      </w:r>
    </w:p>
    <w:p w14:paraId="7491C5F1" w14:textId="77777777" w:rsidR="009A60FD" w:rsidRDefault="007D1AA7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1.1.2. Smart Grid — енергетичне серце Розумного міста</w:t>
      </w:r>
    </w:p>
    <w:p w14:paraId="1763B20E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Яке місце займає енергетика в Smart City? </w:t>
      </w:r>
      <w:r>
        <w:rPr>
          <w:rFonts w:ascii="Times New Roman" w:hAnsi="Times New Roman" w:cs="Times New Roman"/>
          <w:b/>
          <w:sz w:val="28"/>
        </w:rPr>
        <w:t>Енергоспоживання</w:t>
      </w:r>
      <w:r>
        <w:rPr>
          <w:rFonts w:ascii="Times New Roman" w:hAnsi="Times New Roman" w:cs="Times New Roman"/>
          <w:sz w:val="28"/>
        </w:rPr>
        <w:t xml:space="preserve"> є фундаментом та ключовим показником життєдіяльності будь-якого мегаполісу. У концепції Smart City енергетичний сектор трансформується у </w:t>
      </w:r>
      <w:r>
        <w:rPr>
          <w:rFonts w:ascii="Times New Roman" w:hAnsi="Times New Roman" w:cs="Times New Roman"/>
          <w:b/>
          <w:sz w:val="28"/>
        </w:rPr>
        <w:t>Smart Grid (інтелектуальні мережі)</w:t>
      </w:r>
      <w:r>
        <w:rPr>
          <w:rFonts w:ascii="Times New Roman" w:hAnsi="Times New Roman" w:cs="Times New Roman"/>
          <w:sz w:val="28"/>
        </w:rPr>
        <w:t xml:space="preserve"> — системи, що забезпечують двосторонній обмін як електроенергією, так і даними між постачальником та споживачем.</w:t>
      </w:r>
    </w:p>
    <w:p w14:paraId="66B26E2B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Ключові компоненти Smart Grid:</w:t>
      </w:r>
    </w:p>
    <w:p w14:paraId="66395278" w14:textId="77777777" w:rsidR="009A60FD" w:rsidRDefault="007D1AA7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t xml:space="preserve">1.  </w:t>
      </w:r>
      <w:r>
        <w:rPr>
          <w:rFonts w:ascii="Times New Roman" w:hAnsi="Times New Roman" w:cs="Times New Roman"/>
          <w:b/>
          <w:sz w:val="28"/>
        </w:rPr>
        <w:t>Advanced Metering Infrastructure (AMI):</w:t>
      </w:r>
      <w:r>
        <w:rPr>
          <w:rFonts w:ascii="Times New Roman" w:hAnsi="Times New Roman" w:cs="Times New Roman"/>
          <w:sz w:val="28"/>
        </w:rPr>
        <w:t xml:space="preserve"> системи інтелектуального обліку, що дозволяють отримувати дані про споживання з інтервалом у 15-60 хвилин.</w:t>
      </w:r>
    </w:p>
    <w:p w14:paraId="401DA02F" w14:textId="77777777" w:rsidR="009A60FD" w:rsidRDefault="007D1AA7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lastRenderedPageBreak/>
        <w:t xml:space="preserve">2.  </w:t>
      </w:r>
      <w:r>
        <w:rPr>
          <w:rFonts w:ascii="Times New Roman" w:hAnsi="Times New Roman" w:cs="Times New Roman"/>
          <w:b/>
          <w:sz w:val="28"/>
        </w:rPr>
        <w:t>Phasor Measurement Units (PMU):</w:t>
      </w:r>
      <w:r>
        <w:rPr>
          <w:rFonts w:ascii="Times New Roman" w:hAnsi="Times New Roman" w:cs="Times New Roman"/>
          <w:sz w:val="28"/>
        </w:rPr>
        <w:t xml:space="preserve"> пристрої, що фіксують фазові параметри мережі з високою частотою для запобігання блекаутам.</w:t>
      </w:r>
    </w:p>
    <w:p w14:paraId="4B96F5B4" w14:textId="77777777" w:rsidR="009A60FD" w:rsidRDefault="007D1AA7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t xml:space="preserve">3.  </w:t>
      </w:r>
      <w:r>
        <w:rPr>
          <w:rFonts w:ascii="Times New Roman" w:hAnsi="Times New Roman" w:cs="Times New Roman"/>
          <w:b/>
          <w:sz w:val="28"/>
        </w:rPr>
        <w:t>Energy Storage Systems (ESS):</w:t>
      </w:r>
      <w:r>
        <w:rPr>
          <w:rFonts w:ascii="Times New Roman" w:hAnsi="Times New Roman" w:cs="Times New Roman"/>
          <w:sz w:val="28"/>
        </w:rPr>
        <w:t xml:space="preserve"> системи накопичення енергії, що дозволяють згладжувати графік навантаження.</w:t>
      </w:r>
    </w:p>
    <w:p w14:paraId="795CD0EE" w14:textId="77777777" w:rsidR="009A60FD" w:rsidRDefault="007D1AA7">
      <w:pPr>
        <w:jc w:val="center"/>
      </w:pPr>
      <w:r>
        <w:rPr>
          <w:noProof/>
        </w:rPr>
        <w:drawing>
          <wp:inline distT="0" distB="0" distL="0" distR="0" wp14:anchorId="0480B0FD" wp14:editId="58128824">
            <wp:extent cx="2880000" cy="73998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infra_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3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32CB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lastRenderedPageBreak/>
        <w:t xml:space="preserve">Рис. 1.2. </w:t>
      </w:r>
      <w:r>
        <w:rPr>
          <w:rFonts w:ascii="Times New Roman" w:hAnsi="Times New Roman" w:cs="Times New Roman"/>
          <w:i/>
          <w:sz w:val="28"/>
        </w:rPr>
        <w:t>Концептуальна схема Smart Grid та інфраструктури передачі даних</w:t>
      </w:r>
    </w:p>
    <w:p w14:paraId="33518B29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Чим відрізняються розумні мережі від традиційних? Розумні мережі відрізняються від традиційних наявністю двосторонньої комунікації та здатністю до саморегуляції. Однією з найбільш гострих проблем є так звана </w:t>
      </w:r>
      <w:r>
        <w:rPr>
          <w:rFonts w:ascii="Times New Roman" w:hAnsi="Times New Roman" w:cs="Times New Roman"/>
          <w:b/>
          <w:sz w:val="28"/>
        </w:rPr>
        <w:t>«крива качки» (Duck Curve)</w:t>
      </w:r>
      <w:r>
        <w:rPr>
          <w:rFonts w:ascii="Times New Roman" w:hAnsi="Times New Roman" w:cs="Times New Roman"/>
          <w:sz w:val="28"/>
        </w:rPr>
        <w:t xml:space="preserve"> — феномен різкого падіння чистого навантаження вдень та його стрімкого зростання ввечері, що вимагає надзвичайно точного прогнозування.</w:t>
      </w:r>
    </w:p>
    <w:p w14:paraId="5A546FA5" w14:textId="77777777" w:rsidR="009A60FD" w:rsidRDefault="007D1AA7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1.1.3. Технологія Digital Twin (Цифровий двійник) в енергетиці</w:t>
      </w:r>
    </w:p>
    <w:p w14:paraId="744BFF47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Згідно з міжнародним стандартом ISO 23247 та IEEE 1547, </w:t>
      </w:r>
      <w:r>
        <w:rPr>
          <w:rFonts w:ascii="Times New Roman" w:hAnsi="Times New Roman" w:cs="Times New Roman"/>
          <w:b/>
          <w:sz w:val="28"/>
        </w:rPr>
        <w:t>Цифровий двійник (Digital Twin)</w:t>
      </w:r>
      <w:r>
        <w:rPr>
          <w:rFonts w:ascii="Times New Roman" w:hAnsi="Times New Roman" w:cs="Times New Roman"/>
          <w:sz w:val="28"/>
        </w:rPr>
        <w:t xml:space="preserve"> — це динамічна цифрова копія фізичного активу, яка постійно оновлюється на основі даних сенсорів. У контексті енергетики цифровий двійник дозволяє реалізувати перехід від реактивного обслуговування до </w:t>
      </w:r>
      <w:r>
        <w:rPr>
          <w:rFonts w:ascii="Times New Roman" w:hAnsi="Times New Roman" w:cs="Times New Roman"/>
          <w:b/>
          <w:sz w:val="28"/>
        </w:rPr>
        <w:t>предиктивного (Predictive Maintenance)</w:t>
      </w:r>
      <w:r>
        <w:rPr>
          <w:rFonts w:ascii="Times New Roman" w:hAnsi="Times New Roman" w:cs="Times New Roman"/>
          <w:sz w:val="28"/>
        </w:rPr>
        <w:t>.</w:t>
      </w:r>
    </w:p>
    <w:p w14:paraId="228D4E0A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Рівні зрілості цифрових двійників:</w:t>
      </w:r>
    </w:p>
    <w:p w14:paraId="21F7AA3B" w14:textId="77777777" w:rsidR="009A60FD" w:rsidRDefault="007D1AA7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Описовий (Descriptive):</w:t>
      </w:r>
      <w:r>
        <w:rPr>
          <w:rFonts w:ascii="Times New Roman" w:hAnsi="Times New Roman" w:cs="Times New Roman"/>
          <w:sz w:val="28"/>
        </w:rPr>
        <w:t xml:space="preserve"> візуалізація поточного стану активу в реальному часі.</w:t>
      </w:r>
    </w:p>
    <w:p w14:paraId="354A4FAF" w14:textId="77777777" w:rsidR="009A60FD" w:rsidRDefault="007D1AA7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Діагностичний (Diagnostic):</w:t>
      </w:r>
      <w:r>
        <w:rPr>
          <w:rFonts w:ascii="Times New Roman" w:hAnsi="Times New Roman" w:cs="Times New Roman"/>
          <w:sz w:val="28"/>
        </w:rPr>
        <w:t xml:space="preserve"> аналіз причин виникнення аномалій.</w:t>
      </w:r>
    </w:p>
    <w:p w14:paraId="7EDFB387" w14:textId="77777777" w:rsidR="009A60FD" w:rsidRDefault="007D1AA7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Предиктивний (Predictive):</w:t>
      </w:r>
      <w:r>
        <w:rPr>
          <w:rFonts w:ascii="Times New Roman" w:hAnsi="Times New Roman" w:cs="Times New Roman"/>
          <w:sz w:val="28"/>
        </w:rPr>
        <w:t xml:space="preserve"> прогнозування майбутнього стану на основі історичних даних.</w:t>
      </w:r>
    </w:p>
    <w:p w14:paraId="66F742C5" w14:textId="77777777" w:rsidR="009A60FD" w:rsidRDefault="007D1AA7">
      <w:pPr>
        <w:pStyle w:val="a0"/>
        <w:spacing w:after="40" w:line="360" w:lineRule="exact"/>
        <w:ind w:left="709"/>
      </w:pPr>
      <w:r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b/>
          <w:sz w:val="28"/>
        </w:rPr>
        <w:t>Приписувальний (Prescriptive):</w:t>
      </w:r>
      <w:r>
        <w:rPr>
          <w:rFonts w:ascii="Times New Roman" w:hAnsi="Times New Roman" w:cs="Times New Roman"/>
          <w:sz w:val="28"/>
        </w:rPr>
        <w:t xml:space="preserve"> автоматичне прийняття рішень для оптимізації.</w:t>
      </w:r>
    </w:p>
    <w:p w14:paraId="36C95BCE" w14:textId="77777777" w:rsidR="009A60FD" w:rsidRDefault="007D1AA7">
      <w:pPr>
        <w:spacing w:before="60" w:after="60" w:line="360" w:lineRule="exact"/>
        <w:jc w:val="center"/>
      </w:pPr>
      <w:r>
        <w:rPr>
          <w:rFonts w:ascii="Times New Roman" w:hAnsi="Times New Roman" w:cs="Times New Roman"/>
          <w:b/>
          <w:i/>
          <w:sz w:val="28"/>
        </w:rPr>
        <w:t>1.2. Математичний апарат глибокого навчання для часових рядів</w:t>
      </w:r>
    </w:p>
    <w:p w14:paraId="65D3B850" w14:textId="77777777" w:rsidR="009A60FD" w:rsidRDefault="007D1AA7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1.2.1. Природа енергетичних часових рядів</w:t>
      </w:r>
    </w:p>
    <w:p w14:paraId="0652C409" w14:textId="6E1E8F15" w:rsidR="009A60FD" w:rsidRDefault="007D1AA7">
      <w:pPr>
        <w:spacing w:before="120" w:after="120"/>
        <w:jc w:val="center"/>
      </w:pPr>
      <m:oMathPara>
        <m:oMath>
          <m:r>
            <w:rPr>
              <w:rFonts w:ascii="Cambria Math" w:hAnsi="Cambria Math" w:cs="Times New Roman"/>
              <w:sz w:val="28"/>
            </w:rPr>
            <m:t>y(t)=T(t)+</m:t>
          </m:r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</w:rPr>
            <m:t>(t)+</m:t>
          </m:r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w</m:t>
              </m:r>
            </m:sub>
          </m:sSub>
          <m:r>
            <w:rPr>
              <w:rFonts w:ascii="Cambria Math" w:hAnsi="Cambria Math" w:cs="Times New Roman"/>
              <w:sz w:val="28"/>
            </w:rPr>
            <m:t>(t)+C(t)+ϵ(t)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w:tab/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w:tab/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w:tab/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w:tab/>
          </m:r>
          <m:r>
            <m:rPr>
              <m:nor/>
            </m:rPr>
            <w:rPr>
              <w:rFonts w:ascii="Times New Roman" w:hAnsi="Times New Roman" w:cs="Times New Roman"/>
              <w:sz w:val="28"/>
            </w:rPr>
            <w:tab/>
          </m:r>
          <m:r>
            <w:rPr>
              <w:rFonts w:ascii="Cambria Math" w:hAnsi="Cambria Math" w:cs="Times New Roman"/>
              <w:sz w:val="28"/>
            </w:rPr>
            <m:t>(1.1)</m:t>
          </m:r>
        </m:oMath>
      </m:oMathPara>
    </w:p>
    <w:p w14:paraId="3037411F" w14:textId="70DDCD1E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де </w:t>
      </w:r>
      <m:oMath>
        <m:r>
          <w:rPr>
            <w:rFonts w:ascii="Cambria Math" w:hAnsi="Cambria Math" w:cs="Times New Roman"/>
            <w:sz w:val="28"/>
          </w:rPr>
          <m:t>y(t)</m:t>
        </m:r>
      </m:oMath>
      <w:r>
        <w:rPr>
          <w:rFonts w:ascii="Times New Roman" w:hAnsi="Times New Roman" w:cs="Times New Roman"/>
          <w:sz w:val="28"/>
        </w:rPr>
        <w:t xml:space="preserve"> — обсяг навантаження; </w:t>
      </w:r>
      <m:oMath>
        <m:r>
          <w:rPr>
            <w:rFonts w:ascii="Cambria Math" w:hAnsi="Cambria Math" w:cs="Times New Roman"/>
            <w:sz w:val="28"/>
          </w:rPr>
          <m:t>T(t)</m:t>
        </m:r>
      </m:oMath>
      <w:r>
        <w:rPr>
          <w:rFonts w:ascii="Times New Roman" w:hAnsi="Times New Roman" w:cs="Times New Roman"/>
          <w:sz w:val="28"/>
        </w:rPr>
        <w:t xml:space="preserve"> — тренд; </w:t>
      </w:r>
      <m:oMath>
        <m:r>
          <w:rPr>
            <w:rFonts w:ascii="Cambria Math" w:hAnsi="Cambria Math" w:cs="Times New Roman"/>
            <w:sz w:val="28"/>
          </w:rPr>
          <m:t>S(t)</m:t>
        </m:r>
      </m:oMath>
      <w:r>
        <w:rPr>
          <w:rFonts w:ascii="Times New Roman" w:hAnsi="Times New Roman" w:cs="Times New Roman"/>
          <w:sz w:val="28"/>
        </w:rPr>
        <w:t xml:space="preserve"> — сезонність; </w:t>
      </w:r>
      <m:oMath>
        <m:r>
          <w:rPr>
            <w:rFonts w:ascii="Cambria Math" w:hAnsi="Cambria Math" w:cs="Times New Roman"/>
            <w:sz w:val="28"/>
          </w:rPr>
          <m:t>ϵ(t)</m:t>
        </m:r>
      </m:oMath>
      <w:r>
        <w:rPr>
          <w:rFonts w:ascii="Times New Roman" w:hAnsi="Times New Roman" w:cs="Times New Roman"/>
          <w:sz w:val="28"/>
        </w:rPr>
        <w:t xml:space="preserve"> — шум. У контексті Smart Grid завдання інтелектуального прогнозування полягає у тому, щоб розпізнати ці закономірності серед "шумних" даних телеметрії.</w:t>
      </w:r>
    </w:p>
    <w:p w14:paraId="52CA1069" w14:textId="77777777" w:rsidR="009A60FD" w:rsidRDefault="007D1AA7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1.2.2. Проблема зникаючого градієнта та архітектура LSTM</w:t>
      </w:r>
    </w:p>
    <w:p w14:paraId="2CE4774B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Чому традиційні RNN не завжди працюють? Традиційні рекурентні мережі страждають від проблеми зникаючого градієнта (</w:t>
      </w:r>
      <w:r>
        <w:rPr>
          <w:rFonts w:ascii="Times New Roman" w:hAnsi="Times New Roman" w:cs="Times New Roman"/>
          <w:b/>
          <w:sz w:val="28"/>
        </w:rPr>
        <w:t>Vanishing Gradient</w:t>
      </w:r>
      <w:r>
        <w:rPr>
          <w:rFonts w:ascii="Times New Roman" w:hAnsi="Times New Roman" w:cs="Times New Roman"/>
          <w:sz w:val="28"/>
        </w:rPr>
        <w:t xml:space="preserve">) [4, 9], що робить їх нездатними вивчати довгострокові залежності. Архітектура LSTM (Long Short-Term Memory) була запропонована для подолання цього бар'єру за допомогою механізму </w:t>
      </w:r>
      <w:r>
        <w:rPr>
          <w:rFonts w:ascii="Times New Roman" w:hAnsi="Times New Roman" w:cs="Times New Roman"/>
          <w:b/>
          <w:sz w:val="28"/>
        </w:rPr>
        <w:t>гейтів (Gates)</w:t>
      </w:r>
      <w:r>
        <w:rPr>
          <w:rFonts w:ascii="Times New Roman" w:hAnsi="Times New Roman" w:cs="Times New Roman"/>
          <w:sz w:val="28"/>
        </w:rPr>
        <w:t>.</w:t>
      </w:r>
    </w:p>
    <w:p w14:paraId="53C14858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Математична модель комірки LSTM:</w:t>
      </w:r>
    </w:p>
    <w:p w14:paraId="3901387A" w14:textId="5EAB6567" w:rsidR="009A60FD" w:rsidRDefault="007D1AA7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lastRenderedPageBreak/>
        <w:t xml:space="preserve">1.  </w:t>
      </w:r>
      <w:r>
        <w:rPr>
          <w:rFonts w:ascii="Times New Roman" w:hAnsi="Times New Roman" w:cs="Times New Roman"/>
          <w:b/>
          <w:sz w:val="28"/>
        </w:rPr>
        <w:t>Forget Gate:</w:t>
      </w:r>
      <w:r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=σ(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</w:rPr>
              <m:t>f</m:t>
            </m:r>
          </m:sub>
        </m:sSub>
        <m:r>
          <w:rPr>
            <w:rFonts w:ascii="Cambria Math" w:hAnsi="Cambria Math" w:cs="Times New Roman"/>
            <w:sz w:val="28"/>
          </w:rPr>
          <m:t>·[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</w:rPr>
              <m:t>t-1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]+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f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</w:p>
    <w:p w14:paraId="7EE0785C" w14:textId="622DDA8F" w:rsidR="009A60FD" w:rsidRDefault="007D1AA7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t xml:space="preserve">2.  </w:t>
      </w:r>
      <w:r>
        <w:rPr>
          <w:rFonts w:ascii="Times New Roman" w:hAnsi="Times New Roman" w:cs="Times New Roman"/>
          <w:b/>
          <w:sz w:val="28"/>
        </w:rPr>
        <w:t>Input Gate:</w:t>
      </w:r>
      <w:r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=σ(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>·[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</w:rPr>
              <m:t>t-1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]+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  <w:r>
        <w:rPr>
          <w:rFonts w:ascii="Times New Roman" w:hAnsi="Times New Roman" w:cs="Times New Roman"/>
          <w:sz w:val="28"/>
        </w:rPr>
        <w:t xml:space="preserve"> та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  <w:sz w:val="28"/>
                  </w:rPr>
                </m:ctrlPr>
              </m:limUppPr>
              <m:e>
                <m:r>
                  <w:rPr>
                    <w:rFonts w:ascii="Cambria Math" w:hAnsi="Cambria Math" w:cs="Times New Roman"/>
                    <w:sz w:val="28"/>
                  </w:rPr>
                  <m:t>C</m:t>
                </m:r>
              </m:e>
              <m:lim>
                <m:r>
                  <w:rPr>
                    <w:rFonts w:ascii="Cambria Math" w:hAnsi="Cambria Math" w:cs="Times New Roman"/>
                    <w:sz w:val="28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tanh</m:t>
        </m:r>
        <m:r>
          <w:rPr>
            <w:rFonts w:ascii="Cambria Math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</w:rPr>
          <m:t>·[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</w:rPr>
              <m:t>t-1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]+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</w:p>
    <w:p w14:paraId="04764BAD" w14:textId="09CB8FA5" w:rsidR="009A60FD" w:rsidRDefault="007D1AA7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t xml:space="preserve">3.  </w:t>
      </w:r>
      <w:r>
        <w:rPr>
          <w:rFonts w:ascii="Times New Roman" w:hAnsi="Times New Roman" w:cs="Times New Roman"/>
          <w:b/>
          <w:sz w:val="28"/>
        </w:rPr>
        <w:t>Update Cell State:</w:t>
      </w:r>
      <w:r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</w:rPr>
              <m:t>t-1</m:t>
            </m:r>
          </m:sub>
        </m:sSub>
        <m:r>
          <w:rPr>
            <w:rFonts w:ascii="Cambria Math" w:hAnsi="Cambria Math" w:cs="Times New Roman"/>
            <w:sz w:val="28"/>
          </w:rPr>
          <m:t>+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limUpp>
              <m:limUppPr>
                <m:ctrlPr>
                  <w:rPr>
                    <w:rFonts w:ascii="Cambria Math" w:hAnsi="Cambria Math" w:cs="Times New Roman"/>
                    <w:sz w:val="28"/>
                  </w:rPr>
                </m:ctrlPr>
              </m:limUppPr>
              <m:e>
                <m:r>
                  <w:rPr>
                    <w:rFonts w:ascii="Cambria Math" w:hAnsi="Cambria Math" w:cs="Times New Roman"/>
                    <w:sz w:val="28"/>
                  </w:rPr>
                  <m:t>C</m:t>
                </m:r>
              </m:e>
              <m:lim>
                <m:r>
                  <w:rPr>
                    <w:rFonts w:ascii="Cambria Math" w:hAnsi="Cambria Math" w:cs="Times New Roman"/>
                    <w:sz w:val="28"/>
                  </w:rPr>
                  <m:t>~</m:t>
                </m:r>
              </m:lim>
            </m:limUpp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</m:oMath>
    </w:p>
    <w:p w14:paraId="4941CED7" w14:textId="7E8ACEBC" w:rsidR="009A60FD" w:rsidRDefault="007D1AA7">
      <w:pPr>
        <w:spacing w:after="40" w:line="360" w:lineRule="exact"/>
        <w:ind w:left="709" w:hanging="425"/>
      </w:pPr>
      <w:r>
        <w:rPr>
          <w:rFonts w:ascii="Times New Roman" w:hAnsi="Times New Roman" w:cs="Times New Roman"/>
          <w:sz w:val="28"/>
        </w:rPr>
        <w:t xml:space="preserve">4.  </w:t>
      </w:r>
      <w:r>
        <w:rPr>
          <w:rFonts w:ascii="Times New Roman" w:hAnsi="Times New Roman" w:cs="Times New Roman"/>
          <w:b/>
          <w:sz w:val="28"/>
        </w:rPr>
        <w:t>Output Gate:</w:t>
      </w:r>
      <w:r>
        <w:rPr>
          <w:rFonts w:ascii="Times New Roman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=σ(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</w:rPr>
              <m:t>o</m:t>
            </m:r>
          </m:sub>
        </m:sSub>
        <m:r>
          <w:rPr>
            <w:rFonts w:ascii="Cambria Math" w:hAnsi="Cambria Math" w:cs="Times New Roman"/>
            <w:sz w:val="28"/>
          </w:rPr>
          <m:t>·[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</w:rPr>
              <m:t>t-1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]+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</w:rPr>
              <m:t>o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  <w:r>
        <w:rPr>
          <w:rFonts w:ascii="Times New Roman" w:hAnsi="Times New Roman" w:cs="Times New Roman"/>
          <w:sz w:val="28"/>
        </w:rPr>
        <w:t xml:space="preserve"> та </w:t>
      </w:r>
      <m:oMath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</w:rPr>
          <m:t>tanh</m:t>
        </m:r>
        <m:r>
          <w:rPr>
            <w:rFonts w:ascii="Cambria Math" w:hAnsi="Cambria Math" w:cs="Times New Roman"/>
            <w:sz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</w:rPr>
          <m:t>)</m:t>
        </m:r>
      </m:oMath>
    </w:p>
    <w:p w14:paraId="7CA8E146" w14:textId="77777777" w:rsidR="009A60FD" w:rsidRDefault="007D1AA7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1.2.3. Алгоритми оптимізації та навчання</w:t>
      </w:r>
    </w:p>
    <w:p w14:paraId="75D72C18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мінімізації функції втрат обрано алгоритм </w:t>
      </w:r>
      <w:r>
        <w:rPr>
          <w:rFonts w:ascii="Times New Roman" w:hAnsi="Times New Roman" w:cs="Times New Roman"/>
          <w:b/>
          <w:sz w:val="28"/>
        </w:rPr>
        <w:t>Adam (Adaptive Moment Estimation)</w:t>
      </w:r>
      <w:r>
        <w:rPr>
          <w:rFonts w:ascii="Times New Roman" w:hAnsi="Times New Roman" w:cs="Times New Roman"/>
          <w:sz w:val="28"/>
        </w:rPr>
        <w:t xml:space="preserve">. Він поєднує переваги AdaGrad та RMSProp, забезпечуючи адаптивну швидкість </w:t>
      </w:r>
      <w:r>
        <w:rPr>
          <w:rFonts w:ascii="Times New Roman" w:hAnsi="Times New Roman" w:cs="Times New Roman"/>
          <w:sz w:val="28"/>
        </w:rPr>
        <w:t>навчання для кожного параметра.</w:t>
      </w:r>
    </w:p>
    <w:p w14:paraId="5AC383B0" w14:textId="77777777" w:rsidR="009A60FD" w:rsidRDefault="007D1AA7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1.2.4. Функції втрат та Huber Loss</w:t>
      </w:r>
    </w:p>
    <w:p w14:paraId="199FD13B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навчання обрано </w:t>
      </w:r>
      <w:r>
        <w:rPr>
          <w:rFonts w:ascii="Times New Roman" w:hAnsi="Times New Roman" w:cs="Times New Roman"/>
          <w:b/>
          <w:sz w:val="28"/>
        </w:rPr>
        <w:t>Huber Loss</w:t>
      </w:r>
      <w:r>
        <w:rPr>
          <w:rFonts w:ascii="Times New Roman" w:hAnsi="Times New Roman" w:cs="Times New Roman"/>
          <w:sz w:val="28"/>
        </w:rPr>
        <w:t>, яка поєднує стабільність MSE та стійкість MAE до викидів:</w:t>
      </w:r>
    </w:p>
    <w:p w14:paraId="232A7331" w14:textId="3BCB1689" w:rsidR="009A60FD" w:rsidRDefault="007D1AA7">
      <w:pPr>
        <w:spacing w:before="120" w:after="120"/>
        <w:jc w:val="center"/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δ</m:t>
              </m:r>
            </m:sub>
          </m:sSub>
          <m:r>
            <w:rPr>
              <w:rFonts w:ascii="Cambria Math" w:hAnsi="Cambria Math" w:cs="Times New Roman"/>
              <w:sz w:val="28"/>
            </w:rPr>
            <m:t>(y,</m:t>
          </m:r>
          <m:acc>
            <m:accPr>
              <m:ctrlPr>
                <w:rPr>
                  <w:rFonts w:ascii="Cambria Math" w:hAnsi="Cambria Math" w:cs="Times New Roman"/>
                  <w:sz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</w:rPr>
            <m:t>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</w:rPr>
                  <m:t>(y-</m:t>
                </m:r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y</m:t>
                    </m:r>
                  </m:e>
                </m:acc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</w:rPr>
                  <m:t>,</m:t>
                </m:r>
              </m:e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</w:rPr>
                  <m:t xml:space="preserve">if </m:t>
                </m:r>
                <m:r>
                  <w:rPr>
                    <w:rFonts w:ascii="Cambria Math" w:hAnsi="Cambria Math" w:cs="Times New Roman"/>
                    <w:sz w:val="28"/>
                  </w:rPr>
                  <m:t>|y-</m:t>
                </m:r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</w:rPr>
                  <m:t>|≤δ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</w:rPr>
                  <m:t>δ(|y-</m:t>
                </m:r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y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</w:rPr>
                  <m:t>|-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</w:rPr>
                  <m:t>δ),</m:t>
                </m:r>
              </m:e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</w:rPr>
                  <m:t>otherwise</m:t>
                </m:r>
              </m:e>
            </m:mr>
          </m:m>
        </m:oMath>
      </m:oMathPara>
    </w:p>
    <w:p w14:paraId="2E91DF77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(1.8)</w:t>
      </w:r>
    </w:p>
    <w:p w14:paraId="2D36A8B4" w14:textId="77777777" w:rsidR="009A60FD" w:rsidRDefault="007D1AA7">
      <w:pPr>
        <w:spacing w:before="60" w:after="60" w:line="360" w:lineRule="exact"/>
        <w:jc w:val="center"/>
      </w:pPr>
      <w:r>
        <w:rPr>
          <w:rFonts w:ascii="Times New Roman" w:hAnsi="Times New Roman" w:cs="Times New Roman"/>
          <w:b/>
          <w:i/>
          <w:sz w:val="28"/>
        </w:rPr>
        <w:t>1.3. Аналіз технологій Big Data: OLAP проти OLTP</w:t>
      </w:r>
    </w:p>
    <w:p w14:paraId="24F2DE61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У проєкті використано архітектуру </w:t>
      </w:r>
      <w:r>
        <w:rPr>
          <w:rFonts w:ascii="Times New Roman" w:hAnsi="Times New Roman" w:cs="Times New Roman"/>
          <w:b/>
          <w:sz w:val="28"/>
        </w:rPr>
        <w:t>Hybrid OLAP</w:t>
      </w:r>
      <w:r>
        <w:rPr>
          <w:rFonts w:ascii="Times New Roman" w:hAnsi="Times New Roman" w:cs="Times New Roman"/>
          <w:sz w:val="28"/>
        </w:rPr>
        <w:t xml:space="preserve"> на базі Neon (PostgreSQL). Це дозволяє поєднувати надійність реляційних БД з високою швидкістю аналітичних запитів (Autoscaling), що критично для систем реального часу.</w:t>
      </w:r>
    </w:p>
    <w:p w14:paraId="1449F2AD" w14:textId="77777777" w:rsidR="009A60FD" w:rsidRDefault="007D1AA7">
      <w:pPr>
        <w:spacing w:before="60" w:after="60" w:line="360" w:lineRule="exact"/>
        <w:jc w:val="center"/>
      </w:pPr>
      <w:r>
        <w:rPr>
          <w:rFonts w:ascii="Times New Roman" w:hAnsi="Times New Roman" w:cs="Times New Roman"/>
          <w:b/>
          <w:i/>
          <w:sz w:val="28"/>
        </w:rPr>
        <w:t>1.4. Порівняльний аналіз сучасних методів прогнозування</w:t>
      </w:r>
    </w:p>
    <w:p w14:paraId="73EF9C9A" w14:textId="77777777" w:rsidR="009A60FD" w:rsidRDefault="007D1AA7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1.4.1. Порівняння архітектурних рішень</w:t>
      </w:r>
    </w:p>
    <w:p w14:paraId="4A57C445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Схема 1.1. Порівняння архітектур RNN та LSTM (Mermaid-версія)</w:t>
      </w:r>
    </w:p>
    <w:p w14:paraId="24115C84" w14:textId="77777777" w:rsidR="009A60FD" w:rsidRDefault="007D1AA7">
      <w:pPr>
        <w:jc w:val="center"/>
      </w:pPr>
      <w:r>
        <w:rPr>
          <w:noProof/>
        </w:rPr>
        <w:lastRenderedPageBreak/>
        <w:drawing>
          <wp:inline distT="0" distB="0" distL="0" distR="0" wp14:anchorId="59FDA9B0" wp14:editId="7363B241">
            <wp:extent cx="2880000" cy="5135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lstm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3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F870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Рис. 1.3. Порівняльна характеристика архітектур RNN та LSTM (для Ворда)</w:t>
      </w:r>
    </w:p>
    <w:p w14:paraId="1145BB47" w14:textId="77777777" w:rsidR="009A60FD" w:rsidRDefault="007D1AA7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1.4.2. Класичні статистичні методи (ARIMA)</w:t>
      </w:r>
    </w:p>
    <w:p w14:paraId="3B2E5D6C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Моделі ARIMA демонструють високу точність на стаціонарних рядах, проте не здатні ефективно враховувати нелінійні фактори Smart City без складних перетворень.</w:t>
      </w:r>
    </w:p>
    <w:p w14:paraId="7CC2CEC6" w14:textId="77777777" w:rsidR="009A60FD" w:rsidRDefault="007D1AA7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1.4.3. Традиційне машинне навчання (XGBoost, Random Forest)</w:t>
      </w:r>
    </w:p>
    <w:p w14:paraId="58837A43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Методи ансамблевого навчання дозволяють враховувати зовнішні фактори, але потребують ручного створення ознак (lag features), що обмежує глибину аналізу контексту.</w:t>
      </w:r>
    </w:p>
    <w:p w14:paraId="46F651C1" w14:textId="77777777" w:rsidR="009A60FD" w:rsidRDefault="007D1AA7">
      <w:pPr>
        <w:spacing w:before="40" w:after="40" w:line="360" w:lineRule="exact"/>
        <w:ind w:firstLine="709"/>
        <w:jc w:val="both"/>
      </w:pPr>
      <w:r>
        <w:rPr>
          <w:rFonts w:ascii="Times New Roman" w:hAnsi="Times New Roman" w:cs="Times New Roman"/>
          <w:i/>
          <w:sz w:val="28"/>
        </w:rPr>
        <w:t>1.4.4. Глибоке навчання (LSTM та Transformers)</w:t>
      </w:r>
    </w:p>
    <w:p w14:paraId="72AB24CA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Рекурентні мережі LSTM мають внутрішні механізми управління пам'яттю (гейти). Це дозволяє їм автоматично виявляти складні патерни. Хоча Transformers </w:t>
      </w:r>
      <w:r>
        <w:rPr>
          <w:rFonts w:ascii="Times New Roman" w:hAnsi="Times New Roman" w:cs="Times New Roman"/>
          <w:sz w:val="28"/>
        </w:rPr>
        <w:lastRenderedPageBreak/>
        <w:t>демонструють високу точність, для задач локального прогнозування архітектура LSTM залишається найбільш оптимальною.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A60FD" w14:paraId="64EA3BC7" w14:textId="77777777">
        <w:tc>
          <w:tcPr>
            <w:tcW w:w="2493" w:type="dxa"/>
          </w:tcPr>
          <w:p w14:paraId="2AAF44C2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Критерій</w:t>
            </w:r>
          </w:p>
        </w:tc>
        <w:tc>
          <w:tcPr>
            <w:tcW w:w="2493" w:type="dxa"/>
          </w:tcPr>
          <w:p w14:paraId="20ED8532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ARIMA</w:t>
            </w:r>
          </w:p>
        </w:tc>
        <w:tc>
          <w:tcPr>
            <w:tcW w:w="2493" w:type="dxa"/>
          </w:tcPr>
          <w:p w14:paraId="531B83EA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XGBoost / RF</w:t>
            </w:r>
          </w:p>
        </w:tc>
        <w:tc>
          <w:tcPr>
            <w:tcW w:w="2493" w:type="dxa"/>
          </w:tcPr>
          <w:p w14:paraId="61A07D0D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LSTM (Обрано)</w:t>
            </w:r>
          </w:p>
        </w:tc>
      </w:tr>
      <w:tr w:rsidR="009A60FD" w14:paraId="3A8D138E" w14:textId="77777777">
        <w:tc>
          <w:tcPr>
            <w:tcW w:w="2493" w:type="dxa"/>
          </w:tcPr>
          <w:p w14:paraId="09043C41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Врахування нелінійності</w:t>
            </w:r>
          </w:p>
        </w:tc>
        <w:tc>
          <w:tcPr>
            <w:tcW w:w="2493" w:type="dxa"/>
          </w:tcPr>
          <w:p w14:paraId="02883FDE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Низьке</w:t>
            </w:r>
          </w:p>
        </w:tc>
        <w:tc>
          <w:tcPr>
            <w:tcW w:w="2493" w:type="dxa"/>
          </w:tcPr>
          <w:p w14:paraId="4006C83E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Середнє</w:t>
            </w:r>
          </w:p>
        </w:tc>
        <w:tc>
          <w:tcPr>
            <w:tcW w:w="2493" w:type="dxa"/>
          </w:tcPr>
          <w:p w14:paraId="5F3CCCE3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Високе</w:t>
            </w:r>
          </w:p>
        </w:tc>
      </w:tr>
      <w:tr w:rsidR="009A60FD" w14:paraId="57530AAF" w14:textId="77777777">
        <w:tc>
          <w:tcPr>
            <w:tcW w:w="2493" w:type="dxa"/>
          </w:tcPr>
          <w:p w14:paraId="5134086D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Робота з контекстом</w:t>
            </w:r>
          </w:p>
        </w:tc>
        <w:tc>
          <w:tcPr>
            <w:tcW w:w="2493" w:type="dxa"/>
          </w:tcPr>
          <w:p w14:paraId="54340F45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Відсутня</w:t>
            </w:r>
          </w:p>
        </w:tc>
        <w:tc>
          <w:tcPr>
            <w:tcW w:w="2493" w:type="dxa"/>
          </w:tcPr>
          <w:p w14:paraId="6C3AA374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Обмежена</w:t>
            </w:r>
          </w:p>
        </w:tc>
        <w:tc>
          <w:tcPr>
            <w:tcW w:w="2493" w:type="dxa"/>
          </w:tcPr>
          <w:p w14:paraId="209D8DBB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Вбудована</w:t>
            </w:r>
          </w:p>
        </w:tc>
      </w:tr>
      <w:tr w:rsidR="009A60FD" w14:paraId="2CF629E6" w14:textId="77777777">
        <w:tc>
          <w:tcPr>
            <w:tcW w:w="2493" w:type="dxa"/>
          </w:tcPr>
          <w:p w14:paraId="27CDCDEB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Швидкість навчання</w:t>
            </w:r>
          </w:p>
        </w:tc>
        <w:tc>
          <w:tcPr>
            <w:tcW w:w="2493" w:type="dxa"/>
          </w:tcPr>
          <w:p w14:paraId="1D616AE4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Дуже висока</w:t>
            </w:r>
          </w:p>
        </w:tc>
        <w:tc>
          <w:tcPr>
            <w:tcW w:w="2493" w:type="dxa"/>
          </w:tcPr>
          <w:p w14:paraId="3D4E8159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Висока</w:t>
            </w:r>
          </w:p>
        </w:tc>
        <w:tc>
          <w:tcPr>
            <w:tcW w:w="2493" w:type="dxa"/>
          </w:tcPr>
          <w:p w14:paraId="07C508FB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Середня</w:t>
            </w:r>
          </w:p>
        </w:tc>
      </w:tr>
      <w:tr w:rsidR="009A60FD" w14:paraId="041708E6" w14:textId="77777777">
        <w:tc>
          <w:tcPr>
            <w:tcW w:w="2493" w:type="dxa"/>
          </w:tcPr>
          <w:p w14:paraId="7AB2368A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Стійкість до викидів</w:t>
            </w:r>
          </w:p>
        </w:tc>
        <w:tc>
          <w:tcPr>
            <w:tcW w:w="2493" w:type="dxa"/>
          </w:tcPr>
          <w:p w14:paraId="21E3521B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Низька</w:t>
            </w:r>
          </w:p>
        </w:tc>
        <w:tc>
          <w:tcPr>
            <w:tcW w:w="2493" w:type="dxa"/>
          </w:tcPr>
          <w:p w14:paraId="28D1A6F5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</w:rPr>
              <w:t>Середня</w:t>
            </w:r>
          </w:p>
        </w:tc>
        <w:tc>
          <w:tcPr>
            <w:tcW w:w="2493" w:type="dxa"/>
          </w:tcPr>
          <w:p w14:paraId="0DFED3FB" w14:textId="77777777" w:rsidR="009A60FD" w:rsidRDefault="007D1AA7">
            <w:pPr>
              <w:spacing w:before="20" w:after="20" w:line="280" w:lineRule="exact"/>
            </w:pPr>
            <w:r>
              <w:rPr>
                <w:rFonts w:ascii="Times New Roman" w:hAnsi="Times New Roman" w:cs="Times New Roman"/>
                <w:b/>
              </w:rPr>
              <w:t>Висока</w:t>
            </w:r>
          </w:p>
        </w:tc>
      </w:tr>
    </w:tbl>
    <w:p w14:paraId="02BD0253" w14:textId="77777777" w:rsidR="009A60FD" w:rsidRDefault="007D1AA7">
      <w:pPr>
        <w:spacing w:before="60" w:after="60" w:line="360" w:lineRule="exact"/>
        <w:jc w:val="center"/>
      </w:pPr>
      <w:r>
        <w:rPr>
          <w:rFonts w:ascii="Times New Roman" w:hAnsi="Times New Roman" w:cs="Times New Roman"/>
          <w:b/>
          <w:i/>
          <w:sz w:val="28"/>
        </w:rPr>
        <w:t>1.5. Постановка задачі проектування</w:t>
      </w:r>
    </w:p>
    <w:p w14:paraId="280EE86B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На основі проведеного аналізу встановлено, що сучасні системи моніторингу часто не забезпечують достатньої предиктивної здатності.</w:t>
      </w:r>
    </w:p>
    <w:p w14:paraId="5EF7288A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Мета проекту</w:t>
      </w:r>
      <w:r>
        <w:rPr>
          <w:rFonts w:ascii="Times New Roman" w:hAnsi="Times New Roman" w:cs="Times New Roman"/>
          <w:sz w:val="28"/>
        </w:rPr>
        <w:t xml:space="preserve"> — розробка інформаційної системи прогнозування часових рядів енергоспоживання для вдосконалення технологій Smart City на основе рекурентних нейронних мереж (LSTM).</w:t>
      </w:r>
    </w:p>
    <w:p w14:paraId="4ADB148B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Об'єкт проектування</w:t>
      </w:r>
      <w:r>
        <w:rPr>
          <w:rFonts w:ascii="Times New Roman" w:hAnsi="Times New Roman" w:cs="Times New Roman"/>
          <w:sz w:val="28"/>
        </w:rPr>
        <w:t xml:space="preserve"> — процеси інтелектуального моніторингу та предиктивної аналітики у Smart City.</w:t>
      </w:r>
    </w:p>
    <w:p w14:paraId="51AFED3D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Предмет дослідження</w:t>
      </w:r>
      <w:r>
        <w:rPr>
          <w:rFonts w:ascii="Times New Roman" w:hAnsi="Times New Roman" w:cs="Times New Roman"/>
          <w:sz w:val="28"/>
        </w:rPr>
        <w:t xml:space="preserve"> — архітектура LSTM, методи OLAP та хмарна візуалізація.</w:t>
      </w:r>
    </w:p>
    <w:p w14:paraId="652D27B5" w14:textId="77777777" w:rsidR="009A60FD" w:rsidRDefault="007D1AA7">
      <w:pPr>
        <w:spacing w:before="60" w:after="60" w:line="360" w:lineRule="exact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ВИСНОВКИ ДО РОЗДІЛУ 1</w:t>
      </w:r>
    </w:p>
    <w:p w14:paraId="10592FD6" w14:textId="77777777" w:rsidR="009A60FD" w:rsidRDefault="007D1AA7">
      <w:pPr>
        <w:spacing w:after="80" w:line="360" w:lineRule="exact"/>
        <w:ind w:firstLine="709"/>
        <w:jc w:val="both"/>
      </w:pPr>
      <w:r>
        <w:rPr>
          <w:rFonts w:ascii="Times New Roman" w:hAnsi="Times New Roman" w:cs="Times New Roman"/>
          <w:sz w:val="28"/>
        </w:rPr>
        <w:t>У даному розділі проведено системний огляд проблематики Smart City. Математично обґрунтовано вибір архітектури LSTM як основного інструменту прогнозування. Сформульовано мету та завдання проекту, що є базою для подальшої програмної реалізації.</w:t>
      </w:r>
    </w:p>
    <w:sectPr w:rsidR="009A60FD" w:rsidSect="00034616">
      <w:headerReference w:type="default" r:id="rId11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9F073" w14:textId="77777777" w:rsidR="007D1AA7" w:rsidRDefault="007D1AA7">
      <w:pPr>
        <w:spacing w:after="0" w:line="240" w:lineRule="auto"/>
      </w:pPr>
      <w:r>
        <w:separator/>
      </w:r>
    </w:p>
  </w:endnote>
  <w:endnote w:type="continuationSeparator" w:id="0">
    <w:p w14:paraId="11A7BB87" w14:textId="77777777" w:rsidR="007D1AA7" w:rsidRDefault="007D1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1ADD7" w14:textId="77777777" w:rsidR="007D1AA7" w:rsidRDefault="007D1AA7">
      <w:pPr>
        <w:spacing w:after="0" w:line="240" w:lineRule="auto"/>
      </w:pPr>
      <w:r>
        <w:separator/>
      </w:r>
    </w:p>
  </w:footnote>
  <w:footnote w:type="continuationSeparator" w:id="0">
    <w:p w14:paraId="65D28FE2" w14:textId="77777777" w:rsidR="007D1AA7" w:rsidRDefault="007D1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DFFB5" w14:textId="77777777" w:rsidR="009A60FD" w:rsidRDefault="007D1AA7">
    <w:pPr>
      <w:pStyle w:val="a5"/>
      <w:jc w:val="right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>PAGE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noProof/>
        <w:sz w:val="24"/>
      </w:rPr>
      <w:t>1</w:t>
    </w:r>
    <w:r>
      <w:rPr>
        <w:rFonts w:ascii="Times New Roman" w:hAnsi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958608">
    <w:abstractNumId w:val="8"/>
  </w:num>
  <w:num w:numId="2" w16cid:durableId="2051614805">
    <w:abstractNumId w:val="6"/>
  </w:num>
  <w:num w:numId="3" w16cid:durableId="2111074337">
    <w:abstractNumId w:val="5"/>
  </w:num>
  <w:num w:numId="4" w16cid:durableId="1564290634">
    <w:abstractNumId w:val="4"/>
  </w:num>
  <w:num w:numId="5" w16cid:durableId="1963418420">
    <w:abstractNumId w:val="7"/>
  </w:num>
  <w:num w:numId="6" w16cid:durableId="1288127573">
    <w:abstractNumId w:val="3"/>
  </w:num>
  <w:num w:numId="7" w16cid:durableId="342367464">
    <w:abstractNumId w:val="2"/>
  </w:num>
  <w:num w:numId="8" w16cid:durableId="1931810735">
    <w:abstractNumId w:val="1"/>
  </w:num>
  <w:num w:numId="9" w16cid:durableId="181043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1AA7"/>
    <w:rsid w:val="009A60FD"/>
    <w:rsid w:val="00AA1D8D"/>
    <w:rsid w:val="00B47730"/>
    <w:rsid w:val="00CB0664"/>
    <w:rsid w:val="00E87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77F585"/>
  <w14:defaultImageDpi w14:val="300"/>
  <w15:docId w15:val="{39004FD0-BCED-4B7F-8FB1-2C806D7EC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4950</Words>
  <Characters>2823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Діма Литвиненко</cp:lastModifiedBy>
  <cp:revision>2</cp:revision>
  <dcterms:created xsi:type="dcterms:W3CDTF">2013-12-23T23:15:00Z</dcterms:created>
  <dcterms:modified xsi:type="dcterms:W3CDTF">2026-04-22T15:18:00Z</dcterms:modified>
  <cp:category/>
</cp:coreProperties>
</file>