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/>
        <w:spacing w:before="240" w:after="120" w:line="48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 w:val="0"/>
          <w:sz w:val="32"/>
          <w:u w:val="none"/>
        </w:rPr>
        <w:t>РОЗДІЛ 3. ПРОЄКТНІ РІШЕННЯ ТА ПРОГРАМНА РЕАЛІЗАЦІЯ СИСТЕМИ</w:t>
      </w:r>
    </w:p>
    <w:p>
      <w:pPr>
        <w:spacing w:before="60" w:after="60" w:line="36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/>
          <w:sz w:val="28"/>
          <w:u w:val="none"/>
        </w:rPr>
        <w:t>3.1. Загальна архітектура та інформаційне забезпечення</w:t>
      </w:r>
    </w:p>
    <w:p>
      <w:pPr>
        <w:spacing w:before="40" w:after="4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/>
          <w:sz w:val="28"/>
          <w:u w:val="none"/>
        </w:rPr>
        <w:t>3.1.1. Багатошарова архітектура EnergyMonitor-OLAP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Проєктування архітектури інтелектуальної системи EnergyMonitor-OLAP базується на принципах модульності та масштабованості. Для забезпечення стабільної роботи у хмарному середовищі ми обрали багатошарову архітектуру (Layered Architecture), що складається з чотирьох функціональних рівнів (Рис. 3.1).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/>
          <w:sz w:val="28"/>
          <w:u w:val="none"/>
        </w:rPr>
        <w:t>Схема 3.1. Логічна архітектура (Mermaid-версія для репозиторію)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366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66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/>
          <w:sz w:val="28"/>
          <w:u w:val="none"/>
        </w:rPr>
        <w:t>Рис. 3.1. Архітектурна схема системи EnergyMonitor-OLAP</w:t>
      </w:r>
    </w:p>
    <w:p>
      <w:pPr>
        <w:spacing w:before="40" w:after="4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/>
          <w:sz w:val="28"/>
          <w:u w:val="none"/>
        </w:rPr>
        <w:t>3.1.2. Потоки даних та імітаційне моделювання Digital Twin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Центральною частиною системи є механізм «Цифрового двійника», який імітує роботу реальних підстанцій. Процес обробки даних включає збір телеметрії, її векторизацію та подачу на вхід нейронної мережі (Рис. 3.2).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/>
          <w:sz w:val="28"/>
          <w:u w:val="none"/>
        </w:rPr>
        <w:t>Схема 3.2. Потоки даних (Mermaid-версія)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73998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infra_clou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399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/>
          <w:sz w:val="28"/>
          <w:u w:val="none"/>
        </w:rPr>
        <w:t>Рис. 3.2. Схема розгортання та потоків даних системи</w:t>
      </w:r>
    </w:p>
    <w:p>
      <w:pPr>
        <w:spacing w:before="60" w:after="60" w:line="36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/>
          <w:sz w:val="28"/>
          <w:u w:val="none"/>
        </w:rPr>
        <w:t>3.2. Програмна реалізація інтерфейсу користувача</w:t>
      </w:r>
    </w:p>
    <w:p>
      <w:pPr>
        <w:spacing w:before="40" w:after="4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/>
          <w:sz w:val="28"/>
          <w:u w:val="none"/>
        </w:rPr>
        <w:t>3.2.1. Головна панель моніторингу KPI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Інтерфейс системи розроблено з акцентом на швидке прийняття рішень диспетчером. Головна панель відображає агреговані показники стану всієї міської мережі в реальному часі (Рис. 3.3).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627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itoring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62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/>
          <w:sz w:val="28"/>
          <w:u w:val="none"/>
        </w:rPr>
        <w:t>Рис. 3.3. Головна панель моніторингу KPI системи</w:t>
      </w:r>
    </w:p>
    <w:p>
      <w:pPr>
        <w:spacing w:before="40" w:after="4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/>
          <w:sz w:val="28"/>
          <w:u w:val="none"/>
        </w:rPr>
        <w:t>3.2.2. Предиктивна панель (AI Forecast)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Найважливішим модулем системи є вікно предиктивної аналітики. Користувач може обрати конкретний вузол мережі та отримати детальний прогноз на 24-48 годин (Рис. 3.4).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300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foreca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30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/>
          <w:sz w:val="28"/>
          <w:u w:val="none"/>
        </w:rPr>
        <w:t>Рис. 3.4. Результати AI-прогнозування на фоні фактичних даних (MAPE &lt; 3.1%)</w:t>
      </w:r>
    </w:p>
    <w:p>
      <w:pPr>
        <w:spacing w:before="40" w:after="4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/>
          <w:sz w:val="28"/>
          <w:u w:val="none"/>
        </w:rPr>
        <w:t>3.2.3. ГІС-картографія та геопросторова візуалізація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Інтеграція з картографічними сервісами дозволяє диспетчеру бачити територіальний розподіл навантаження. Колірна індикація вузлів автоматично змінюється залежно від рівня завантаженості та наявності аномалій (Рис. 3.5).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646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64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/>
          <w:sz w:val="28"/>
          <w:u w:val="none"/>
        </w:rPr>
        <w:t>Рис. 3.5. ГІС-візуалізація стану енергосистеми міського району</w:t>
      </w:r>
    </w:p>
    <w:p>
      <w:pPr>
        <w:spacing w:before="40" w:after="4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/>
          <w:sz w:val="28"/>
          <w:u w:val="none"/>
        </w:rPr>
        <w:t>3.2.4. Моніторинг технічного стану та Health Score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Окремий модуль системи відповідає за діагностику фізичних параметрів трансформаторів. На основі розрахованих у фізичному рушії даних (температура, концентрація газів) формується інтегральний показник здоров’я об'єкту (Рис. 3.6).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246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_monitor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24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/>
          <w:sz w:val="28"/>
          <w:u w:val="none"/>
        </w:rPr>
        <w:t>Рис. 3.6. Панель діагностики технічного стану та Health Score</w:t>
      </w:r>
    </w:p>
    <w:p>
      <w:pPr>
        <w:spacing w:before="60" w:after="60" w:line="36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/>
          <w:sz w:val="28"/>
          <w:u w:val="none"/>
        </w:rPr>
        <w:t>3.3. Структура бази даних та хмарна інтеграція</w:t>
      </w:r>
    </w:p>
    <w:p>
      <w:pPr>
        <w:spacing w:before="40" w:after="4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/>
          <w:sz w:val="28"/>
          <w:u w:val="none"/>
        </w:rPr>
        <w:t>3.3.1. Схема даних OLAP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Для забезпечення високої швидкості аналітичних запитів база даних PostgreSQL спроєктована за схемою «зірка» (Рис. 3.7).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/>
          <w:sz w:val="28"/>
          <w:u w:val="none"/>
        </w:rPr>
        <w:t>Схема 3.3. ER-діаграма (Mermaid-версія)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43136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er_d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313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/>
          <w:sz w:val="28"/>
          <w:u w:val="none"/>
        </w:rPr>
        <w:t>Рис. 3.7. Схема бази даних (ER-діаграма) системи</w:t>
      </w:r>
    </w:p>
    <w:p>
      <w:pPr>
        <w:spacing w:before="40" w:after="4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/>
          <w:sz w:val="28"/>
          <w:u w:val="none"/>
        </w:rPr>
        <w:t>3.3.2. Фізична структура та опис атрибутів бази даних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Для реалізації фізичного рівня обрано хмарну СУБД PostgreSQL. У таблицях 3.1 та 3.2 наведено детальну специфікацію основних сутностей системи.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/>
          <w:sz w:val="28"/>
          <w:u w:val="none"/>
        </w:rPr>
        <w:t>Таблиця 3.1. Специфікація полів таблиці SUBSTATIONS (Довідник підстанцій)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/>
                <w:i w:val="0"/>
                <w:sz w:val="22"/>
                <w:u w:val="none"/>
              </w:rPr>
              <w:t>Назва поля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/>
                <w:i w:val="0"/>
                <w:sz w:val="22"/>
                <w:u w:val="none"/>
              </w:rPr>
              <w:t>Тип даних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/>
                <w:i w:val="0"/>
                <w:sz w:val="22"/>
                <w:u w:val="none"/>
              </w:rPr>
              <w:t>Опис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/>
                <w:i w:val="0"/>
                <w:sz w:val="22"/>
                <w:u w:val="none"/>
              </w:rPr>
              <w:t>Обмеження</w:t>
            </w:r>
          </w:p>
        </w:tc>
      </w:tr>
      <w:tr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`substation_id`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SERIAL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Унікальний ідентифікатор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PRIMARY KEY</w:t>
            </w:r>
          </w:p>
        </w:tc>
      </w:tr>
      <w:tr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`substation_name`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VARCHAR(100)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Назва або номер об'єкту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NOT NULL</w:t>
            </w:r>
          </w:p>
        </w:tc>
      </w:tr>
      <w:tr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`region_id`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INTEGER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Зв'язок з регіоном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FOREIGN KEY</w:t>
            </w:r>
          </w:p>
        </w:tc>
      </w:tr>
      <w:tr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`capacity_mw`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FLOAT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Номінальна потужність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&gt; 0</w:t>
            </w:r>
          </w:p>
        </w:tc>
      </w:tr>
    </w:tbl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/>
          <w:sz w:val="28"/>
          <w:u w:val="none"/>
        </w:rPr>
        <w:t>Таблиця 3.2. Специфікація полів таблиці LOADMEASUREMENTS (Телеметрія)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/>
                <w:i w:val="0"/>
                <w:sz w:val="22"/>
                <w:u w:val="none"/>
              </w:rPr>
              <w:t>Назва поля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/>
                <w:i w:val="0"/>
                <w:sz w:val="22"/>
                <w:u w:val="none"/>
              </w:rPr>
              <w:t>Тип даних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/>
                <w:i w:val="0"/>
                <w:sz w:val="22"/>
                <w:u w:val="none"/>
              </w:rPr>
              <w:t>Опис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/>
                <w:i w:val="0"/>
                <w:sz w:val="22"/>
                <w:u w:val="none"/>
              </w:rPr>
              <w:t>Обмеження</w:t>
            </w:r>
          </w:p>
        </w:tc>
      </w:tr>
      <w:tr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`measurement_id`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BIGSERIAL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Ідентифікатор запису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PRIMARY KEY</w:t>
            </w:r>
          </w:p>
        </w:tc>
      </w:tr>
      <w:tr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`substation_id`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INTEGER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Ідентифікатор підстанції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FOREIGN KEY</w:t>
            </w:r>
          </w:p>
        </w:tc>
      </w:tr>
      <w:tr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`actual_load_mw`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FLOAT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Фактичне навантаження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NOT NULL</w:t>
            </w:r>
          </w:p>
        </w:tc>
      </w:tr>
      <w:tr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`health_score`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FLOAT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Показник стану (0-100)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CHECK (0-100)</w:t>
            </w:r>
          </w:p>
        </w:tc>
      </w:tr>
    </w:tbl>
    <w:p>
      <w:pPr>
        <w:spacing w:before="60" w:after="60" w:line="36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/>
          <w:sz w:val="28"/>
          <w:u w:val="none"/>
        </w:rPr>
        <w:t>3.4. Математичне та алгоритмічне забезпечення: LSTM v3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Модель використовує Sliding Window розміром 24 години. Для навчання обрано функцію втрат Huber Loss. Метрики якості навчання представлено на рис. 3.8.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5421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s_tab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4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/>
          <w:sz w:val="28"/>
          <w:u w:val="none"/>
        </w:rPr>
        <w:t>Рис. 3.8. Метрики якості навчання та розподіл похибок</w:t>
      </w:r>
    </w:p>
    <w:p>
      <w:pPr>
        <w:spacing w:before="60" w:after="60" w:line="36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/>
          <w:sz w:val="28"/>
          <w:u w:val="none"/>
        </w:rPr>
        <w:t>3.5. Фінансовий моніторинг та балансування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Для розрахунку економічної ефективності та виявлення втрат у мережі використовується спеціалізована панель фінансового моніторингу (Рис. 3.9).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319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31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/>
          <w:sz w:val="28"/>
          <w:u w:val="none"/>
        </w:rPr>
        <w:t>Рис. 3.9. Інтерфейс фінансового моніторингу та розрахунку втрат</w:t>
      </w:r>
    </w:p>
    <w:p>
      <w:pPr>
        <w:spacing w:before="60" w:after="60" w:line="36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/>
          <w:sz w:val="28"/>
          <w:u w:val="none"/>
        </w:rPr>
        <w:t>3.6. DevOps та CI/CD конвеєр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Для автоматизації розгортання системи впроваджено CI/CD конвеєр (Рис. 3.10).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/>
          <w:sz w:val="28"/>
          <w:u w:val="none"/>
        </w:rPr>
        <w:t>Схема 3.4. Конвеєр CI/CD (Mermaid-версія)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785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cicd_pipeli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7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/>
          <w:sz w:val="28"/>
          <w:u w:val="none"/>
        </w:rPr>
        <w:t>Рис. 3.10. Технологічна схема конвеєра CI/CD системи</w:t>
      </w:r>
    </w:p>
    <w:p>
      <w:pPr>
        <w:spacing w:before="60" w:after="60" w:line="36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/>
          <w:sz w:val="28"/>
          <w:u w:val="none"/>
        </w:rPr>
        <w:t>3.7. Програмна реалізація ключових модулів</w:t>
      </w:r>
    </w:p>
    <w:p>
      <w:pPr>
        <w:spacing w:before="40" w:after="4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/>
          <w:sz w:val="28"/>
          <w:u w:val="none"/>
        </w:rPr>
        <w:t>3.7.1. Модуль предиктивної аналітики (LSTM Core)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В основі інтелектуального ядра лежить архітектура Sequential LSTM, реалізована за допомогою TensorFlow. Модель оптимізована для роботи з нерівномірними часовими рядами енергоспоживання.</w:t>
      </w:r>
    </w:p>
    <w:p>
      <w:pPr>
        <w:spacing w:before="60" w:after="60" w:line="36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/>
          <w:sz w:val="28"/>
          <w:u w:val="none"/>
        </w:rPr>
        <w:t>3.8. Методика верифікації та тестування системи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Для гарантування надійності SaaS-платформи було впроваджено комплексний підхід до тестування.</w:t>
      </w:r>
    </w:p>
    <w:p>
      <w:pPr>
        <w:spacing w:before="40" w:after="4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/>
          <w:sz w:val="28"/>
          <w:u w:val="none"/>
        </w:rPr>
        <w:t>3.8.1. Модульне тестування (Unit Testing)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Модульне тестування проводилося за допомогою фреймворку `pytest`. Основна увага приділялася верифікації математичних формул у модулі `physics.py`.</w:t>
      </w:r>
    </w:p>
    <w:p>
      <w:pPr>
        <w:spacing w:before="40" w:after="4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/>
          <w:sz w:val="28"/>
          <w:u w:val="none"/>
        </w:rPr>
        <w:t>3.8.2. Інтеграційне тестування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Перевірка взаємодії між хмарною базою даних Neon та аналітичним ядром Python.</w:t>
      </w:r>
    </w:p>
    <w:p>
      <w:pPr>
        <w:spacing w:before="40" w:after="4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/>
          <w:sz w:val="28"/>
          <w:u w:val="none"/>
        </w:rPr>
        <w:t>3.8.3. Валідація точності ШІ-моделі (ML Validation)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MAPE = 3.08%, що свідчить про високу предиктивну здатність системи.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/>
                <w:i w:val="0"/>
                <w:sz w:val="22"/>
                <w:u w:val="none"/>
              </w:rPr>
              <w:t>Тип тесту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/>
                <w:i w:val="0"/>
                <w:sz w:val="22"/>
                <w:u w:val="none"/>
              </w:rPr>
              <w:t>Кількість тест-кейсів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/>
                <w:i w:val="0"/>
                <w:sz w:val="22"/>
                <w:u w:val="none"/>
              </w:rPr>
              <w:t>Статус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/>
                <w:i w:val="0"/>
                <w:sz w:val="22"/>
                <w:u w:val="none"/>
              </w:rPr>
              <w:t>Інструмент</w:t>
            </w:r>
          </w:p>
        </w:tc>
      </w:tr>
      <w:tr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/>
                <w:i w:val="0"/>
                <w:sz w:val="22"/>
                <w:u w:val="none"/>
              </w:rPr>
              <w:t>Unit Tests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24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Passed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`pytest`</w:t>
            </w:r>
          </w:p>
        </w:tc>
      </w:tr>
      <w:tr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/>
                <w:i w:val="0"/>
                <w:sz w:val="22"/>
                <w:u w:val="none"/>
              </w:rPr>
              <w:t>Integration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15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Passed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`docker-compose`</w:t>
            </w:r>
          </w:p>
        </w:tc>
      </w:tr>
      <w:tr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/>
                <w:i w:val="0"/>
                <w:sz w:val="22"/>
                <w:u w:val="none"/>
              </w:rPr>
              <w:t>ML Validation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1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Passed</w:t>
            </w:r>
          </w:p>
        </w:tc>
        <w:tc>
          <w:tcPr>
            <w:tcW w:type="dxa" w:w="2493"/>
          </w:tcPr>
          <w:p>
            <w:pPr>
              <w:spacing w:before="20" w:after="20" w:line="280" w:lineRule="exac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`TensorFlow`</w:t>
            </w:r>
          </w:p>
        </w:tc>
      </w:tr>
    </w:tbl>
    <w:p>
      <w:pPr>
        <w:spacing w:before="60" w:after="6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ВИСНОВКИ ДО РОЗДІЛУ 3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У третьому розділі було детально описано архітектурні та програмні рішення системи EnergyMonitor-OLAP. Розроблена багатошарова архітектура забезпечує високу масштабованість та точність прогнозування.</w:t>
      </w:r>
    </w:p>
    <w:sectPr w:rsidR="00FC693F" w:rsidRPr="0006063C" w:rsidSect="00034616">
      <w:headerReference w:type="default" r:id="rId19"/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