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spacing w:before="240" w:after="120" w:line="48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 w:val="0"/>
          <w:sz w:val="32"/>
          <w:u w:val="none"/>
        </w:rPr>
        <w:t>ПЕРЕЛІК УМОВНИХ ПОЗНАЧЕНЬ ТА СКОРОЧЕНЬ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БД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База даних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ЕК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Екзаменаційна комісія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ІПЗ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Інженерія програмного забезпечення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МНТУ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Міжнародний науково-технічний університет ім. акад. Юрія Бугая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ПЗ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Програмне забезпечення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ШІ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Штучний інтелект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AI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Artificial Intelligence (Штучний інтелект)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API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Application Programming Interface (Інтерфейс прикладного програмування)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BI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Business Intelligence (Бізнес-аналітика)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CSV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Comma-Separated Values (Текстовий формат даних з розділенням комами)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GUI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Graphical User Interface (Графічний інтерфейс користувача)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JSON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JavaScript Object Notation (Об’єктна нотація JavaScript)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LSTM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Long Short-Term Memory (Довга короткострокова пам'ять — тип рекурентної нейронної мережі)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MAE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Mean Absolute Error (Середня абсолютна помилка)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MAPE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Mean Absolute Percentage Error (Середня абсолютна відсоткова помилка)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ML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Machine Learning (Машинне навчання)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OLAP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Online Analytical Processing (Онлайн аналітична обробка даних)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ONNX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Open Neural Network Exchange (Відкритий формат обміну нейромережами)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REST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Representational State Transfer (Архітектурний стиль взаємодії компонентів)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RNN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Recurrent Neural Network (Рекурентна нейронна мережа)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SaaS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Software as a Service (Програмне забезпечення як послуга)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SQL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— Structured Query Language (Мова структурованих запитів)</w:t>
      </w:r>
    </w:p>
    <w:sectPr w:rsidR="00FC693F" w:rsidRPr="0006063C" w:rsidSect="00034616">
      <w:head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