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/>
        <w:spacing w:before="240" w:after="120" w:line="480" w:lineRule="exact"/>
        <w:ind w:firstLine="0"/>
        <w:jc w:val="center"/>
      </w:pPr>
      <w:r>
        <w:rPr>
          <w:rFonts w:ascii="Times New Roman" w:cs="Times New Roman"/>
          <w:rFonts w:ascii="Times New Roman" w:hAnsi="Times New Roman"/>
          <w:b/>
          <w:i w:val="0"/>
          <w:sz w:val="32"/>
          <w:u w:val="none"/>
        </w:rPr>
        <w:t>ЗАГАЛЬНІ ВИСНОВКИ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Що ми досягли в цій роботі? У ході виконання кваліфікаційної роботи бакалавра було розв'язано актуальне науково-технічне завдання — розробку та впровадження інтелектуальної SaaS-платформи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EnergyMonitor-OLAP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 для предиктивного аналізу масивів часових рядів енергоспоживання.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Які основні висновки ми зробили?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1. 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Аналітичне обґрунтування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: Встановлено, що перехід від реактивного моніторингу до проактивного управління (Predictive Maintenance) є критичним для стійкості Smart Grid. Рекурентні нейронні мережі архітектури LSTM визначено як оптимальний математичний інструмент для обробки нелінійних енергетичних даних.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2. 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Архітектурна реалізація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: Впроваджено 4-рівневу архітектуру системи. Поєднання концепції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Digital Twin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 із аналітичним сховищем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OLAP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 дозволило реалізувати гібридне рішення, яке одночасно прогнозує навантаження та симулює фізичний знос трансформаторного обладнання.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3. 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Математична надійність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: Розроблено предиктивне ядро на основі моделі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LSTM v3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 із робастною функцією втрат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Huber Loss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. Впровадження тригонометричного кодування часових детермінант забезпечило високу стабільність моделі в умовах мультисезонності.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4. 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Верифікація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: Експериментальна перевірка на еталонному наборі PJM Dayton підтвердила точність прогнозування з показником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MAPE &lt; 3.1%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 та коефіцієнтом детермінації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R² = 0.92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. Надійність програмної реалізації підтверджена успішним проходженням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79 автоматизованих тестів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.</w:t>
      </w:r>
    </w:p>
    <w:p>
      <w:pPr>
        <w:spacing w:line="360" w:lineRule="exact" w:after="40"/>
        <w:ind w:left="709" w:hanging="425"/>
        <w:jc w:val="left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 xml:space="preserve">5.  </w:t>
      </w:r>
      <w:r>
        <w:rPr>
          <w:rFonts w:ascii="Times New Roman" w:cs="Times New Roman"/>
          <w:rFonts w:ascii="Times New Roman" w:hAnsi="Times New Roman"/>
          <w:b/>
          <w:i w:val="0"/>
          <w:sz w:val="28"/>
          <w:u w:val="none"/>
        </w:rPr>
        <w:t>Практична цінність</w:t>
      </w: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: Створена платформа дозволяє енергопостачальним компаніям оптимізувати графіки закупівель потужності та впроваджувати стратегії енергозбереження на рівні окремих районів міста.</w:t>
      </w:r>
    </w:p>
    <w:p>
      <w:pPr>
        <w:spacing w:before="0" w:after="80" w:line="360" w:lineRule="exact"/>
        <w:ind w:firstLine="709"/>
        <w:jc w:val="both"/>
      </w:pPr>
      <w:r>
        <w:rPr>
          <w:rFonts w:ascii="Times New Roman" w:cs="Times New Roman"/>
          <w:rFonts w:ascii="Times New Roman" w:hAnsi="Times New Roman"/>
          <w:b w:val="0"/>
          <w:i w:val="0"/>
          <w:sz w:val="28"/>
          <w:u w:val="none"/>
        </w:rPr>
        <w:t>Чи досягли ми мети? Мета роботи досягнута у повному обсязі, завдання виконані згідно з календарним планом. Розроблений комплекс є завершеним інженерним продуктом, готовим до практичної експлуатації.</w:t>
      </w:r>
    </w:p>
    <w:sectPr w:rsidR="00FC693F" w:rsidRPr="0006063C" w:rsidSect="00034616">
      <w:headerReference w:type="default" r:id="rId9"/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