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6"/>
        </w:rPr>
        <w:t>BÁO CÁO TIẾN ĐỘ TUẦN 7</w:t>
      </w:r>
    </w:p>
    <w:p>
      <w:pPr>
        <w:jc w:val="center"/>
      </w:pPr>
      <w:r>
        <w:rPr>
          <w:rFonts w:ascii="Times New Roman" w:hAnsi="Times New Roman"/>
          <w:i/>
          <w:color w:val="646464"/>
          <w:sz w:val="22"/>
        </w:rPr>
        <w:t>(Giai đoạn: Hoàn thiện Đối chiếu dữ liệu gương &amp; Hòa giải bất đối xứng thống kê — Tuần 9 Kế hoạch)</w:t>
      </w:r>
    </w:p>
    <w:p>
      <w:pPr>
        <w:jc w:val="center"/>
      </w:pPr>
      <w:r>
        <w:rPr>
          <w:rFonts w:ascii="Times New Roman" w:hAnsi="Times New Roman"/>
          <w:b/>
        </w:rPr>
        <w:t>Đề tài: Xây dựng Kho dữ liệu hỗ trợ phân tích và ra quyết định xuất nhập khẩu hàng hóa Việt Nam</w:t>
      </w:r>
    </w:p>
    <w:p>
      <w:pPr>
        <w:jc w:val="center"/>
      </w:pPr>
      <w:r>
        <w:rPr>
          <w:rFonts w:ascii="Times New Roman" w:hAnsi="Times New Roman"/>
          <w:b/>
        </w:rPr>
        <w:t>Sinh viên thực hiện :</w:t>
      </w:r>
    </w:p>
    <w:p>
      <w:pPr>
        <w:jc w:val="center"/>
      </w:pPr>
      <w:r>
        <w:rPr>
          <w:rFonts w:ascii="Times New Roman" w:hAnsi="Times New Roman"/>
        </w:rPr>
        <w:tab/>
        <w:tab/>
        <w:tab/>
        <w:tab/>
        <w:tab/>
        <w:tab/>
        <w:tab/>
        <w:t>Nguyễn Khắc Dương - 23110199</w:t>
      </w:r>
    </w:p>
    <w:p>
      <w:pPr>
        <w:jc w:val="center"/>
      </w:pPr>
      <w:r>
        <w:rPr>
          <w:rFonts w:ascii="Times New Roman" w:hAnsi="Times New Roman"/>
        </w:rPr>
        <w:tab/>
        <w:tab/>
        <w:tab/>
        <w:tab/>
        <w:tab/>
        <w:tab/>
        <w:tab/>
        <w:t>Lưu Thái Thanh Lâm - 23110249</w:t>
      </w:r>
    </w:p>
    <w:p>
      <w:pPr>
        <w:jc w:val="center"/>
      </w:pPr>
      <w:r>
        <w:rPr>
          <w:rFonts w:ascii="Times New Roman" w:hAnsi="Times New Roman"/>
        </w:rPr>
        <w:t>Kho lưu trữ mã nguồn:</w:t>
      </w:r>
    </w:p>
    <w:p>
      <w:pPr>
        <w:jc w:val="center"/>
      </w:pPr>
      <w:r>
        <w:rPr>
          <w:rFonts w:ascii="Times New Roman" w:hAnsi="Times New Roman"/>
        </w:rPr>
        <w:t>(GitHub): https://github.com/LuuThaiThanhLam/TLCN_XNK_DW</w:t>
      </w:r>
    </w:p>
    <w:p/>
    <w:p>
      <w:pPr>
        <w:pStyle w:val="Heading1"/>
      </w:pPr>
      <w:r>
        <w:t>1. Tổng quan kế hoạch Tuần 7</w:t>
      </w:r>
    </w:p>
    <w:p>
      <w:pPr>
        <w:pStyle w:val="Heading2"/>
      </w:pPr>
      <w:r>
        <w:t>1.1. Tổng quan công việc đã thực hiện</w:t>
      </w:r>
    </w:p>
    <w:p>
      <w:r>
        <w:tab/>
        <w:t xml:space="preserve">Trong tuần này, nhóm tập trung thực hiện tầng </w:t>
      </w:r>
      <w:r>
        <w:rPr>
          <w:b/>
        </w:rPr>
        <w:t>Đối chiếu dữ liệu gương (Trade Reconciliation)</w:t>
      </w:r>
      <w:r>
        <w:t xml:space="preserve"> và </w:t>
      </w:r>
      <w:r>
        <w:rPr>
          <w:b/>
        </w:rPr>
        <w:t>Hòa giải bất đối xứng thống kê</w:t>
      </w:r>
      <w:r>
        <w:t xml:space="preserve"> (nội dung thuộc Tuần 9 trong Kế hoạch 13 tuần chỉnh sửa). Đây là nội dung cốt lõi mang tính đóng góp học thuật và giải quyết trực tiếp khoảng trống số liệu năm 2024 của Việt Nam trên hệ thống UN Comtrade. Cụ thể các công việc đã hoàn thành:</w:t>
      </w:r>
    </w:p>
    <w:p>
      <w:pPr>
        <w:pStyle w:val="ListParagraph"/>
      </w:pPr>
      <w:r>
        <w:rPr>
          <w:b/>
        </w:rPr>
        <w:t xml:space="preserve">Nâng cấp DIM_PARTNER phân cấp vùng: </w:t>
      </w:r>
      <w:r>
        <w:t>Bổ sung các thuộc tính phân cấp khu vực địa lý (region, sub_region), nhóm thu nhập (income_group) và khối hiệp định thương mại (has_fta_with_vn, fta_name) cho toàn bộ các đối tác.</w:t>
      </w:r>
    </w:p>
    <w:p>
      <w:pPr>
        <w:pStyle w:val="ListParagraph"/>
      </w:pPr>
      <w:r>
        <w:rPr>
          <w:b/>
        </w:rPr>
        <w:t xml:space="preserve">Xây dựng Bảng hệ số quy đổi CIF/FOB (REF_CIF_FOB_FACTOR): </w:t>
      </w:r>
      <w:r>
        <w:t>Thiết lập 13 quy tắc hệ số vận tải và bảo hiểm biển dựa trên nghiên cứu phương pháp luận của IMF và OECD theo 4 nhóm ngành hàng và các tuyến hải trình quốc tế.</w:t>
      </w:r>
    </w:p>
    <w:p>
      <w:pPr>
        <w:pStyle w:val="ListParagraph"/>
      </w:pPr>
      <w:r>
        <w:rPr>
          <w:b/>
        </w:rPr>
        <w:t xml:space="preserve">Hiện thực View ước tính tối ưu (VW_TRADE_BEST_ESTIMATE): </w:t>
      </w:r>
      <w:r>
        <w:t>Xây dựng thuật toán kết hợp số liệu chính thức của Việt Nam và số liệu Mirror đã quy đổi CIF → FOB; tự động bù đắp 88,66 tỷ USD kim ngạch khuyết năm 2024 với cờ phân loại nguồn gốc dữ liệu minh bạch (data_source_flag).</w:t>
      </w:r>
    </w:p>
    <w:p>
      <w:pPr>
        <w:pStyle w:val="ListParagraph"/>
      </w:pPr>
      <w:r>
        <w:rPr>
          <w:b/>
        </w:rPr>
        <w:t xml:space="preserve">Vật chất hóa bảng đối chiếu (MART_TRADE_RECONCILIATION): </w:t>
      </w:r>
      <w:r>
        <w:t>Chuyển đổi View đối chiếu sang bảng vật lý chứa 14.033 dòng với chỉ mục Clustered Index và Nonclustered Index, giúp tăng tốc độ truy vấn gấp 10–20 lần phục vụ phân tích.</w:t>
      </w:r>
    </w:p>
    <w:p>
      <w:pPr>
        <w:pStyle w:val="ListParagraph"/>
      </w:pPr>
      <w:r>
        <w:rPr>
          <w:b/>
        </w:rPr>
        <w:t xml:space="preserve">Rà soát Đề cương &amp; Thiết kế mở rộng toàn cầu: </w:t>
      </w:r>
      <w:r>
        <w:t>Hoàn thiện bản Đề cương chính thức theo chuẩn Mẫu 5 HCMUTE (02_DeCuong-TLCN-ChinhThuc.md) và ban hành tài liệu hướng dẫn mở rộng quy mô ~200 quốc gia theo mô hình phân tầng Đa cấp Hybrid (docs/16).</w:t>
      </w:r>
    </w:p>
    <w:p>
      <w:pPr>
        <w:pStyle w:val="Heading1"/>
      </w:pPr>
      <w:r>
        <w:t>2. Nội dung thực hiện: Đối chiếu dữ liệu gương &amp; Bù đắp dữ liệu 2024</w:t>
      </w:r>
    </w:p>
    <w:p>
      <w:pPr>
        <w:pStyle w:val="Heading2"/>
      </w:pPr>
      <w:r>
        <w:t>2.1. Cập nhật phân cấp khu vực địa lý cho DIM_PARTNER</w:t>
      </w:r>
    </w:p>
    <w:p>
      <w:r>
        <w:tab/>
        <w:t xml:space="preserve">Để phục vụ việc định tuyến chi phí vận chuyển quốc tế và hỗ trợ trực quan hóa đa cấp trên Dashboard (Khoan sâu từ Châu lục → Khu vực → Quốc gia), bảng </w:t>
      </w:r>
      <w:r>
        <w:rPr>
          <w:b/>
        </w:rPr>
        <w:t>DIM_PARTNER</w:t>
      </w:r>
      <w:r>
        <w:t xml:space="preserve"> được bổ sung 5 thuộc tính mới: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6EEF8"/>
          </w:tcPr>
          <w:p>
            <w:pPr>
              <w:jc w:val="center"/>
            </w:pPr>
            <w:r>
              <w:rPr>
                <w:rFonts w:ascii="Times New Roman" w:hAnsi="Times New Roman"/>
                <w:b/>
                <w:sz w:val="22"/>
              </w:rPr>
              <w:t>Mã Comtrade</w:t>
            </w:r>
          </w:p>
        </w:tc>
        <w:tc>
          <w:tcPr>
            <w:tcW w:type="dxa" w:w="1728"/>
            <w:shd w:fill="E6EEF8"/>
          </w:tcPr>
          <w:p>
            <w:pPr>
              <w:jc w:val="center"/>
            </w:pPr>
            <w:r>
              <w:rPr>
                <w:rFonts w:ascii="Times New Roman" w:hAnsi="Times New Roman"/>
                <w:b/>
                <w:sz w:val="22"/>
              </w:rPr>
              <w:t>Tên quốc gia</w:t>
            </w:r>
          </w:p>
        </w:tc>
        <w:tc>
          <w:tcPr>
            <w:tcW w:type="dxa" w:w="1728"/>
            <w:shd w:fill="E6EEF8"/>
          </w:tcPr>
          <w:p>
            <w:pPr>
              <w:jc w:val="center"/>
            </w:pPr>
            <w:r>
              <w:rPr>
                <w:rFonts w:ascii="Times New Roman" w:hAnsi="Times New Roman"/>
                <w:b/>
                <w:sz w:val="22"/>
              </w:rPr>
              <w:t>Khu vực (Region)</w:t>
            </w:r>
          </w:p>
        </w:tc>
        <w:tc>
          <w:tcPr>
            <w:tcW w:type="dxa" w:w="1728"/>
            <w:shd w:fill="E6EEF8"/>
          </w:tcPr>
          <w:p>
            <w:pPr>
              <w:jc w:val="center"/>
            </w:pPr>
            <w:r>
              <w:rPr>
                <w:rFonts w:ascii="Times New Roman" w:hAnsi="Times New Roman"/>
                <w:b/>
                <w:sz w:val="22"/>
              </w:rPr>
              <w:t>Tiểu vùng (Sub-region)</w:t>
            </w:r>
          </w:p>
        </w:tc>
        <w:tc>
          <w:tcPr>
            <w:tcW w:type="dxa" w:w="1728"/>
            <w:shd w:fill="E6EEF8"/>
          </w:tcPr>
          <w:p>
            <w:pPr>
              <w:jc w:val="center"/>
            </w:pPr>
            <w:r>
              <w:rPr>
                <w:rFonts w:ascii="Times New Roman" w:hAnsi="Times New Roman"/>
                <w:b/>
                <w:sz w:val="22"/>
              </w:rPr>
              <w:t>Hiệp định FTA</w:t>
            </w:r>
          </w:p>
        </w:tc>
      </w:tr>
      <w:tr>
        <w:tc>
          <w:tcPr>
            <w:tcW w:type="dxa" w:w="1728"/>
          </w:tcPr>
          <w:p>
            <w:r>
              <w:rPr>
                <w:rFonts w:ascii="Times New Roman" w:hAnsi="Times New Roman"/>
                <w:sz w:val="22"/>
              </w:rPr>
              <w:t>156</w:t>
            </w:r>
          </w:p>
        </w:tc>
        <w:tc>
          <w:tcPr>
            <w:tcW w:type="dxa" w:w="1728"/>
          </w:tcPr>
          <w:p>
            <w:r>
              <w:rPr>
                <w:rFonts w:ascii="Times New Roman" w:hAnsi="Times New Roman"/>
                <w:sz w:val="22"/>
              </w:rPr>
              <w:t>China</w:t>
            </w:r>
          </w:p>
        </w:tc>
        <w:tc>
          <w:tcPr>
            <w:tcW w:type="dxa" w:w="1728"/>
          </w:tcPr>
          <w:p>
            <w:r>
              <w:rPr>
                <w:rFonts w:ascii="Times New Roman" w:hAnsi="Times New Roman"/>
                <w:sz w:val="22"/>
              </w:rPr>
              <w:t>Châu Á</w:t>
            </w:r>
          </w:p>
        </w:tc>
        <w:tc>
          <w:tcPr>
            <w:tcW w:type="dxa" w:w="1728"/>
          </w:tcPr>
          <w:p>
            <w:r>
              <w:rPr>
                <w:rFonts w:ascii="Times New Roman" w:hAnsi="Times New Roman"/>
                <w:sz w:val="22"/>
              </w:rPr>
              <w:t>Đông Bắc Á</w:t>
            </w:r>
          </w:p>
        </w:tc>
        <w:tc>
          <w:tcPr>
            <w:tcW w:type="dxa" w:w="1728"/>
          </w:tcPr>
          <w:p>
            <w:r>
              <w:rPr>
                <w:rFonts w:ascii="Times New Roman" w:hAnsi="Times New Roman"/>
                <w:sz w:val="22"/>
              </w:rPr>
              <w:t>RCEP, ACFTA</w:t>
            </w:r>
          </w:p>
        </w:tc>
      </w:tr>
      <w:tr>
        <w:tc>
          <w:tcPr>
            <w:tcW w:type="dxa" w:w="1728"/>
          </w:tcPr>
          <w:p>
            <w:r>
              <w:rPr>
                <w:rFonts w:ascii="Times New Roman" w:hAnsi="Times New Roman"/>
                <w:sz w:val="22"/>
              </w:rPr>
              <w:t>842</w:t>
            </w:r>
          </w:p>
        </w:tc>
        <w:tc>
          <w:tcPr>
            <w:tcW w:type="dxa" w:w="1728"/>
          </w:tcPr>
          <w:p>
            <w:r>
              <w:rPr>
                <w:rFonts w:ascii="Times New Roman" w:hAnsi="Times New Roman"/>
                <w:sz w:val="22"/>
              </w:rPr>
              <w:t>USA</w:t>
            </w:r>
          </w:p>
        </w:tc>
        <w:tc>
          <w:tcPr>
            <w:tcW w:type="dxa" w:w="1728"/>
          </w:tcPr>
          <w:p>
            <w:r>
              <w:rPr>
                <w:rFonts w:ascii="Times New Roman" w:hAnsi="Times New Roman"/>
                <w:sz w:val="22"/>
              </w:rPr>
              <w:t>Châu Mỹ</w:t>
            </w:r>
          </w:p>
        </w:tc>
        <w:tc>
          <w:tcPr>
            <w:tcW w:type="dxa" w:w="1728"/>
          </w:tcPr>
          <w:p>
            <w:r>
              <w:rPr>
                <w:rFonts w:ascii="Times New Roman" w:hAnsi="Times New Roman"/>
                <w:sz w:val="22"/>
              </w:rPr>
              <w:t>Bắc Mỹ</w:t>
            </w:r>
          </w:p>
        </w:tc>
        <w:tc>
          <w:tcPr>
            <w:tcW w:type="dxa" w:w="1728"/>
          </w:tcPr>
          <w:p>
            <w:r>
              <w:rPr>
                <w:rFonts w:ascii="Times New Roman" w:hAnsi="Times New Roman"/>
                <w:sz w:val="22"/>
              </w:rPr>
              <w:t>Chưa có FTA</w:t>
            </w:r>
          </w:p>
        </w:tc>
      </w:tr>
      <w:tr>
        <w:tc>
          <w:tcPr>
            <w:tcW w:type="dxa" w:w="1728"/>
          </w:tcPr>
          <w:p>
            <w:r>
              <w:rPr>
                <w:rFonts w:ascii="Times New Roman" w:hAnsi="Times New Roman"/>
                <w:sz w:val="22"/>
              </w:rPr>
              <w:t>410</w:t>
            </w:r>
          </w:p>
        </w:tc>
        <w:tc>
          <w:tcPr>
            <w:tcW w:type="dxa" w:w="1728"/>
          </w:tcPr>
          <w:p>
            <w:r>
              <w:rPr>
                <w:rFonts w:ascii="Times New Roman" w:hAnsi="Times New Roman"/>
                <w:sz w:val="22"/>
              </w:rPr>
              <w:t>Rep. of Korea</w:t>
            </w:r>
          </w:p>
        </w:tc>
        <w:tc>
          <w:tcPr>
            <w:tcW w:type="dxa" w:w="1728"/>
          </w:tcPr>
          <w:p>
            <w:r>
              <w:rPr>
                <w:rFonts w:ascii="Times New Roman" w:hAnsi="Times New Roman"/>
                <w:sz w:val="22"/>
              </w:rPr>
              <w:t>Châu Á</w:t>
            </w:r>
          </w:p>
        </w:tc>
        <w:tc>
          <w:tcPr>
            <w:tcW w:type="dxa" w:w="1728"/>
          </w:tcPr>
          <w:p>
            <w:r>
              <w:rPr>
                <w:rFonts w:ascii="Times New Roman" w:hAnsi="Times New Roman"/>
                <w:sz w:val="22"/>
              </w:rPr>
              <w:t>Đông Bắc Á</w:t>
            </w:r>
          </w:p>
        </w:tc>
        <w:tc>
          <w:tcPr>
            <w:tcW w:type="dxa" w:w="1728"/>
          </w:tcPr>
          <w:p>
            <w:r>
              <w:rPr>
                <w:rFonts w:ascii="Times New Roman" w:hAnsi="Times New Roman"/>
                <w:sz w:val="22"/>
              </w:rPr>
              <w:t>VKFTA, RCEP, AKFTA</w:t>
            </w:r>
          </w:p>
        </w:tc>
      </w:tr>
      <w:tr>
        <w:tc>
          <w:tcPr>
            <w:tcW w:type="dxa" w:w="1728"/>
          </w:tcPr>
          <w:p>
            <w:r>
              <w:rPr>
                <w:rFonts w:ascii="Times New Roman" w:hAnsi="Times New Roman"/>
                <w:sz w:val="22"/>
              </w:rPr>
              <w:t>392</w:t>
            </w:r>
          </w:p>
        </w:tc>
        <w:tc>
          <w:tcPr>
            <w:tcW w:type="dxa" w:w="1728"/>
          </w:tcPr>
          <w:p>
            <w:r>
              <w:rPr>
                <w:rFonts w:ascii="Times New Roman" w:hAnsi="Times New Roman"/>
                <w:sz w:val="22"/>
              </w:rPr>
              <w:t>Japan</w:t>
            </w:r>
          </w:p>
        </w:tc>
        <w:tc>
          <w:tcPr>
            <w:tcW w:type="dxa" w:w="1728"/>
          </w:tcPr>
          <w:p>
            <w:r>
              <w:rPr>
                <w:rFonts w:ascii="Times New Roman" w:hAnsi="Times New Roman"/>
                <w:sz w:val="22"/>
              </w:rPr>
              <w:t>Châu Á</w:t>
            </w:r>
          </w:p>
        </w:tc>
        <w:tc>
          <w:tcPr>
            <w:tcW w:type="dxa" w:w="1728"/>
          </w:tcPr>
          <w:p>
            <w:r>
              <w:rPr>
                <w:rFonts w:ascii="Times New Roman" w:hAnsi="Times New Roman"/>
                <w:sz w:val="22"/>
              </w:rPr>
              <w:t>Đông Bắc Á</w:t>
            </w:r>
          </w:p>
        </w:tc>
        <w:tc>
          <w:tcPr>
            <w:tcW w:type="dxa" w:w="1728"/>
          </w:tcPr>
          <w:p>
            <w:r>
              <w:rPr>
                <w:rFonts w:ascii="Times New Roman" w:hAnsi="Times New Roman"/>
                <w:sz w:val="22"/>
              </w:rPr>
              <w:t>VJEPA, CPTPP, RCEP</w:t>
            </w:r>
          </w:p>
        </w:tc>
      </w:tr>
      <w:tr>
        <w:tc>
          <w:tcPr>
            <w:tcW w:type="dxa" w:w="1728"/>
          </w:tcPr>
          <w:p>
            <w:r>
              <w:rPr>
                <w:rFonts w:ascii="Times New Roman" w:hAnsi="Times New Roman"/>
                <w:sz w:val="22"/>
              </w:rPr>
              <w:t>276</w:t>
            </w:r>
          </w:p>
        </w:tc>
        <w:tc>
          <w:tcPr>
            <w:tcW w:type="dxa" w:w="1728"/>
          </w:tcPr>
          <w:p>
            <w:r>
              <w:rPr>
                <w:rFonts w:ascii="Times New Roman" w:hAnsi="Times New Roman"/>
                <w:sz w:val="22"/>
              </w:rPr>
              <w:t>Germany</w:t>
            </w:r>
          </w:p>
        </w:tc>
        <w:tc>
          <w:tcPr>
            <w:tcW w:type="dxa" w:w="1728"/>
          </w:tcPr>
          <w:p>
            <w:r>
              <w:rPr>
                <w:rFonts w:ascii="Times New Roman" w:hAnsi="Times New Roman"/>
                <w:sz w:val="22"/>
              </w:rPr>
              <w:t>Châu Âu</w:t>
            </w:r>
          </w:p>
        </w:tc>
        <w:tc>
          <w:tcPr>
            <w:tcW w:type="dxa" w:w="1728"/>
          </w:tcPr>
          <w:p>
            <w:r>
              <w:rPr>
                <w:rFonts w:ascii="Times New Roman" w:hAnsi="Times New Roman"/>
                <w:sz w:val="22"/>
              </w:rPr>
              <w:t>Tây Âu</w:t>
            </w:r>
          </w:p>
        </w:tc>
        <w:tc>
          <w:tcPr>
            <w:tcW w:type="dxa" w:w="1728"/>
          </w:tcPr>
          <w:p>
            <w:r>
              <w:rPr>
                <w:rFonts w:ascii="Times New Roman" w:hAnsi="Times New Roman"/>
                <w:sz w:val="22"/>
              </w:rPr>
              <w:t>EVFTA</w:t>
            </w:r>
          </w:p>
        </w:tc>
      </w:tr>
      <w:tr>
        <w:tc>
          <w:tcPr>
            <w:tcW w:type="dxa" w:w="1728"/>
          </w:tcPr>
          <w:p>
            <w:r>
              <w:rPr>
                <w:rFonts w:ascii="Times New Roman" w:hAnsi="Times New Roman"/>
                <w:sz w:val="22"/>
              </w:rPr>
              <w:t>704</w:t>
            </w:r>
          </w:p>
        </w:tc>
        <w:tc>
          <w:tcPr>
            <w:tcW w:type="dxa" w:w="1728"/>
          </w:tcPr>
          <w:p>
            <w:r>
              <w:rPr>
                <w:rFonts w:ascii="Times New Roman" w:hAnsi="Times New Roman"/>
                <w:sz w:val="22"/>
              </w:rPr>
              <w:t>Viet Nam</w:t>
            </w:r>
          </w:p>
        </w:tc>
        <w:tc>
          <w:tcPr>
            <w:tcW w:type="dxa" w:w="1728"/>
          </w:tcPr>
          <w:p>
            <w:r>
              <w:rPr>
                <w:rFonts w:ascii="Times New Roman" w:hAnsi="Times New Roman"/>
                <w:sz w:val="22"/>
              </w:rPr>
              <w:t>Châu Á</w:t>
            </w:r>
          </w:p>
        </w:tc>
        <w:tc>
          <w:tcPr>
            <w:tcW w:type="dxa" w:w="1728"/>
          </w:tcPr>
          <w:p>
            <w:r>
              <w:rPr>
                <w:rFonts w:ascii="Times New Roman" w:hAnsi="Times New Roman"/>
                <w:sz w:val="22"/>
              </w:rPr>
              <w:t>Đông Nam Á</w:t>
            </w:r>
          </w:p>
        </w:tc>
        <w:tc>
          <w:tcPr>
            <w:tcW w:type="dxa" w:w="1728"/>
          </w:tcPr>
          <w:p>
            <w:r>
              <w:rPr>
                <w:rFonts w:ascii="Times New Roman" w:hAnsi="Times New Roman"/>
                <w:sz w:val="22"/>
              </w:rPr>
              <w:t>Domestic</w:t>
            </w:r>
          </w:p>
        </w:tc>
      </w:tr>
      <w:tr>
        <w:tc>
          <w:tcPr>
            <w:tcW w:type="dxa" w:w="1728"/>
          </w:tcPr>
          <w:p>
            <w:r>
              <w:rPr>
                <w:rFonts w:ascii="Times New Roman" w:hAnsi="Times New Roman"/>
                <w:sz w:val="22"/>
              </w:rPr>
              <w:t>0</w:t>
            </w:r>
          </w:p>
        </w:tc>
        <w:tc>
          <w:tcPr>
            <w:tcW w:type="dxa" w:w="1728"/>
          </w:tcPr>
          <w:p>
            <w:r>
              <w:rPr>
                <w:rFonts w:ascii="Times New Roman" w:hAnsi="Times New Roman"/>
                <w:sz w:val="22"/>
              </w:rPr>
              <w:t>World</w:t>
            </w:r>
          </w:p>
        </w:tc>
        <w:tc>
          <w:tcPr>
            <w:tcW w:type="dxa" w:w="1728"/>
          </w:tcPr>
          <w:p>
            <w:r>
              <w:rPr>
                <w:rFonts w:ascii="Times New Roman" w:hAnsi="Times New Roman"/>
                <w:sz w:val="22"/>
              </w:rPr>
              <w:t>Toàn cầu</w:t>
            </w:r>
          </w:p>
        </w:tc>
        <w:tc>
          <w:tcPr>
            <w:tcW w:type="dxa" w:w="1728"/>
          </w:tcPr>
          <w:p>
            <w:r>
              <w:rPr>
                <w:rFonts w:ascii="Times New Roman" w:hAnsi="Times New Roman"/>
                <w:sz w:val="22"/>
              </w:rPr>
              <w:t>Toàn cầu</w:t>
            </w:r>
          </w:p>
        </w:tc>
        <w:tc>
          <w:tcPr>
            <w:tcW w:type="dxa" w:w="1728"/>
          </w:tcPr>
          <w:p>
            <w:r>
              <w:rPr>
                <w:rFonts w:ascii="Times New Roman" w:hAnsi="Times New Roman"/>
                <w:sz w:val="22"/>
              </w:rPr>
              <w:t>N/A (Dòng tổng hợp)</w:t>
            </w:r>
          </w:p>
        </w:tc>
      </w:tr>
    </w:tbl>
    <w:p>
      <w:pPr>
        <w:spacing w:before="120"/>
      </w:pPr>
    </w:p>
    <w:p>
      <w:pPr>
        <w:pStyle w:val="Heading2"/>
      </w:pPr>
      <w:r>
        <w:t>2.2. Bảng tham chiếu hệ số quy đổi CIF → FOB (REF_CIF_FOB_FACTOR)</w:t>
      </w:r>
    </w:p>
    <w:p>
      <w:r>
        <w:tab/>
        <w:t xml:space="preserve">Trong thống kê thương mại quốc tế, </w:t>
      </w:r>
      <w:r>
        <w:rPr>
          <w:b/>
        </w:rPr>
        <w:t>Việt Nam xuất khẩu ghi nhận theo giá FOB</w:t>
      </w:r>
      <w:r>
        <w:t xml:space="preserve"> (Free On Board — giá tại cảng xuất), trong khi </w:t>
      </w:r>
      <w:r>
        <w:rPr>
          <w:b/>
        </w:rPr>
        <w:t>nước đối tác nhập khẩu ghi nhận theo giá CIF</w:t>
      </w:r>
      <w:r>
        <w:t xml:space="preserve"> (Cost, Insurance, and Freight — đã bao gồm cước vận chuyển và bảo hiểm quốc tế). Sự chênh lệch này khiến số liệu đối tác luôn cao hơn số liệu của Việt Nam từ 5% đến 25%.</w:t>
      </w:r>
    </w:p>
    <w:p>
      <w:r>
        <w:tab/>
        <w:t xml:space="preserve">Dựa trên nghiên cứu phương pháp luận của </w:t>
      </w:r>
      <w:r>
        <w:rPr>
          <w:b/>
        </w:rPr>
        <w:t>IMF (DOTS methodology)</w:t>
      </w:r>
      <w:r>
        <w:t xml:space="preserve"> và </w:t>
      </w:r>
      <w:r>
        <w:rPr>
          <w:b/>
        </w:rPr>
        <w:t>OECD (Trade Facilitation 2020)</w:t>
      </w:r>
      <w:r>
        <w:t xml:space="preserve">, nhóm thiết kế bảng </w:t>
      </w:r>
      <w:r>
        <w:rPr>
          <w:b/>
        </w:rPr>
        <w:t>REF_CIF_FOB_FACTOR</w:t>
      </w:r>
      <w:r>
        <w:t xml:space="preserve"> chuẩn hóa tỷ lệ chi phí vận tải theo nhóm ngành và tuyến đường biển: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6EEF8"/>
          </w:tcPr>
          <w:p>
            <w:pPr>
              <w:jc w:val="center"/>
            </w:pPr>
            <w:r>
              <w:rPr>
                <w:rFonts w:ascii="Times New Roman" w:hAnsi="Times New Roman"/>
                <w:b/>
                <w:sz w:val="22"/>
              </w:rPr>
              <w:t>Nhóm ngành hàng</w:t>
            </w:r>
          </w:p>
        </w:tc>
        <w:tc>
          <w:tcPr>
            <w:tcW w:type="dxa" w:w="1728"/>
            <w:shd w:fill="E6EEF8"/>
          </w:tcPr>
          <w:p>
            <w:pPr>
              <w:jc w:val="center"/>
            </w:pPr>
            <w:r>
              <w:rPr>
                <w:rFonts w:ascii="Times New Roman" w:hAnsi="Times New Roman"/>
                <w:b/>
                <w:sz w:val="22"/>
              </w:rPr>
              <w:t>Tuyến hải trình</w:t>
            </w:r>
          </w:p>
        </w:tc>
        <w:tc>
          <w:tcPr>
            <w:tcW w:type="dxa" w:w="1728"/>
            <w:shd w:fill="E6EEF8"/>
          </w:tcPr>
          <w:p>
            <w:pPr>
              <w:jc w:val="center"/>
            </w:pPr>
            <w:r>
              <w:rPr>
                <w:rFonts w:ascii="Times New Roman" w:hAnsi="Times New Roman"/>
                <w:b/>
                <w:sz w:val="22"/>
              </w:rPr>
              <w:t>Hệ số CIF/FOB (%)</w:t>
            </w:r>
          </w:p>
        </w:tc>
        <w:tc>
          <w:tcPr>
            <w:tcW w:type="dxa" w:w="1728"/>
            <w:shd w:fill="E6EEF8"/>
          </w:tcPr>
          <w:p>
            <w:pPr>
              <w:jc w:val="center"/>
            </w:pPr>
            <w:r>
              <w:rPr>
                <w:rFonts w:ascii="Times New Roman" w:hAnsi="Times New Roman"/>
                <w:b/>
                <w:sz w:val="22"/>
              </w:rPr>
              <w:t>Cơ sở tham chiếu</w:t>
            </w:r>
          </w:p>
        </w:tc>
        <w:tc>
          <w:tcPr>
            <w:tcW w:type="dxa" w:w="1728"/>
            <w:shd w:fill="E6EEF8"/>
          </w:tcPr>
          <w:p>
            <w:pPr>
              <w:jc w:val="center"/>
            </w:pPr>
            <w:r>
              <w:rPr>
                <w:rFonts w:ascii="Times New Roman" w:hAnsi="Times New Roman"/>
                <w:b/>
                <w:sz w:val="22"/>
              </w:rPr>
              <w:t>Ý nghĩa thực tế</w:t>
            </w:r>
          </w:p>
        </w:tc>
      </w:tr>
      <w:tr>
        <w:tc>
          <w:tcPr>
            <w:tcW w:type="dxa" w:w="1728"/>
          </w:tcPr>
          <w:p>
            <w:r>
              <w:rPr>
                <w:rFonts w:ascii="Times New Roman" w:hAnsi="Times New Roman"/>
                <w:sz w:val="22"/>
              </w:rPr>
              <w:t>Điện tử – Viễn thông</w:t>
            </w:r>
          </w:p>
        </w:tc>
        <w:tc>
          <w:tcPr>
            <w:tcW w:type="dxa" w:w="1728"/>
          </w:tcPr>
          <w:p>
            <w:r>
              <w:rPr>
                <w:rFonts w:ascii="Times New Roman" w:hAnsi="Times New Roman"/>
                <w:sz w:val="22"/>
              </w:rPr>
              <w:t>TRANS_PACIFIC / ASIA</w:t>
            </w:r>
          </w:p>
        </w:tc>
        <w:tc>
          <w:tcPr>
            <w:tcW w:type="dxa" w:w="1728"/>
          </w:tcPr>
          <w:p>
            <w:r>
              <w:rPr>
                <w:rFonts w:ascii="Times New Roman" w:hAnsi="Times New Roman"/>
                <w:sz w:val="22"/>
              </w:rPr>
              <w:t>2.5% – 4.0%</w:t>
            </w:r>
          </w:p>
        </w:tc>
        <w:tc>
          <w:tcPr>
            <w:tcW w:type="dxa" w:w="1728"/>
          </w:tcPr>
          <w:p>
            <w:r>
              <w:rPr>
                <w:rFonts w:ascii="Times New Roman" w:hAnsi="Times New Roman"/>
                <w:sz w:val="22"/>
              </w:rPr>
              <w:t>OECD &amp; IMF</w:t>
            </w:r>
          </w:p>
        </w:tc>
        <w:tc>
          <w:tcPr>
            <w:tcW w:type="dxa" w:w="1728"/>
          </w:tcPr>
          <w:p>
            <w:r>
              <w:rPr>
                <w:rFonts w:ascii="Times New Roman" w:hAnsi="Times New Roman"/>
                <w:sz w:val="22"/>
              </w:rPr>
              <w:t>Hàng giá trị cao, gọn nhẹ, cước biển chiếm tỷ trọng nhỏ</w:t>
            </w:r>
          </w:p>
        </w:tc>
      </w:tr>
      <w:tr>
        <w:tc>
          <w:tcPr>
            <w:tcW w:type="dxa" w:w="1728"/>
          </w:tcPr>
          <w:p>
            <w:r>
              <w:rPr>
                <w:rFonts w:ascii="Times New Roman" w:hAnsi="Times New Roman"/>
                <w:sz w:val="22"/>
              </w:rPr>
              <w:t>Dệt may – Giày dép</w:t>
            </w:r>
          </w:p>
        </w:tc>
        <w:tc>
          <w:tcPr>
            <w:tcW w:type="dxa" w:w="1728"/>
          </w:tcPr>
          <w:p>
            <w:r>
              <w:rPr>
                <w:rFonts w:ascii="Times New Roman" w:hAnsi="Times New Roman"/>
                <w:sz w:val="22"/>
              </w:rPr>
              <w:t>TRANS_PACIFIC / ASIA</w:t>
            </w:r>
          </w:p>
        </w:tc>
        <w:tc>
          <w:tcPr>
            <w:tcW w:type="dxa" w:w="1728"/>
          </w:tcPr>
          <w:p>
            <w:r>
              <w:rPr>
                <w:rFonts w:ascii="Times New Roman" w:hAnsi="Times New Roman"/>
                <w:sz w:val="22"/>
              </w:rPr>
              <w:t>4.0% – 8.0%</w:t>
            </w:r>
          </w:p>
        </w:tc>
        <w:tc>
          <w:tcPr>
            <w:tcW w:type="dxa" w:w="1728"/>
          </w:tcPr>
          <w:p>
            <w:r>
              <w:rPr>
                <w:rFonts w:ascii="Times New Roman" w:hAnsi="Times New Roman"/>
                <w:sz w:val="22"/>
              </w:rPr>
              <w:t>OECD &amp; IMF</w:t>
            </w:r>
          </w:p>
        </w:tc>
        <w:tc>
          <w:tcPr>
            <w:tcW w:type="dxa" w:w="1728"/>
          </w:tcPr>
          <w:p>
            <w:r>
              <w:rPr>
                <w:rFonts w:ascii="Times New Roman" w:hAnsi="Times New Roman"/>
                <w:sz w:val="22"/>
              </w:rPr>
              <w:t>Hàng tiêu dùng đóng container chuẩn, cước trung bình</w:t>
            </w:r>
          </w:p>
        </w:tc>
      </w:tr>
      <w:tr>
        <w:tc>
          <w:tcPr>
            <w:tcW w:type="dxa" w:w="1728"/>
          </w:tcPr>
          <w:p>
            <w:r>
              <w:rPr>
                <w:rFonts w:ascii="Times New Roman" w:hAnsi="Times New Roman"/>
                <w:sz w:val="22"/>
              </w:rPr>
              <w:t>Nông sản – Thực phẩm</w:t>
            </w:r>
          </w:p>
        </w:tc>
        <w:tc>
          <w:tcPr>
            <w:tcW w:type="dxa" w:w="1728"/>
          </w:tcPr>
          <w:p>
            <w:r>
              <w:rPr>
                <w:rFonts w:ascii="Times New Roman" w:hAnsi="Times New Roman"/>
                <w:sz w:val="22"/>
              </w:rPr>
              <w:t>TRANS_PACIFIC / EU</w:t>
            </w:r>
          </w:p>
        </w:tc>
        <w:tc>
          <w:tcPr>
            <w:tcW w:type="dxa" w:w="1728"/>
          </w:tcPr>
          <w:p>
            <w:r>
              <w:rPr>
                <w:rFonts w:ascii="Times New Roman" w:hAnsi="Times New Roman"/>
                <w:sz w:val="22"/>
              </w:rPr>
              <w:t>5.0% – 12.0%</w:t>
            </w:r>
          </w:p>
        </w:tc>
        <w:tc>
          <w:tcPr>
            <w:tcW w:type="dxa" w:w="1728"/>
          </w:tcPr>
          <w:p>
            <w:r>
              <w:rPr>
                <w:rFonts w:ascii="Times New Roman" w:hAnsi="Times New Roman"/>
                <w:sz w:val="22"/>
              </w:rPr>
              <w:t>IMF DOTS</w:t>
            </w:r>
          </w:p>
        </w:tc>
        <w:tc>
          <w:tcPr>
            <w:tcW w:type="dxa" w:w="1728"/>
          </w:tcPr>
          <w:p>
            <w:r>
              <w:rPr>
                <w:rFonts w:ascii="Times New Roman" w:hAnsi="Times New Roman"/>
                <w:sz w:val="22"/>
              </w:rPr>
              <w:t>Hàng cồng kềnh, cần container lạnh bảo quản, cước cao</w:t>
            </w:r>
          </w:p>
        </w:tc>
      </w:tr>
      <w:tr>
        <w:tc>
          <w:tcPr>
            <w:tcW w:type="dxa" w:w="1728"/>
          </w:tcPr>
          <w:p>
            <w:r>
              <w:rPr>
                <w:rFonts w:ascii="Times New Roman" w:hAnsi="Times New Roman"/>
                <w:sz w:val="22"/>
              </w:rPr>
              <w:t>Nhựa – Công nghiệp nặng</w:t>
            </w:r>
          </w:p>
        </w:tc>
        <w:tc>
          <w:tcPr>
            <w:tcW w:type="dxa" w:w="1728"/>
          </w:tcPr>
          <w:p>
            <w:r>
              <w:rPr>
                <w:rFonts w:ascii="Times New Roman" w:hAnsi="Times New Roman"/>
                <w:sz w:val="22"/>
              </w:rPr>
              <w:t>TRANS_PACIFIC</w:t>
            </w:r>
          </w:p>
        </w:tc>
        <w:tc>
          <w:tcPr>
            <w:tcW w:type="dxa" w:w="1728"/>
          </w:tcPr>
          <w:p>
            <w:r>
              <w:rPr>
                <w:rFonts w:ascii="Times New Roman" w:hAnsi="Times New Roman"/>
                <w:sz w:val="22"/>
              </w:rPr>
              <w:t>8.0% – 18.0%</w:t>
            </w:r>
          </w:p>
        </w:tc>
        <w:tc>
          <w:tcPr>
            <w:tcW w:type="dxa" w:w="1728"/>
          </w:tcPr>
          <w:p>
            <w:r>
              <w:rPr>
                <w:rFonts w:ascii="Times New Roman" w:hAnsi="Times New Roman"/>
                <w:sz w:val="22"/>
              </w:rPr>
              <w:t>IMF DOTS</w:t>
            </w:r>
          </w:p>
        </w:tc>
        <w:tc>
          <w:tcPr>
            <w:tcW w:type="dxa" w:w="1728"/>
          </w:tcPr>
          <w:p>
            <w:r>
              <w:rPr>
                <w:rFonts w:ascii="Times New Roman" w:hAnsi="Times New Roman"/>
                <w:sz w:val="22"/>
              </w:rPr>
              <w:t>Hàng nặng, chiếm tải trọng tàu lớn, cước rất cao</w:t>
            </w:r>
          </w:p>
        </w:tc>
      </w:tr>
      <w:tr>
        <w:tc>
          <w:tcPr>
            <w:tcW w:type="dxa" w:w="1728"/>
          </w:tcPr>
          <w:p>
            <w:r>
              <w:rPr>
                <w:rFonts w:ascii="Times New Roman" w:hAnsi="Times New Roman"/>
                <w:sz w:val="22"/>
              </w:rPr>
              <w:t>Mặc định</w:t>
            </w:r>
          </w:p>
        </w:tc>
        <w:tc>
          <w:tcPr>
            <w:tcW w:type="dxa" w:w="1728"/>
          </w:tcPr>
          <w:p>
            <w:r>
              <w:rPr>
                <w:rFonts w:ascii="Times New Roman" w:hAnsi="Times New Roman"/>
                <w:sz w:val="22"/>
              </w:rPr>
              <w:t>UNKNOWN</w:t>
            </w:r>
          </w:p>
        </w:tc>
        <w:tc>
          <w:tcPr>
            <w:tcW w:type="dxa" w:w="1728"/>
          </w:tcPr>
          <w:p>
            <w:r>
              <w:rPr>
                <w:rFonts w:ascii="Times New Roman" w:hAnsi="Times New Roman"/>
                <w:sz w:val="22"/>
              </w:rPr>
              <w:t>6.0%</w:t>
            </w:r>
          </w:p>
        </w:tc>
        <w:tc>
          <w:tcPr>
            <w:tcW w:type="dxa" w:w="1728"/>
          </w:tcPr>
          <w:p>
            <w:r>
              <w:rPr>
                <w:rFonts w:ascii="Times New Roman" w:hAnsi="Times New Roman"/>
                <w:sz w:val="22"/>
              </w:rPr>
              <w:t>IMF Global</w:t>
            </w:r>
          </w:p>
        </w:tc>
        <w:tc>
          <w:tcPr>
            <w:tcW w:type="dxa" w:w="1728"/>
          </w:tcPr>
          <w:p>
            <w:r>
              <w:rPr>
                <w:rFonts w:ascii="Times New Roman" w:hAnsi="Times New Roman"/>
                <w:sz w:val="22"/>
              </w:rPr>
              <w:t>Hệ số bình quân toàn cầu áp dụng cho các tuyến còn lại</w:t>
            </w:r>
          </w:p>
        </w:tc>
      </w:tr>
    </w:tbl>
    <w:p>
      <w:pPr>
        <w:spacing w:before="120"/>
      </w:pPr>
    </w:p>
    <w:p>
      <w:pPr>
        <w:pStyle w:val="Heading2"/>
      </w:pPr>
      <w:r>
        <w:t>2.3. View ước tính tối ưu: VW_TRADE_BEST_ESTIMATE</w:t>
      </w:r>
    </w:p>
    <w:p>
      <w:r>
        <w:tab/>
        <w:t xml:space="preserve">View </w:t>
      </w:r>
      <w:r>
        <w:rPr>
          <w:b/>
        </w:rPr>
        <w:t>VW_TRADE_BEST_ESTIMATE</w:t>
      </w:r>
      <w:r>
        <w:t xml:space="preserve"> giải quyết triệt để bài toán gián đoạn báo cáo của Việt Nam năm 2024 theo nguyên tắc bảo vệ tính toàn vẹn dữ liệu:</w:t>
      </w:r>
    </w:p>
    <w:p>
      <w:pPr>
        <w:pStyle w:val="ListParagraph"/>
      </w:pPr>
      <w:r>
        <w:t>Tự động đảo ngược chiều luồng (flow_key): Nước đối tác Nhập khẩu (M=2) chính là Việt Nam Xuất khẩu (X=1).</w:t>
      </w:r>
    </w:p>
    <w:p>
      <w:pPr>
        <w:pStyle w:val="ListParagraph"/>
      </w:pPr>
      <w:r>
        <w:t>Quy đổi giá trị Mirror về giá FOB: Mirror_Adjusted = Mirror_Raw / (1.0 + Factor_Pct / 100.0).</w:t>
      </w:r>
    </w:p>
    <w:p>
      <w:pPr>
        <w:pStyle w:val="ListParagraph"/>
      </w:pPr>
      <w:r>
        <w:t>Cột Best Estimate ưu tiên số chính thức: Nếu có số Việt Nam khai báo thì lấy số Việt Nam; nếu khuyết (năm 2024) thì lấy số Mirror đã quy đổi.</w:t>
      </w:r>
    </w:p>
    <w:p>
      <w:pPr>
        <w:pStyle w:val="ListParagraph"/>
      </w:pPr>
      <w:r>
        <w:t>Gắn cờ minh bạch nguồn gốc (data_source_flag): Gồm 4 trạng thái: BOTH_AVAILABLE (cả 2 bên đều có), VN_OFFICIAL_ONLY (chỉ VN có), MIRROR_ESTIMATED (bù đắp từ đối tác), NO_DATA (cả 2 bên đều thiếu).</w:t>
      </w:r>
    </w:p>
    <w:p>
      <w:r>
        <w:rPr>
          <w:b/>
        </w:rPr>
        <w:t>Đoạn code T-SQL nòng cốt của View (trích từ 05_reconciliation_mart.sql):</w:t>
      </w:r>
    </w:p>
    <w:p>
      <w:pPr>
        <w:spacing w:before="80" w:after="120"/>
        <w:ind w:left="576"/>
        <w:shd w:fill="F4F6F9"/>
      </w:pPr>
      <w:r>
        <w:rPr>
          <w:rFonts w:ascii="Consolas" w:hAnsi="Consolas"/>
          <w:color w:val="003366"/>
          <w:sz w:val="19"/>
        </w:rPr>
        <w:t>-- Đoạn code xử lý tính Best Estimate và cờ minh bạch nguồn gốc:</w:t>
        <w:br/>
        <w:t>ROUND(mi.mirror_value_raw / (1.0 + COALESCE(cf.factor_pct, 6.0) / 100.0), 3) AS mirror_value_adjusted,</w:t>
        <w:br/>
        <w:br/>
        <w:t>CASE</w:t>
        <w:br/>
        <w:t xml:space="preserve">    WHEN vn.vn_value IS NOT NULL THEN vn.vn_value</w:t>
        <w:br/>
        <w:t xml:space="preserve">    WHEN mi.mirror_value_raw IS NOT NULL THEN</w:t>
        <w:br/>
        <w:t xml:space="preserve">        ROUND(mi.mirror_value_raw / (1.0 + COALESCE(cf.factor_pct, 6.0) / 100.0), 3)</w:t>
        <w:br/>
        <w:t xml:space="preserve">    ELSE NULL</w:t>
        <w:br/>
        <w:t>END AS best_estimate_usd,</w:t>
        <w:br/>
        <w:br/>
        <w:t>CASE</w:t>
        <w:br/>
        <w:t xml:space="preserve">    WHEN vn.vn_value IS NOT NULL AND mi.mirror_value_raw IS NOT NULL THEN 'BOTH_AVAILABLE'</w:t>
        <w:br/>
        <w:t xml:space="preserve">    WHEN vn.vn_value IS NOT NULL THEN 'VN_OFFICIAL_ONLY'</w:t>
        <w:br/>
        <w:t xml:space="preserve">    WHEN mi.mirror_value_raw IS NOT NULL THEN 'MIRROR_ESTIMATED'</w:t>
        <w:br/>
        <w:t xml:space="preserve">    ELSE 'NO_DATA'</w:t>
        <w:br/>
        <w:t>END AS data_source_flag</w:t>
      </w:r>
    </w:p>
    <w:p>
      <w:pPr>
        <w:pStyle w:val="Heading1"/>
      </w:pPr>
      <w:r>
        <w:t>3. Vật chất hóa bảng dữ liệu đối chiếu (MART_TRADE_RECONCILIATION)</w:t>
      </w:r>
    </w:p>
    <w:p>
      <w:r>
        <w:tab/>
        <w:t xml:space="preserve">Trong thiết kế Kho dữ liệu của Kimball, các câu truy vấn phục vụ tầng Báo cáo và Dashboard cần có thời gian phản hồi dưới 1 giây. Tuy nhiên, View đối chiếu </w:t>
      </w:r>
      <w:r>
        <w:rPr>
          <w:b/>
        </w:rPr>
        <w:t>VW_TRADE_RECONCILIATION</w:t>
      </w:r>
      <w:r>
        <w:t xml:space="preserve"> sử dụng phép ghép </w:t>
      </w:r>
      <w:r>
        <w:rPr>
          <w:b/>
        </w:rPr>
        <w:t>FULL OUTER JOIN</w:t>
      </w:r>
      <w:r>
        <w:t xml:space="preserve"> giữa 2 CTE lớn (hơn 27.000 dòng fact), khiến mỗi lần mở Power BI phải tính toán lại từ đầu, tiêu tốn CPU và gây chậm trễ.</w:t>
      </w:r>
    </w:p>
    <w:p>
      <w:r>
        <w:tab/>
        <w:t xml:space="preserve">Nhóm đã thực hiện kỹ thuật </w:t>
      </w:r>
      <w:r>
        <w:rPr>
          <w:b/>
        </w:rPr>
        <w:t>Vật chất hóa (Materialization)</w:t>
      </w:r>
      <w:r>
        <w:t xml:space="preserve"> chuyển View thành bảng vật lý </w:t>
      </w:r>
      <w:r>
        <w:rPr>
          <w:b/>
        </w:rPr>
        <w:t>MART_TRADE_RECONCILIATION</w:t>
      </w:r>
      <w:r>
        <w:t xml:space="preserve"> với đầy đủ các thuộc tính phân cấp thời gian, địa lý, ngành hàng và đánh chỉ mục tối ưu:</w:t>
      </w:r>
    </w:p>
    <w:p>
      <w:pPr>
        <w:pStyle w:val="ListParagraph"/>
      </w:pPr>
      <w:r>
        <w:t>CIX_MART_RECON (Clustered Index): Đánh trên khóa phức hợp (date_key, partner_key, commodity_key, flow_key) tối ưu hóa tốc độ tìm kiếm theo Grain.</w:t>
      </w:r>
    </w:p>
    <w:p>
      <w:pPr>
        <w:pStyle w:val="ListParagraph"/>
      </w:pPr>
      <w:r>
        <w:t>IX_MART_RECON_YEAR (Nonclustered Index): Đánh trên (calendar_year, discrepancy_level) tối ưu hóa các bộ lọc năm và nhãn cảnh báo trên Dashboard.</w:t>
      </w:r>
    </w:p>
    <w:p>
      <w:pPr>
        <w:pStyle w:val="ListParagraph"/>
      </w:pPr>
      <w:r>
        <w:t>Kết quả nạp thành công: 14.033 bản ghi đối chiếu sạch, sẵn sàng phục vụ trực tiếp cho Power BI và SSAS.</w:t>
      </w:r>
    </w:p>
    <w:p>
      <w:pPr>
        <w:pStyle w:val="Heading1"/>
      </w:pPr>
      <w:r>
        <w:t>4. Phân tích kết quả thực nghiệm từ hệ thống</w:t>
      </w:r>
    </w:p>
    <w:p>
      <w:pPr>
        <w:pStyle w:val="Heading2"/>
      </w:pPr>
      <w:r>
        <w:t>4.1. Báo cáo 1: Tổng hợp mức độ bất đối xứng song phương (2015–2023)</w:t>
      </w:r>
    </w:p>
    <w:p>
      <w:r>
        <w:tab/>
        <w:t xml:space="preserve">Truy vấn trực tiếp từ bảng </w:t>
      </w:r>
      <w:r>
        <w:rPr>
          <w:b/>
        </w:rPr>
        <w:t>MART_TRADE_RECONCILIATION</w:t>
      </w:r>
      <w:r>
        <w:t xml:space="preserve"> cho thấy quy luật bất đối xứng rõ rệt giữa các thị trường đối tác lớn trong 9 năm (2015–2023):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E6EEF8"/>
          </w:tcPr>
          <w:p>
            <w:pPr>
              <w:jc w:val="center"/>
            </w:pPr>
            <w:r>
              <w:rPr>
                <w:rFonts w:ascii="Times New Roman" w:hAnsi="Times New Roman"/>
                <w:b/>
                <w:sz w:val="22"/>
              </w:rPr>
              <w:t>Đối tác thương mại</w:t>
            </w:r>
          </w:p>
        </w:tc>
        <w:tc>
          <w:tcPr>
            <w:tcW w:type="dxa" w:w="1440"/>
            <w:shd w:fill="E6EEF8"/>
          </w:tcPr>
          <w:p>
            <w:pPr>
              <w:jc w:val="center"/>
            </w:pPr>
            <w:r>
              <w:rPr>
                <w:rFonts w:ascii="Times New Roman" w:hAnsi="Times New Roman"/>
                <w:b/>
                <w:sz w:val="22"/>
              </w:rPr>
              <w:t>Số tháng/mặt hàng</w:t>
            </w:r>
          </w:p>
        </w:tc>
        <w:tc>
          <w:tcPr>
            <w:tcW w:type="dxa" w:w="1440"/>
            <w:shd w:fill="E6EEF8"/>
          </w:tcPr>
          <w:p>
            <w:pPr>
              <w:jc w:val="center"/>
            </w:pPr>
            <w:r>
              <w:rPr>
                <w:rFonts w:ascii="Times New Roman" w:hAnsi="Times New Roman"/>
                <w:b/>
                <w:sz w:val="22"/>
              </w:rPr>
              <w:t>Việt Nam khai (Triệu USD)</w:t>
            </w:r>
          </w:p>
        </w:tc>
        <w:tc>
          <w:tcPr>
            <w:tcW w:type="dxa" w:w="1440"/>
            <w:shd w:fill="E6EEF8"/>
          </w:tcPr>
          <w:p>
            <w:pPr>
              <w:jc w:val="center"/>
            </w:pPr>
            <w:r>
              <w:rPr>
                <w:rFonts w:ascii="Times New Roman" w:hAnsi="Times New Roman"/>
                <w:b/>
                <w:sz w:val="22"/>
              </w:rPr>
              <w:t>Đối tác khai (Triệu USD)</w:t>
            </w:r>
          </w:p>
        </w:tc>
        <w:tc>
          <w:tcPr>
            <w:tcW w:type="dxa" w:w="1440"/>
            <w:shd w:fill="E6EEF8"/>
          </w:tcPr>
          <w:p>
            <w:pPr>
              <w:jc w:val="center"/>
            </w:pPr>
            <w:r>
              <w:rPr>
                <w:rFonts w:ascii="Times New Roman" w:hAnsi="Times New Roman"/>
                <w:b/>
                <w:sz w:val="22"/>
              </w:rPr>
              <w:t>Chênh lệch (%)</w:t>
            </w:r>
          </w:p>
        </w:tc>
        <w:tc>
          <w:tcPr>
            <w:tcW w:type="dxa" w:w="1440"/>
            <w:shd w:fill="E6EEF8"/>
          </w:tcPr>
          <w:p>
            <w:pPr>
              <w:jc w:val="center"/>
            </w:pPr>
            <w:r>
              <w:rPr>
                <w:rFonts w:ascii="Times New Roman" w:hAnsi="Times New Roman"/>
                <w:b/>
                <w:sz w:val="22"/>
              </w:rPr>
              <w:t>Nhận xét nguyên nhân</w:t>
            </w:r>
          </w:p>
        </w:tc>
      </w:tr>
      <w:tr>
        <w:tc>
          <w:tcPr>
            <w:tcW w:type="dxa" w:w="1440"/>
          </w:tcPr>
          <w:p>
            <w:r>
              <w:rPr>
                <w:rFonts w:ascii="Times New Roman" w:hAnsi="Times New Roman"/>
                <w:sz w:val="22"/>
              </w:rPr>
              <w:t>Hoa Kỳ (USA) - Xuất khẩu</w:t>
            </w:r>
          </w:p>
        </w:tc>
        <w:tc>
          <w:tcPr>
            <w:tcW w:type="dxa" w:w="1440"/>
          </w:tcPr>
          <w:p>
            <w:r>
              <w:rPr>
                <w:rFonts w:ascii="Times New Roman" w:hAnsi="Times New Roman"/>
                <w:sz w:val="22"/>
              </w:rPr>
              <w:t>1.361</w:t>
            </w:r>
          </w:p>
        </w:tc>
        <w:tc>
          <w:tcPr>
            <w:tcW w:type="dxa" w:w="1440"/>
          </w:tcPr>
          <w:p>
            <w:r>
              <w:rPr>
                <w:rFonts w:ascii="Times New Roman" w:hAnsi="Times New Roman"/>
                <w:sz w:val="22"/>
              </w:rPr>
              <w:t>145.453,90</w:t>
            </w:r>
          </w:p>
        </w:tc>
        <w:tc>
          <w:tcPr>
            <w:tcW w:type="dxa" w:w="1440"/>
          </w:tcPr>
          <w:p>
            <w:r>
              <w:rPr>
                <w:rFonts w:ascii="Times New Roman" w:hAnsi="Times New Roman"/>
                <w:sz w:val="22"/>
              </w:rPr>
              <w:t>171.067,93</w:t>
            </w:r>
          </w:p>
        </w:tc>
        <w:tc>
          <w:tcPr>
            <w:tcW w:type="dxa" w:w="1440"/>
          </w:tcPr>
          <w:p>
            <w:r>
              <w:rPr>
                <w:rFonts w:ascii="Times New Roman" w:hAnsi="Times New Roman"/>
                <w:sz w:val="22"/>
              </w:rPr>
              <w:t>+17,61%</w:t>
            </w:r>
          </w:p>
        </w:tc>
        <w:tc>
          <w:tcPr>
            <w:tcW w:type="dxa" w:w="1440"/>
          </w:tcPr>
          <w:p>
            <w:r>
              <w:rPr>
                <w:rFonts w:ascii="Times New Roman" w:hAnsi="Times New Roman"/>
                <w:sz w:val="22"/>
              </w:rPr>
              <w:t>Mỹ ghi nhận giá CIF (đã gồm cước tàu biển vượt Thái Bình Dương)</w:t>
            </w:r>
          </w:p>
        </w:tc>
      </w:tr>
      <w:tr>
        <w:tc>
          <w:tcPr>
            <w:tcW w:type="dxa" w:w="1440"/>
          </w:tcPr>
          <w:p>
            <w:r>
              <w:rPr>
                <w:rFonts w:ascii="Times New Roman" w:hAnsi="Times New Roman"/>
                <w:sz w:val="22"/>
              </w:rPr>
              <w:t>Đức (Germany) - Xuất khẩu</w:t>
            </w:r>
          </w:p>
        </w:tc>
        <w:tc>
          <w:tcPr>
            <w:tcW w:type="dxa" w:w="1440"/>
          </w:tcPr>
          <w:p>
            <w:r>
              <w:rPr>
                <w:rFonts w:ascii="Times New Roman" w:hAnsi="Times New Roman"/>
                <w:sz w:val="22"/>
              </w:rPr>
              <w:t>1.160</w:t>
            </w:r>
          </w:p>
        </w:tc>
        <w:tc>
          <w:tcPr>
            <w:tcW w:type="dxa" w:w="1440"/>
          </w:tcPr>
          <w:p>
            <w:r>
              <w:rPr>
                <w:rFonts w:ascii="Times New Roman" w:hAnsi="Times New Roman"/>
                <w:sz w:val="22"/>
              </w:rPr>
              <w:t>23.439,35</w:t>
            </w:r>
          </w:p>
        </w:tc>
        <w:tc>
          <w:tcPr>
            <w:tcW w:type="dxa" w:w="1440"/>
          </w:tcPr>
          <w:p>
            <w:r>
              <w:rPr>
                <w:rFonts w:ascii="Times New Roman" w:hAnsi="Times New Roman"/>
                <w:sz w:val="22"/>
              </w:rPr>
              <w:t>34.311,73</w:t>
            </w:r>
          </w:p>
        </w:tc>
        <w:tc>
          <w:tcPr>
            <w:tcW w:type="dxa" w:w="1440"/>
          </w:tcPr>
          <w:p>
            <w:r>
              <w:rPr>
                <w:rFonts w:ascii="Times New Roman" w:hAnsi="Times New Roman"/>
                <w:sz w:val="22"/>
              </w:rPr>
              <w:t>+46,39%</w:t>
            </w:r>
          </w:p>
        </w:tc>
        <w:tc>
          <w:tcPr>
            <w:tcW w:type="dxa" w:w="1440"/>
          </w:tcPr>
          <w:p>
            <w:r>
              <w:rPr>
                <w:rFonts w:ascii="Times New Roman" w:hAnsi="Times New Roman"/>
                <w:sz w:val="22"/>
              </w:rPr>
              <w:t>Bao gồm cước đường dài và chi phí chuyển tải qua cảng trung chuyển EU</w:t>
            </w:r>
          </w:p>
        </w:tc>
      </w:tr>
      <w:tr>
        <w:tc>
          <w:tcPr>
            <w:tcW w:type="dxa" w:w="1440"/>
          </w:tcPr>
          <w:p>
            <w:r>
              <w:rPr>
                <w:rFonts w:ascii="Times New Roman" w:hAnsi="Times New Roman"/>
                <w:sz w:val="22"/>
              </w:rPr>
              <w:t>Nhật Bản (Japan) - Xuất khẩu</w:t>
            </w:r>
          </w:p>
        </w:tc>
        <w:tc>
          <w:tcPr>
            <w:tcW w:type="dxa" w:w="1440"/>
          </w:tcPr>
          <w:p>
            <w:r>
              <w:rPr>
                <w:rFonts w:ascii="Times New Roman" w:hAnsi="Times New Roman"/>
                <w:sz w:val="22"/>
              </w:rPr>
              <w:t>1.226</w:t>
            </w:r>
          </w:p>
        </w:tc>
        <w:tc>
          <w:tcPr>
            <w:tcW w:type="dxa" w:w="1440"/>
          </w:tcPr>
          <w:p>
            <w:r>
              <w:rPr>
                <w:rFonts w:ascii="Times New Roman" w:hAnsi="Times New Roman"/>
                <w:sz w:val="22"/>
              </w:rPr>
              <w:t>15.402,68</w:t>
            </w:r>
          </w:p>
        </w:tc>
        <w:tc>
          <w:tcPr>
            <w:tcW w:type="dxa" w:w="1440"/>
          </w:tcPr>
          <w:p>
            <w:r>
              <w:rPr>
                <w:rFonts w:ascii="Times New Roman" w:hAnsi="Times New Roman"/>
                <w:sz w:val="22"/>
              </w:rPr>
              <w:t>18.694,53</w:t>
            </w:r>
          </w:p>
        </w:tc>
        <w:tc>
          <w:tcPr>
            <w:tcW w:type="dxa" w:w="1440"/>
          </w:tcPr>
          <w:p>
            <w:r>
              <w:rPr>
                <w:rFonts w:ascii="Times New Roman" w:hAnsi="Times New Roman"/>
                <w:sz w:val="22"/>
              </w:rPr>
              <w:t>+21,37%</w:t>
            </w:r>
          </w:p>
        </w:tc>
        <w:tc>
          <w:tcPr>
            <w:tcW w:type="dxa" w:w="1440"/>
          </w:tcPr>
          <w:p>
            <w:r>
              <w:rPr>
                <w:rFonts w:ascii="Times New Roman" w:hAnsi="Times New Roman"/>
                <w:sz w:val="22"/>
              </w:rPr>
              <w:t>Chênh lệch chi phí vận tải biển tuyến Đông Bắc Á</w:t>
            </w:r>
          </w:p>
        </w:tc>
      </w:tr>
      <w:tr>
        <w:tc>
          <w:tcPr>
            <w:tcW w:type="dxa" w:w="1440"/>
          </w:tcPr>
          <w:p>
            <w:r>
              <w:rPr>
                <w:rFonts w:ascii="Times New Roman" w:hAnsi="Times New Roman"/>
                <w:sz w:val="22"/>
              </w:rPr>
              <w:t>Hàn Quốc (Korea) - Xuất khẩu</w:t>
            </w:r>
          </w:p>
        </w:tc>
        <w:tc>
          <w:tcPr>
            <w:tcW w:type="dxa" w:w="1440"/>
          </w:tcPr>
          <w:p>
            <w:r>
              <w:rPr>
                <w:rFonts w:ascii="Times New Roman" w:hAnsi="Times New Roman"/>
                <w:sz w:val="22"/>
              </w:rPr>
              <w:t>1.297</w:t>
            </w:r>
          </w:p>
        </w:tc>
        <w:tc>
          <w:tcPr>
            <w:tcW w:type="dxa" w:w="1440"/>
          </w:tcPr>
          <w:p>
            <w:r>
              <w:rPr>
                <w:rFonts w:ascii="Times New Roman" w:hAnsi="Times New Roman"/>
                <w:sz w:val="22"/>
              </w:rPr>
              <w:t>18.126,29</w:t>
            </w:r>
          </w:p>
        </w:tc>
        <w:tc>
          <w:tcPr>
            <w:tcW w:type="dxa" w:w="1440"/>
          </w:tcPr>
          <w:p>
            <w:r>
              <w:rPr>
                <w:rFonts w:ascii="Times New Roman" w:hAnsi="Times New Roman"/>
                <w:sz w:val="22"/>
              </w:rPr>
              <w:t>22.744,93</w:t>
            </w:r>
          </w:p>
        </w:tc>
        <w:tc>
          <w:tcPr>
            <w:tcW w:type="dxa" w:w="1440"/>
          </w:tcPr>
          <w:p>
            <w:r>
              <w:rPr>
                <w:rFonts w:ascii="Times New Roman" w:hAnsi="Times New Roman"/>
                <w:sz w:val="22"/>
              </w:rPr>
              <w:t>+25,48%</w:t>
            </w:r>
          </w:p>
        </w:tc>
        <w:tc>
          <w:tcPr>
            <w:tcW w:type="dxa" w:w="1440"/>
          </w:tcPr>
          <w:p>
            <w:r>
              <w:rPr>
                <w:rFonts w:ascii="Times New Roman" w:hAnsi="Times New Roman"/>
                <w:sz w:val="22"/>
              </w:rPr>
              <w:t>Chênh lệch chi phí vận tải và bảo hiểm hàng hải</w:t>
            </w:r>
          </w:p>
        </w:tc>
      </w:tr>
      <w:tr>
        <w:tc>
          <w:tcPr>
            <w:tcW w:type="dxa" w:w="1440"/>
          </w:tcPr>
          <w:p>
            <w:r>
              <w:rPr>
                <w:rFonts w:ascii="Times New Roman" w:hAnsi="Times New Roman"/>
                <w:sz w:val="22"/>
              </w:rPr>
              <w:t>Trung Quốc (China) - Xuất khẩu</w:t>
            </w:r>
          </w:p>
        </w:tc>
        <w:tc>
          <w:tcPr>
            <w:tcW w:type="dxa" w:w="1440"/>
          </w:tcPr>
          <w:p>
            <w:r>
              <w:rPr>
                <w:rFonts w:ascii="Times New Roman" w:hAnsi="Times New Roman"/>
                <w:sz w:val="22"/>
              </w:rPr>
              <w:t>1.214</w:t>
            </w:r>
          </w:p>
        </w:tc>
        <w:tc>
          <w:tcPr>
            <w:tcW w:type="dxa" w:w="1440"/>
          </w:tcPr>
          <w:p>
            <w:r>
              <w:rPr>
                <w:rFonts w:ascii="Times New Roman" w:hAnsi="Times New Roman"/>
                <w:sz w:val="22"/>
              </w:rPr>
              <w:t>67.966,93</w:t>
            </w:r>
          </w:p>
        </w:tc>
        <w:tc>
          <w:tcPr>
            <w:tcW w:type="dxa" w:w="1440"/>
          </w:tcPr>
          <w:p>
            <w:r>
              <w:rPr>
                <w:rFonts w:ascii="Times New Roman" w:hAnsi="Times New Roman"/>
                <w:sz w:val="22"/>
              </w:rPr>
              <w:t>136.876,95</w:t>
            </w:r>
          </w:p>
        </w:tc>
        <w:tc>
          <w:tcPr>
            <w:tcW w:type="dxa" w:w="1440"/>
          </w:tcPr>
          <w:p>
            <w:r>
              <w:rPr>
                <w:rFonts w:ascii="Times New Roman" w:hAnsi="Times New Roman"/>
                <w:sz w:val="22"/>
              </w:rPr>
              <w:t>+101,39%</w:t>
            </w:r>
          </w:p>
        </w:tc>
        <w:tc>
          <w:tcPr>
            <w:tcW w:type="dxa" w:w="1440"/>
          </w:tcPr>
          <w:p>
            <w:r>
              <w:rPr>
                <w:rFonts w:ascii="Times New Roman" w:hAnsi="Times New Roman"/>
                <w:sz w:val="22"/>
              </w:rPr>
              <w:t>Thương mại biên mậu, tiểu ngạch và sự khác biệt lớn về định giá hải quan</w:t>
            </w:r>
          </w:p>
        </w:tc>
      </w:tr>
    </w:tbl>
    <w:p>
      <w:pPr>
        <w:spacing w:before="120"/>
      </w:pPr>
    </w:p>
    <w:p>
      <w:pPr>
        <w:pStyle w:val="Heading2"/>
      </w:pPr>
      <w:r>
        <w:t>4.2. Báo cáo 2: Tỷ lệ Coverage &amp; Giá trị kim ngạch phục hồi năm 2024</w:t>
      </w:r>
    </w:p>
    <w:p>
      <w:r>
        <w:tab/>
        <w:t xml:space="preserve">Năm 2024, phía Việt Nam chưa công bố dữ liệu lên UN Comtrade (số liệu chính thức bằng 0). Tuy nhiên, thông qua View ước tính </w:t>
      </w:r>
      <w:r>
        <w:rPr>
          <w:b/>
        </w:rPr>
        <w:t>VW_TRADE_BEST_ESTIMATE</w:t>
      </w:r>
      <w:r>
        <w:t xml:space="preserve"> với cờ </w:t>
      </w:r>
      <w:r>
        <w:rPr>
          <w:b/>
        </w:rPr>
        <w:t>MIRROR_ESTIMATED</w:t>
      </w:r>
      <w:r>
        <w:t>, hệ thống đã phục hồi trọn vẹn số liệu dòng chảy thương mại: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EF8"/>
          </w:tcPr>
          <w:p>
            <w:pPr>
              <w:jc w:val="center"/>
            </w:pPr>
            <w:r>
              <w:rPr>
                <w:rFonts w:ascii="Times New Roman" w:hAnsi="Times New Roman"/>
                <w:b/>
                <w:sz w:val="22"/>
              </w:rPr>
              <w:t>Phân loại nguồn gốc (Flag)</w:t>
            </w:r>
          </w:p>
        </w:tc>
        <w:tc>
          <w:tcPr>
            <w:tcW w:type="dxa" w:w="2160"/>
            <w:shd w:fill="E6EEF8"/>
          </w:tcPr>
          <w:p>
            <w:pPr>
              <w:jc w:val="center"/>
            </w:pPr>
            <w:r>
              <w:rPr>
                <w:rFonts w:ascii="Times New Roman" w:hAnsi="Times New Roman"/>
                <w:b/>
                <w:sz w:val="22"/>
              </w:rPr>
              <w:t>Số ô dữ liệu (Cells)</w:t>
            </w:r>
          </w:p>
        </w:tc>
        <w:tc>
          <w:tcPr>
            <w:tcW w:type="dxa" w:w="2160"/>
            <w:shd w:fill="E6EEF8"/>
          </w:tcPr>
          <w:p>
            <w:pPr>
              <w:jc w:val="center"/>
            </w:pPr>
            <w:r>
              <w:rPr>
                <w:rFonts w:ascii="Times New Roman" w:hAnsi="Times New Roman"/>
                <w:b/>
                <w:sz w:val="22"/>
              </w:rPr>
              <w:t>Tỷ trọng (%)</w:t>
            </w:r>
          </w:p>
        </w:tc>
        <w:tc>
          <w:tcPr>
            <w:tcW w:type="dxa" w:w="2160"/>
            <w:shd w:fill="E6EEF8"/>
          </w:tcPr>
          <w:p>
            <w:pPr>
              <w:jc w:val="center"/>
            </w:pPr>
            <w:r>
              <w:rPr>
                <w:rFonts w:ascii="Times New Roman" w:hAnsi="Times New Roman"/>
                <w:b/>
                <w:sz w:val="22"/>
              </w:rPr>
              <w:t>Tổng kim ngạch ước tính phục hồi</w:t>
            </w:r>
          </w:p>
        </w:tc>
      </w:tr>
      <w:tr>
        <w:tc>
          <w:tcPr>
            <w:tcW w:type="dxa" w:w="2160"/>
          </w:tcPr>
          <w:p>
            <w:r>
              <w:rPr>
                <w:rFonts w:ascii="Times New Roman" w:hAnsi="Times New Roman"/>
                <w:sz w:val="22"/>
              </w:rPr>
              <w:t>MIRROR_ESTIMATED (Bù đắp từ đối tác)</w:t>
            </w:r>
          </w:p>
        </w:tc>
        <w:tc>
          <w:tcPr>
            <w:tcW w:type="dxa" w:w="2160"/>
          </w:tcPr>
          <w:p>
            <w:r>
              <w:rPr>
                <w:rFonts w:ascii="Times New Roman" w:hAnsi="Times New Roman"/>
                <w:sz w:val="22"/>
              </w:rPr>
              <w:t>1.393</w:t>
            </w:r>
          </w:p>
        </w:tc>
        <w:tc>
          <w:tcPr>
            <w:tcW w:type="dxa" w:w="2160"/>
          </w:tcPr>
          <w:p>
            <w:r>
              <w:rPr>
                <w:rFonts w:ascii="Times New Roman" w:hAnsi="Times New Roman"/>
                <w:sz w:val="22"/>
              </w:rPr>
              <w:t>100.0%</w:t>
            </w:r>
          </w:p>
        </w:tc>
        <w:tc>
          <w:tcPr>
            <w:tcW w:type="dxa" w:w="2160"/>
          </w:tcPr>
          <w:p>
            <w:r>
              <w:rPr>
                <w:rFonts w:ascii="Times New Roman" w:hAnsi="Times New Roman"/>
                <w:sz w:val="22"/>
              </w:rPr>
              <w:t>88.661,12 triệu USD (~ 88,66 tỷ USD)</w:t>
            </w:r>
          </w:p>
        </w:tc>
      </w:tr>
    </w:tbl>
    <w:p>
      <w:pPr>
        <w:spacing w:before="120"/>
      </w:pPr>
    </w:p>
    <w:p>
      <w:pPr>
        <w:pStyle w:val="Heading2"/>
      </w:pPr>
      <w:r>
        <w:t>4.3. Báo cáo 3: Ma trận độ phủ dữ liệu toàn giai đoạn 10 năm (2015–2024)</w:t>
      </w:r>
    </w:p>
    <w:p>
      <w:r>
        <w:tab/>
        <w:t>Bảng tổng hợp ma trận độ phủ dữ liệu (Data Coverage Matrix) minh chứng tính liên tục và giá trị sống còn của cơ chế đối chiếu gương: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E6EEF8"/>
          </w:tcPr>
          <w:p>
            <w:pPr>
              <w:jc w:val="center"/>
            </w:pPr>
            <w:r>
              <w:rPr>
                <w:rFonts w:ascii="Times New Roman" w:hAnsi="Times New Roman"/>
                <w:b/>
                <w:sz w:val="22"/>
              </w:rPr>
              <w:t>Năm</w:t>
            </w:r>
          </w:p>
        </w:tc>
        <w:tc>
          <w:tcPr>
            <w:tcW w:type="dxa" w:w="1234"/>
            <w:shd w:fill="E6EEF8"/>
          </w:tcPr>
          <w:p>
            <w:pPr>
              <w:jc w:val="center"/>
            </w:pPr>
            <w:r>
              <w:rPr>
                <w:rFonts w:ascii="Times New Roman" w:hAnsi="Times New Roman"/>
                <w:b/>
                <w:sz w:val="22"/>
              </w:rPr>
              <w:t>Tổng số Cells</w:t>
            </w:r>
          </w:p>
        </w:tc>
        <w:tc>
          <w:tcPr>
            <w:tcW w:type="dxa" w:w="1234"/>
            <w:shd w:fill="E6EEF8"/>
          </w:tcPr>
          <w:p>
            <w:pPr>
              <w:jc w:val="center"/>
            </w:pPr>
            <w:r>
              <w:rPr>
                <w:rFonts w:ascii="Times New Roman" w:hAnsi="Times New Roman"/>
                <w:b/>
                <w:sz w:val="22"/>
              </w:rPr>
              <w:t>Hai bên đều có (Both)</w:t>
            </w:r>
          </w:p>
        </w:tc>
        <w:tc>
          <w:tcPr>
            <w:tcW w:type="dxa" w:w="1234"/>
            <w:shd w:fill="E6EEF8"/>
          </w:tcPr>
          <w:p>
            <w:pPr>
              <w:jc w:val="center"/>
            </w:pPr>
            <w:r>
              <w:rPr>
                <w:rFonts w:ascii="Times New Roman" w:hAnsi="Times New Roman"/>
                <w:b/>
                <w:sz w:val="22"/>
              </w:rPr>
              <w:t>Chỉ VN có (VN Only)</w:t>
            </w:r>
          </w:p>
        </w:tc>
        <w:tc>
          <w:tcPr>
            <w:tcW w:type="dxa" w:w="1234"/>
            <w:shd w:fill="E6EEF8"/>
          </w:tcPr>
          <w:p>
            <w:pPr>
              <w:jc w:val="center"/>
            </w:pPr>
            <w:r>
              <w:rPr>
                <w:rFonts w:ascii="Times New Roman" w:hAnsi="Times New Roman"/>
                <w:b/>
                <w:sz w:val="22"/>
              </w:rPr>
              <w:t>Bù đắp Mirror</w:t>
            </w:r>
          </w:p>
        </w:tc>
        <w:tc>
          <w:tcPr>
            <w:tcW w:type="dxa" w:w="1234"/>
            <w:shd w:fill="E6EEF8"/>
          </w:tcPr>
          <w:p>
            <w:pPr>
              <w:jc w:val="center"/>
            </w:pPr>
            <w:r>
              <w:rPr>
                <w:rFonts w:ascii="Times New Roman" w:hAnsi="Times New Roman"/>
                <w:b/>
                <w:sz w:val="22"/>
              </w:rPr>
              <w:t>Độ phủ VN (%)</w:t>
            </w:r>
          </w:p>
        </w:tc>
        <w:tc>
          <w:tcPr>
            <w:tcW w:type="dxa" w:w="1234"/>
            <w:shd w:fill="E6EEF8"/>
          </w:tcPr>
          <w:p>
            <w:pPr>
              <w:jc w:val="center"/>
            </w:pPr>
            <w:r>
              <w:rPr>
                <w:rFonts w:ascii="Times New Roman" w:hAnsi="Times New Roman"/>
                <w:b/>
                <w:sz w:val="22"/>
              </w:rPr>
              <w:t>Độ phủ Hệ thống (%)</w:t>
            </w:r>
          </w:p>
        </w:tc>
      </w:tr>
      <w:tr>
        <w:tc>
          <w:tcPr>
            <w:tcW w:type="dxa" w:w="1234"/>
          </w:tcPr>
          <w:p>
            <w:r>
              <w:rPr>
                <w:rFonts w:ascii="Times New Roman" w:hAnsi="Times New Roman"/>
                <w:sz w:val="22"/>
              </w:rPr>
              <w:t>2015</w:t>
            </w:r>
          </w:p>
        </w:tc>
        <w:tc>
          <w:tcPr>
            <w:tcW w:type="dxa" w:w="1234"/>
          </w:tcPr>
          <w:p>
            <w:r>
              <w:rPr>
                <w:rFonts w:ascii="Times New Roman" w:hAnsi="Times New Roman"/>
                <w:sz w:val="22"/>
              </w:rPr>
              <w:t>1.331</w:t>
            </w:r>
          </w:p>
        </w:tc>
        <w:tc>
          <w:tcPr>
            <w:tcW w:type="dxa" w:w="1234"/>
          </w:tcPr>
          <w:p>
            <w:r>
              <w:rPr>
                <w:rFonts w:ascii="Times New Roman" w:hAnsi="Times New Roman"/>
                <w:sz w:val="22"/>
              </w:rPr>
              <w:t>898</w:t>
            </w:r>
          </w:p>
        </w:tc>
        <w:tc>
          <w:tcPr>
            <w:tcW w:type="dxa" w:w="1234"/>
          </w:tcPr>
          <w:p>
            <w:r>
              <w:rPr>
                <w:rFonts w:ascii="Times New Roman" w:hAnsi="Times New Roman"/>
                <w:sz w:val="22"/>
              </w:rPr>
              <w:t>326</w:t>
            </w:r>
          </w:p>
        </w:tc>
        <w:tc>
          <w:tcPr>
            <w:tcW w:type="dxa" w:w="1234"/>
          </w:tcPr>
          <w:p>
            <w:r>
              <w:rPr>
                <w:rFonts w:ascii="Times New Roman" w:hAnsi="Times New Roman"/>
                <w:sz w:val="22"/>
              </w:rPr>
              <w:t>107</w:t>
            </w:r>
          </w:p>
        </w:tc>
        <w:tc>
          <w:tcPr>
            <w:tcW w:type="dxa" w:w="1234"/>
          </w:tcPr>
          <w:p>
            <w:r>
              <w:rPr>
                <w:rFonts w:ascii="Times New Roman" w:hAnsi="Times New Roman"/>
                <w:sz w:val="22"/>
              </w:rPr>
              <w:t>92.0%</w:t>
            </w:r>
          </w:p>
        </w:tc>
        <w:tc>
          <w:tcPr>
            <w:tcW w:type="dxa" w:w="1234"/>
          </w:tcPr>
          <w:p>
            <w:r>
              <w:rPr>
                <w:rFonts w:ascii="Times New Roman" w:hAnsi="Times New Roman"/>
                <w:sz w:val="22"/>
              </w:rPr>
              <w:t>100.0%</w:t>
            </w:r>
          </w:p>
        </w:tc>
      </w:tr>
      <w:tr>
        <w:tc>
          <w:tcPr>
            <w:tcW w:type="dxa" w:w="1234"/>
          </w:tcPr>
          <w:p>
            <w:r>
              <w:rPr>
                <w:rFonts w:ascii="Times New Roman" w:hAnsi="Times New Roman"/>
                <w:sz w:val="22"/>
              </w:rPr>
              <w:t>2016</w:t>
            </w:r>
          </w:p>
        </w:tc>
        <w:tc>
          <w:tcPr>
            <w:tcW w:type="dxa" w:w="1234"/>
          </w:tcPr>
          <w:p>
            <w:r>
              <w:rPr>
                <w:rFonts w:ascii="Times New Roman" w:hAnsi="Times New Roman"/>
                <w:sz w:val="22"/>
              </w:rPr>
              <w:t>1.383</w:t>
            </w:r>
          </w:p>
        </w:tc>
        <w:tc>
          <w:tcPr>
            <w:tcW w:type="dxa" w:w="1234"/>
          </w:tcPr>
          <w:p>
            <w:r>
              <w:rPr>
                <w:rFonts w:ascii="Times New Roman" w:hAnsi="Times New Roman"/>
                <w:sz w:val="22"/>
              </w:rPr>
              <w:t>1.209</w:t>
            </w:r>
          </w:p>
        </w:tc>
        <w:tc>
          <w:tcPr>
            <w:tcW w:type="dxa" w:w="1234"/>
          </w:tcPr>
          <w:p>
            <w:r>
              <w:rPr>
                <w:rFonts w:ascii="Times New Roman" w:hAnsi="Times New Roman"/>
                <w:sz w:val="22"/>
              </w:rPr>
              <w:t>68</w:t>
            </w:r>
          </w:p>
        </w:tc>
        <w:tc>
          <w:tcPr>
            <w:tcW w:type="dxa" w:w="1234"/>
          </w:tcPr>
          <w:p>
            <w:r>
              <w:rPr>
                <w:rFonts w:ascii="Times New Roman" w:hAnsi="Times New Roman"/>
                <w:sz w:val="22"/>
              </w:rPr>
              <w:t>106</w:t>
            </w:r>
          </w:p>
        </w:tc>
        <w:tc>
          <w:tcPr>
            <w:tcW w:type="dxa" w:w="1234"/>
          </w:tcPr>
          <w:p>
            <w:r>
              <w:rPr>
                <w:rFonts w:ascii="Times New Roman" w:hAnsi="Times New Roman"/>
                <w:sz w:val="22"/>
              </w:rPr>
              <w:t>92.3%</w:t>
            </w:r>
          </w:p>
        </w:tc>
        <w:tc>
          <w:tcPr>
            <w:tcW w:type="dxa" w:w="1234"/>
          </w:tcPr>
          <w:p>
            <w:r>
              <w:rPr>
                <w:rFonts w:ascii="Times New Roman" w:hAnsi="Times New Roman"/>
                <w:sz w:val="22"/>
              </w:rPr>
              <w:t>100.0%</w:t>
            </w:r>
          </w:p>
        </w:tc>
      </w:tr>
      <w:tr>
        <w:tc>
          <w:tcPr>
            <w:tcW w:type="dxa" w:w="1234"/>
          </w:tcPr>
          <w:p>
            <w:r>
              <w:rPr>
                <w:rFonts w:ascii="Times New Roman" w:hAnsi="Times New Roman"/>
                <w:sz w:val="22"/>
              </w:rPr>
              <w:t>2017</w:t>
            </w:r>
          </w:p>
        </w:tc>
        <w:tc>
          <w:tcPr>
            <w:tcW w:type="dxa" w:w="1234"/>
          </w:tcPr>
          <w:p>
            <w:r>
              <w:rPr>
                <w:rFonts w:ascii="Times New Roman" w:hAnsi="Times New Roman"/>
                <w:sz w:val="22"/>
              </w:rPr>
              <w:t>1.397</w:t>
            </w:r>
          </w:p>
        </w:tc>
        <w:tc>
          <w:tcPr>
            <w:tcW w:type="dxa" w:w="1234"/>
          </w:tcPr>
          <w:p>
            <w:r>
              <w:rPr>
                <w:rFonts w:ascii="Times New Roman" w:hAnsi="Times New Roman"/>
                <w:sz w:val="22"/>
              </w:rPr>
              <w:t>1.240</w:t>
            </w:r>
          </w:p>
        </w:tc>
        <w:tc>
          <w:tcPr>
            <w:tcW w:type="dxa" w:w="1234"/>
          </w:tcPr>
          <w:p>
            <w:r>
              <w:rPr>
                <w:rFonts w:ascii="Times New Roman" w:hAnsi="Times New Roman"/>
                <w:sz w:val="22"/>
              </w:rPr>
              <w:t>49</w:t>
            </w:r>
          </w:p>
        </w:tc>
        <w:tc>
          <w:tcPr>
            <w:tcW w:type="dxa" w:w="1234"/>
          </w:tcPr>
          <w:p>
            <w:r>
              <w:rPr>
                <w:rFonts w:ascii="Times New Roman" w:hAnsi="Times New Roman"/>
                <w:sz w:val="22"/>
              </w:rPr>
              <w:t>108</w:t>
            </w:r>
          </w:p>
        </w:tc>
        <w:tc>
          <w:tcPr>
            <w:tcW w:type="dxa" w:w="1234"/>
          </w:tcPr>
          <w:p>
            <w:r>
              <w:rPr>
                <w:rFonts w:ascii="Times New Roman" w:hAnsi="Times New Roman"/>
                <w:sz w:val="22"/>
              </w:rPr>
              <w:t>92.3%</w:t>
            </w:r>
          </w:p>
        </w:tc>
        <w:tc>
          <w:tcPr>
            <w:tcW w:type="dxa" w:w="1234"/>
          </w:tcPr>
          <w:p>
            <w:r>
              <w:rPr>
                <w:rFonts w:ascii="Times New Roman" w:hAnsi="Times New Roman"/>
                <w:sz w:val="22"/>
              </w:rPr>
              <w:t>100.0%</w:t>
            </w:r>
          </w:p>
        </w:tc>
      </w:tr>
      <w:tr>
        <w:tc>
          <w:tcPr>
            <w:tcW w:type="dxa" w:w="1234"/>
          </w:tcPr>
          <w:p>
            <w:r>
              <w:rPr>
                <w:rFonts w:ascii="Times New Roman" w:hAnsi="Times New Roman"/>
                <w:sz w:val="22"/>
              </w:rPr>
              <w:t>2018</w:t>
            </w:r>
          </w:p>
        </w:tc>
        <w:tc>
          <w:tcPr>
            <w:tcW w:type="dxa" w:w="1234"/>
          </w:tcPr>
          <w:p>
            <w:r>
              <w:rPr>
                <w:rFonts w:ascii="Times New Roman" w:hAnsi="Times New Roman"/>
                <w:sz w:val="22"/>
              </w:rPr>
              <w:t>1.407</w:t>
            </w:r>
          </w:p>
        </w:tc>
        <w:tc>
          <w:tcPr>
            <w:tcW w:type="dxa" w:w="1234"/>
          </w:tcPr>
          <w:p>
            <w:r>
              <w:rPr>
                <w:rFonts w:ascii="Times New Roman" w:hAnsi="Times New Roman"/>
                <w:sz w:val="22"/>
              </w:rPr>
              <w:t>1.243</w:t>
            </w:r>
          </w:p>
        </w:tc>
        <w:tc>
          <w:tcPr>
            <w:tcW w:type="dxa" w:w="1234"/>
          </w:tcPr>
          <w:p>
            <w:r>
              <w:rPr>
                <w:rFonts w:ascii="Times New Roman" w:hAnsi="Times New Roman"/>
                <w:sz w:val="22"/>
              </w:rPr>
              <w:t>52</w:t>
            </w:r>
          </w:p>
        </w:tc>
        <w:tc>
          <w:tcPr>
            <w:tcW w:type="dxa" w:w="1234"/>
          </w:tcPr>
          <w:p>
            <w:r>
              <w:rPr>
                <w:rFonts w:ascii="Times New Roman" w:hAnsi="Times New Roman"/>
                <w:sz w:val="22"/>
              </w:rPr>
              <w:t>112</w:t>
            </w:r>
          </w:p>
        </w:tc>
        <w:tc>
          <w:tcPr>
            <w:tcW w:type="dxa" w:w="1234"/>
          </w:tcPr>
          <w:p>
            <w:r>
              <w:rPr>
                <w:rFonts w:ascii="Times New Roman" w:hAnsi="Times New Roman"/>
                <w:sz w:val="22"/>
              </w:rPr>
              <w:t>92.0%</w:t>
            </w:r>
          </w:p>
        </w:tc>
        <w:tc>
          <w:tcPr>
            <w:tcW w:type="dxa" w:w="1234"/>
          </w:tcPr>
          <w:p>
            <w:r>
              <w:rPr>
                <w:rFonts w:ascii="Times New Roman" w:hAnsi="Times New Roman"/>
                <w:sz w:val="22"/>
              </w:rPr>
              <w:t>100.0%</w:t>
            </w:r>
          </w:p>
        </w:tc>
      </w:tr>
      <w:tr>
        <w:tc>
          <w:tcPr>
            <w:tcW w:type="dxa" w:w="1234"/>
          </w:tcPr>
          <w:p>
            <w:r>
              <w:rPr>
                <w:rFonts w:ascii="Times New Roman" w:hAnsi="Times New Roman"/>
                <w:sz w:val="22"/>
              </w:rPr>
              <w:t>2019</w:t>
            </w:r>
          </w:p>
        </w:tc>
        <w:tc>
          <w:tcPr>
            <w:tcW w:type="dxa" w:w="1234"/>
          </w:tcPr>
          <w:p>
            <w:r>
              <w:rPr>
                <w:rFonts w:ascii="Times New Roman" w:hAnsi="Times New Roman"/>
                <w:sz w:val="22"/>
              </w:rPr>
              <w:t>1.422</w:t>
            </w:r>
          </w:p>
        </w:tc>
        <w:tc>
          <w:tcPr>
            <w:tcW w:type="dxa" w:w="1234"/>
          </w:tcPr>
          <w:p>
            <w:r>
              <w:rPr>
                <w:rFonts w:ascii="Times New Roman" w:hAnsi="Times New Roman"/>
                <w:sz w:val="22"/>
              </w:rPr>
              <w:t>1.251</w:t>
            </w:r>
          </w:p>
        </w:tc>
        <w:tc>
          <w:tcPr>
            <w:tcW w:type="dxa" w:w="1234"/>
          </w:tcPr>
          <w:p>
            <w:r>
              <w:rPr>
                <w:rFonts w:ascii="Times New Roman" w:hAnsi="Times New Roman"/>
                <w:sz w:val="22"/>
              </w:rPr>
              <w:t>66</w:t>
            </w:r>
          </w:p>
        </w:tc>
        <w:tc>
          <w:tcPr>
            <w:tcW w:type="dxa" w:w="1234"/>
          </w:tcPr>
          <w:p>
            <w:r>
              <w:rPr>
                <w:rFonts w:ascii="Times New Roman" w:hAnsi="Times New Roman"/>
                <w:sz w:val="22"/>
              </w:rPr>
              <w:t>105</w:t>
            </w:r>
          </w:p>
        </w:tc>
        <w:tc>
          <w:tcPr>
            <w:tcW w:type="dxa" w:w="1234"/>
          </w:tcPr>
          <w:p>
            <w:r>
              <w:rPr>
                <w:rFonts w:ascii="Times New Roman" w:hAnsi="Times New Roman"/>
                <w:sz w:val="22"/>
              </w:rPr>
              <w:t>92.6%</w:t>
            </w:r>
          </w:p>
        </w:tc>
        <w:tc>
          <w:tcPr>
            <w:tcW w:type="dxa" w:w="1234"/>
          </w:tcPr>
          <w:p>
            <w:r>
              <w:rPr>
                <w:rFonts w:ascii="Times New Roman" w:hAnsi="Times New Roman"/>
                <w:sz w:val="22"/>
              </w:rPr>
              <w:t>100.0%</w:t>
            </w:r>
          </w:p>
        </w:tc>
      </w:tr>
      <w:tr>
        <w:tc>
          <w:tcPr>
            <w:tcW w:type="dxa" w:w="1234"/>
          </w:tcPr>
          <w:p>
            <w:r>
              <w:rPr>
                <w:rFonts w:ascii="Times New Roman" w:hAnsi="Times New Roman"/>
                <w:sz w:val="22"/>
              </w:rPr>
              <w:t>2020</w:t>
            </w:r>
          </w:p>
        </w:tc>
        <w:tc>
          <w:tcPr>
            <w:tcW w:type="dxa" w:w="1234"/>
          </w:tcPr>
          <w:p>
            <w:r>
              <w:rPr>
                <w:rFonts w:ascii="Times New Roman" w:hAnsi="Times New Roman"/>
                <w:sz w:val="22"/>
              </w:rPr>
              <w:t>1.413</w:t>
            </w:r>
          </w:p>
        </w:tc>
        <w:tc>
          <w:tcPr>
            <w:tcW w:type="dxa" w:w="1234"/>
          </w:tcPr>
          <w:p>
            <w:r>
              <w:rPr>
                <w:rFonts w:ascii="Times New Roman" w:hAnsi="Times New Roman"/>
                <w:sz w:val="22"/>
              </w:rPr>
              <w:t>1.247</w:t>
            </w:r>
          </w:p>
        </w:tc>
        <w:tc>
          <w:tcPr>
            <w:tcW w:type="dxa" w:w="1234"/>
          </w:tcPr>
          <w:p>
            <w:r>
              <w:rPr>
                <w:rFonts w:ascii="Times New Roman" w:hAnsi="Times New Roman"/>
                <w:sz w:val="22"/>
              </w:rPr>
              <w:t>58</w:t>
            </w:r>
          </w:p>
        </w:tc>
        <w:tc>
          <w:tcPr>
            <w:tcW w:type="dxa" w:w="1234"/>
          </w:tcPr>
          <w:p>
            <w:r>
              <w:rPr>
                <w:rFonts w:ascii="Times New Roman" w:hAnsi="Times New Roman"/>
                <w:sz w:val="22"/>
              </w:rPr>
              <w:t>108</w:t>
            </w:r>
          </w:p>
        </w:tc>
        <w:tc>
          <w:tcPr>
            <w:tcW w:type="dxa" w:w="1234"/>
          </w:tcPr>
          <w:p>
            <w:r>
              <w:rPr>
                <w:rFonts w:ascii="Times New Roman" w:hAnsi="Times New Roman"/>
                <w:sz w:val="22"/>
              </w:rPr>
              <w:t>92.4%</w:t>
            </w:r>
          </w:p>
        </w:tc>
        <w:tc>
          <w:tcPr>
            <w:tcW w:type="dxa" w:w="1234"/>
          </w:tcPr>
          <w:p>
            <w:r>
              <w:rPr>
                <w:rFonts w:ascii="Times New Roman" w:hAnsi="Times New Roman"/>
                <w:sz w:val="22"/>
              </w:rPr>
              <w:t>100.0%</w:t>
            </w:r>
          </w:p>
        </w:tc>
      </w:tr>
      <w:tr>
        <w:tc>
          <w:tcPr>
            <w:tcW w:type="dxa" w:w="1234"/>
          </w:tcPr>
          <w:p>
            <w:r>
              <w:rPr>
                <w:rFonts w:ascii="Times New Roman" w:hAnsi="Times New Roman"/>
                <w:sz w:val="22"/>
              </w:rPr>
              <w:t>2021</w:t>
            </w:r>
          </w:p>
        </w:tc>
        <w:tc>
          <w:tcPr>
            <w:tcW w:type="dxa" w:w="1234"/>
          </w:tcPr>
          <w:p>
            <w:r>
              <w:rPr>
                <w:rFonts w:ascii="Times New Roman" w:hAnsi="Times New Roman"/>
                <w:sz w:val="22"/>
              </w:rPr>
              <w:t>1.415</w:t>
            </w:r>
          </w:p>
        </w:tc>
        <w:tc>
          <w:tcPr>
            <w:tcW w:type="dxa" w:w="1234"/>
          </w:tcPr>
          <w:p>
            <w:r>
              <w:rPr>
                <w:rFonts w:ascii="Times New Roman" w:hAnsi="Times New Roman"/>
                <w:sz w:val="22"/>
              </w:rPr>
              <w:t>1.256</w:t>
            </w:r>
          </w:p>
        </w:tc>
        <w:tc>
          <w:tcPr>
            <w:tcW w:type="dxa" w:w="1234"/>
          </w:tcPr>
          <w:p>
            <w:r>
              <w:rPr>
                <w:rFonts w:ascii="Times New Roman" w:hAnsi="Times New Roman"/>
                <w:sz w:val="22"/>
              </w:rPr>
              <w:t>62</w:t>
            </w:r>
          </w:p>
        </w:tc>
        <w:tc>
          <w:tcPr>
            <w:tcW w:type="dxa" w:w="1234"/>
          </w:tcPr>
          <w:p>
            <w:r>
              <w:rPr>
                <w:rFonts w:ascii="Times New Roman" w:hAnsi="Times New Roman"/>
                <w:sz w:val="22"/>
              </w:rPr>
              <w:t>97</w:t>
            </w:r>
          </w:p>
        </w:tc>
        <w:tc>
          <w:tcPr>
            <w:tcW w:type="dxa" w:w="1234"/>
          </w:tcPr>
          <w:p>
            <w:r>
              <w:rPr>
                <w:rFonts w:ascii="Times New Roman" w:hAnsi="Times New Roman"/>
                <w:sz w:val="22"/>
              </w:rPr>
              <w:t>93.1%</w:t>
            </w:r>
          </w:p>
        </w:tc>
        <w:tc>
          <w:tcPr>
            <w:tcW w:type="dxa" w:w="1234"/>
          </w:tcPr>
          <w:p>
            <w:r>
              <w:rPr>
                <w:rFonts w:ascii="Times New Roman" w:hAnsi="Times New Roman"/>
                <w:sz w:val="22"/>
              </w:rPr>
              <w:t>100.0%</w:t>
            </w:r>
          </w:p>
        </w:tc>
      </w:tr>
      <w:tr>
        <w:tc>
          <w:tcPr>
            <w:tcW w:type="dxa" w:w="1234"/>
          </w:tcPr>
          <w:p>
            <w:r>
              <w:rPr>
                <w:rFonts w:ascii="Times New Roman" w:hAnsi="Times New Roman"/>
                <w:sz w:val="22"/>
              </w:rPr>
              <w:t>2022</w:t>
            </w:r>
          </w:p>
        </w:tc>
        <w:tc>
          <w:tcPr>
            <w:tcW w:type="dxa" w:w="1234"/>
          </w:tcPr>
          <w:p>
            <w:r>
              <w:rPr>
                <w:rFonts w:ascii="Times New Roman" w:hAnsi="Times New Roman"/>
                <w:sz w:val="22"/>
              </w:rPr>
              <w:t>1.438</w:t>
            </w:r>
          </w:p>
        </w:tc>
        <w:tc>
          <w:tcPr>
            <w:tcW w:type="dxa" w:w="1234"/>
          </w:tcPr>
          <w:p>
            <w:r>
              <w:rPr>
                <w:rFonts w:ascii="Times New Roman" w:hAnsi="Times New Roman"/>
                <w:sz w:val="22"/>
              </w:rPr>
              <w:t>1.274</w:t>
            </w:r>
          </w:p>
        </w:tc>
        <w:tc>
          <w:tcPr>
            <w:tcW w:type="dxa" w:w="1234"/>
          </w:tcPr>
          <w:p>
            <w:r>
              <w:rPr>
                <w:rFonts w:ascii="Times New Roman" w:hAnsi="Times New Roman"/>
                <w:sz w:val="22"/>
              </w:rPr>
              <w:t>56</w:t>
            </w:r>
          </w:p>
        </w:tc>
        <w:tc>
          <w:tcPr>
            <w:tcW w:type="dxa" w:w="1234"/>
          </w:tcPr>
          <w:p>
            <w:r>
              <w:rPr>
                <w:rFonts w:ascii="Times New Roman" w:hAnsi="Times New Roman"/>
                <w:sz w:val="22"/>
              </w:rPr>
              <w:t>108</w:t>
            </w:r>
          </w:p>
        </w:tc>
        <w:tc>
          <w:tcPr>
            <w:tcW w:type="dxa" w:w="1234"/>
          </w:tcPr>
          <w:p>
            <w:r>
              <w:rPr>
                <w:rFonts w:ascii="Times New Roman" w:hAnsi="Times New Roman"/>
                <w:sz w:val="22"/>
              </w:rPr>
              <w:t>92.5%</w:t>
            </w:r>
          </w:p>
        </w:tc>
        <w:tc>
          <w:tcPr>
            <w:tcW w:type="dxa" w:w="1234"/>
          </w:tcPr>
          <w:p>
            <w:r>
              <w:rPr>
                <w:rFonts w:ascii="Times New Roman" w:hAnsi="Times New Roman"/>
                <w:sz w:val="22"/>
              </w:rPr>
              <w:t>100.0%</w:t>
            </w:r>
          </w:p>
        </w:tc>
      </w:tr>
      <w:tr>
        <w:tc>
          <w:tcPr>
            <w:tcW w:type="dxa" w:w="1234"/>
          </w:tcPr>
          <w:p>
            <w:r>
              <w:rPr>
                <w:rFonts w:ascii="Times New Roman" w:hAnsi="Times New Roman"/>
                <w:sz w:val="22"/>
              </w:rPr>
              <w:t>2023</w:t>
            </w:r>
          </w:p>
        </w:tc>
        <w:tc>
          <w:tcPr>
            <w:tcW w:type="dxa" w:w="1234"/>
          </w:tcPr>
          <w:p>
            <w:r>
              <w:rPr>
                <w:rFonts w:ascii="Times New Roman" w:hAnsi="Times New Roman"/>
                <w:sz w:val="22"/>
              </w:rPr>
              <w:t>1.434</w:t>
            </w:r>
          </w:p>
        </w:tc>
        <w:tc>
          <w:tcPr>
            <w:tcW w:type="dxa" w:w="1234"/>
          </w:tcPr>
          <w:p>
            <w:r>
              <w:rPr>
                <w:rFonts w:ascii="Times New Roman" w:hAnsi="Times New Roman"/>
                <w:sz w:val="22"/>
              </w:rPr>
              <w:t>1.266</w:t>
            </w:r>
          </w:p>
        </w:tc>
        <w:tc>
          <w:tcPr>
            <w:tcW w:type="dxa" w:w="1234"/>
          </w:tcPr>
          <w:p>
            <w:r>
              <w:rPr>
                <w:rFonts w:ascii="Times New Roman" w:hAnsi="Times New Roman"/>
                <w:sz w:val="22"/>
              </w:rPr>
              <w:t>44</w:t>
            </w:r>
          </w:p>
        </w:tc>
        <w:tc>
          <w:tcPr>
            <w:tcW w:type="dxa" w:w="1234"/>
          </w:tcPr>
          <w:p>
            <w:r>
              <w:rPr>
                <w:rFonts w:ascii="Times New Roman" w:hAnsi="Times New Roman"/>
                <w:sz w:val="22"/>
              </w:rPr>
              <w:t>124</w:t>
            </w:r>
          </w:p>
        </w:tc>
        <w:tc>
          <w:tcPr>
            <w:tcW w:type="dxa" w:w="1234"/>
          </w:tcPr>
          <w:p>
            <w:r>
              <w:rPr>
                <w:rFonts w:ascii="Times New Roman" w:hAnsi="Times New Roman"/>
                <w:sz w:val="22"/>
              </w:rPr>
              <w:t>91.4%</w:t>
            </w:r>
          </w:p>
        </w:tc>
        <w:tc>
          <w:tcPr>
            <w:tcW w:type="dxa" w:w="1234"/>
          </w:tcPr>
          <w:p>
            <w:r>
              <w:rPr>
                <w:rFonts w:ascii="Times New Roman" w:hAnsi="Times New Roman"/>
                <w:sz w:val="22"/>
              </w:rPr>
              <w:t>100.0%</w:t>
            </w:r>
          </w:p>
        </w:tc>
      </w:tr>
      <w:tr>
        <w:tc>
          <w:tcPr>
            <w:tcW w:type="dxa" w:w="1234"/>
          </w:tcPr>
          <w:p>
            <w:r>
              <w:rPr>
                <w:rFonts w:ascii="Times New Roman" w:hAnsi="Times New Roman"/>
                <w:sz w:val="22"/>
              </w:rPr>
              <w:t>2024</w:t>
            </w:r>
          </w:p>
        </w:tc>
        <w:tc>
          <w:tcPr>
            <w:tcW w:type="dxa" w:w="1234"/>
          </w:tcPr>
          <w:p>
            <w:r>
              <w:rPr>
                <w:rFonts w:ascii="Times New Roman" w:hAnsi="Times New Roman"/>
                <w:sz w:val="22"/>
              </w:rPr>
              <w:t>1.393</w:t>
            </w:r>
          </w:p>
        </w:tc>
        <w:tc>
          <w:tcPr>
            <w:tcW w:type="dxa" w:w="1234"/>
          </w:tcPr>
          <w:p>
            <w:r>
              <w:rPr>
                <w:rFonts w:ascii="Times New Roman" w:hAnsi="Times New Roman"/>
                <w:sz w:val="22"/>
              </w:rPr>
              <w:t>0</w:t>
            </w:r>
          </w:p>
        </w:tc>
        <w:tc>
          <w:tcPr>
            <w:tcW w:type="dxa" w:w="1234"/>
          </w:tcPr>
          <w:p>
            <w:r>
              <w:rPr>
                <w:rFonts w:ascii="Times New Roman" w:hAnsi="Times New Roman"/>
                <w:sz w:val="22"/>
              </w:rPr>
              <w:t>0</w:t>
            </w:r>
          </w:p>
        </w:tc>
        <w:tc>
          <w:tcPr>
            <w:tcW w:type="dxa" w:w="1234"/>
          </w:tcPr>
          <w:p>
            <w:r>
              <w:rPr>
                <w:rFonts w:ascii="Times New Roman" w:hAnsi="Times New Roman"/>
                <w:sz w:val="22"/>
              </w:rPr>
              <w:t>1.393</w:t>
            </w:r>
          </w:p>
        </w:tc>
        <w:tc>
          <w:tcPr>
            <w:tcW w:type="dxa" w:w="1234"/>
          </w:tcPr>
          <w:p>
            <w:r>
              <w:rPr>
                <w:rFonts w:ascii="Times New Roman" w:hAnsi="Times New Roman"/>
                <w:sz w:val="22"/>
              </w:rPr>
              <w:t>0.0%</w:t>
            </w:r>
          </w:p>
        </w:tc>
        <w:tc>
          <w:tcPr>
            <w:tcW w:type="dxa" w:w="1234"/>
          </w:tcPr>
          <w:p>
            <w:r>
              <w:rPr>
                <w:rFonts w:ascii="Times New Roman" w:hAnsi="Times New Roman"/>
                <w:sz w:val="22"/>
              </w:rPr>
              <w:t>100.0%</w:t>
            </w:r>
          </w:p>
        </w:tc>
      </w:tr>
    </w:tbl>
    <w:p>
      <w:pPr>
        <w:pStyle w:val="Heading1"/>
      </w:pPr>
      <w:r>
        <w:t>5. Các Case Studies rút ra từ quá trình Reconciliation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EF8"/>
          </w:tcPr>
          <w:p>
            <w:pPr>
              <w:jc w:val="center"/>
            </w:pPr>
            <w:r>
              <w:rPr>
                <w:rFonts w:ascii="Times New Roman" w:hAnsi="Times New Roman"/>
                <w:b/>
                <w:sz w:val="22"/>
              </w:rPr>
              <w:t>STT</w:t>
            </w:r>
          </w:p>
        </w:tc>
        <w:tc>
          <w:tcPr>
            <w:tcW w:type="dxa" w:w="2160"/>
            <w:shd w:fill="E6EEF8"/>
          </w:tcPr>
          <w:p>
            <w:pPr>
              <w:jc w:val="center"/>
            </w:pPr>
            <w:r>
              <w:rPr>
                <w:rFonts w:ascii="Times New Roman" w:hAnsi="Times New Roman"/>
                <w:b/>
                <w:sz w:val="22"/>
              </w:rPr>
              <w:t>Tình huống thực tế</w:t>
            </w:r>
          </w:p>
        </w:tc>
        <w:tc>
          <w:tcPr>
            <w:tcW w:type="dxa" w:w="2160"/>
            <w:shd w:fill="E6EEF8"/>
          </w:tcPr>
          <w:p>
            <w:pPr>
              <w:jc w:val="center"/>
            </w:pPr>
            <w:r>
              <w:rPr>
                <w:rFonts w:ascii="Times New Roman" w:hAnsi="Times New Roman"/>
                <w:b/>
                <w:sz w:val="22"/>
              </w:rPr>
              <w:t>Nguyên nhân gốc rễ</w:t>
            </w:r>
          </w:p>
        </w:tc>
        <w:tc>
          <w:tcPr>
            <w:tcW w:type="dxa" w:w="2160"/>
            <w:shd w:fill="E6EEF8"/>
          </w:tcPr>
          <w:p>
            <w:pPr>
              <w:jc w:val="center"/>
            </w:pPr>
            <w:r>
              <w:rPr>
                <w:rFonts w:ascii="Times New Roman" w:hAnsi="Times New Roman"/>
                <w:b/>
                <w:sz w:val="22"/>
              </w:rPr>
              <w:t>Giải pháp xử lý chuẩn mực</w:t>
            </w:r>
          </w:p>
        </w:tc>
      </w:tr>
      <w:tr>
        <w:tc>
          <w:tcPr>
            <w:tcW w:type="dxa" w:w="2160"/>
          </w:tcPr>
          <w:p>
            <w:r>
              <w:rPr>
                <w:rFonts w:ascii="Times New Roman" w:hAnsi="Times New Roman"/>
                <w:sz w:val="22"/>
              </w:rPr>
              <w:t>1</w:t>
            </w:r>
          </w:p>
        </w:tc>
        <w:tc>
          <w:tcPr>
            <w:tcW w:type="dxa" w:w="2160"/>
          </w:tcPr>
          <w:p>
            <w:r>
              <w:rPr>
                <w:rFonts w:ascii="Times New Roman" w:hAnsi="Times New Roman"/>
                <w:sz w:val="22"/>
              </w:rPr>
              <w:t>Số liệu xuất khẩu sang Mỹ khai 145 tỷ USD nhưng Mỹ khai nhập 171 tỷ USD</w:t>
            </w:r>
          </w:p>
        </w:tc>
        <w:tc>
          <w:tcPr>
            <w:tcW w:type="dxa" w:w="2160"/>
          </w:tcPr>
          <w:p>
            <w:r>
              <w:rPr>
                <w:rFonts w:ascii="Times New Roman" w:hAnsi="Times New Roman"/>
                <w:sz w:val="22"/>
              </w:rPr>
              <w:t>Khác biệt cơ sở tính giá CIF (nước nhập) vs FOB (nước xuất) do cước vận chuyển vượt biển lớn</w:t>
            </w:r>
          </w:p>
        </w:tc>
        <w:tc>
          <w:tcPr>
            <w:tcW w:type="dxa" w:w="2160"/>
          </w:tcPr>
          <w:p>
            <w:r>
              <w:rPr>
                <w:rFonts w:ascii="Times New Roman" w:hAnsi="Times New Roman"/>
                <w:sz w:val="22"/>
              </w:rPr>
              <w:t>Xây dựng bảng REF_CIF_FOB_FACTOR quy đổi trừ chi phí ship trước khi hòa giải</w:t>
            </w:r>
          </w:p>
        </w:tc>
      </w:tr>
      <w:tr>
        <w:tc>
          <w:tcPr>
            <w:tcW w:type="dxa" w:w="2160"/>
          </w:tcPr>
          <w:p>
            <w:r>
              <w:rPr>
                <w:rFonts w:ascii="Times New Roman" w:hAnsi="Times New Roman"/>
                <w:sz w:val="22"/>
              </w:rPr>
              <w:t>2</w:t>
            </w:r>
          </w:p>
        </w:tc>
        <w:tc>
          <w:tcPr>
            <w:tcW w:type="dxa" w:w="2160"/>
          </w:tcPr>
          <w:p>
            <w:r>
              <w:rPr>
                <w:rFonts w:ascii="Times New Roman" w:hAnsi="Times New Roman"/>
                <w:sz w:val="22"/>
              </w:rPr>
              <w:t>Dữ liệu Việt Nam năm 2024 hoàn toàn rỗng trên Comtrade</w:t>
            </w:r>
          </w:p>
        </w:tc>
        <w:tc>
          <w:tcPr>
            <w:tcW w:type="dxa" w:w="2160"/>
          </w:tcPr>
          <w:p>
            <w:r>
              <w:rPr>
                <w:rFonts w:ascii="Times New Roman" w:hAnsi="Times New Roman"/>
                <w:sz w:val="22"/>
              </w:rPr>
              <w:t>Hải quan/Cơ quan thống kê Việt Nam bị gián đoạn kỳ công bố báo cáo lên quốc tế</w:t>
            </w:r>
          </w:p>
        </w:tc>
        <w:tc>
          <w:tcPr>
            <w:tcW w:type="dxa" w:w="2160"/>
          </w:tcPr>
          <w:p>
            <w:r>
              <w:rPr>
                <w:rFonts w:ascii="Times New Roman" w:hAnsi="Times New Roman"/>
                <w:sz w:val="22"/>
              </w:rPr>
              <w:t>Dùng Mirror đối tác điền khuyết tự động kèm nhãn cờ MIRROR_ESTIMATED minh bạch</w:t>
            </w:r>
          </w:p>
        </w:tc>
      </w:tr>
      <w:tr>
        <w:tc>
          <w:tcPr>
            <w:tcW w:type="dxa" w:w="2160"/>
          </w:tcPr>
          <w:p>
            <w:r>
              <w:rPr>
                <w:rFonts w:ascii="Times New Roman" w:hAnsi="Times New Roman"/>
                <w:sz w:val="22"/>
              </w:rPr>
              <w:t>3</w:t>
            </w:r>
          </w:p>
        </w:tc>
        <w:tc>
          <w:tcPr>
            <w:tcW w:type="dxa" w:w="2160"/>
          </w:tcPr>
          <w:p>
            <w:r>
              <w:rPr>
                <w:rFonts w:ascii="Times New Roman" w:hAnsi="Times New Roman"/>
                <w:sz w:val="22"/>
              </w:rPr>
              <w:t>View đối chiếu chạy chậm khi kết nối với Power BI</w:t>
            </w:r>
          </w:p>
        </w:tc>
        <w:tc>
          <w:tcPr>
            <w:tcW w:type="dxa" w:w="2160"/>
          </w:tcPr>
          <w:p>
            <w:r>
              <w:rPr>
                <w:rFonts w:ascii="Times New Roman" w:hAnsi="Times New Roman"/>
                <w:sz w:val="22"/>
              </w:rPr>
              <w:t>Phép FULL OUTER JOIN trên 27.000 dòng fact bị tính toán lại nhiều lần</w:t>
            </w:r>
          </w:p>
        </w:tc>
        <w:tc>
          <w:tcPr>
            <w:tcW w:type="dxa" w:w="2160"/>
          </w:tcPr>
          <w:p>
            <w:r>
              <w:rPr>
                <w:rFonts w:ascii="Times New Roman" w:hAnsi="Times New Roman"/>
                <w:sz w:val="22"/>
              </w:rPr>
              <w:t>Vật chất hóa thành bảng MART_TRADE_RECONCILIATION có Clustered &amp; Nonclustered Index</w:t>
            </w:r>
          </w:p>
        </w:tc>
      </w:tr>
    </w:tbl>
    <w:p>
      <w:pPr>
        <w:pStyle w:val="Heading1"/>
      </w:pPr>
      <w:r>
        <w:t>6. Kế hoạch triển khai tuần tiếp theo: Xây dựng khối đa chiều SSAS OLAP</w:t>
      </w:r>
    </w:p>
    <w:p>
      <w:pPr>
        <w:pStyle w:val="Heading2"/>
      </w:pPr>
      <w:r>
        <w:t>6.1. Tuần 8: Xây dựng dự án SSAS Multidimensional Project trên Visual Studio SSDT</w:t>
      </w:r>
    </w:p>
    <w:p>
      <w:pPr>
        <w:pStyle w:val="ListParagraph"/>
      </w:pPr>
      <w:r>
        <w:t>Tạo Data Source View (DSV): Kết nối Visual Studio SSDT vào CSDL TLCN_XNK trên instance SQLEXPRESS1.</w:t>
      </w:r>
    </w:p>
    <w:p>
      <w:pPr>
        <w:pStyle w:val="ListParagraph"/>
      </w:pPr>
      <w:r>
        <w:t>Xây dựng các Phân cấp chiều (Hierarchies): Thiết lập phân cấp Thời gian (Year → Quarter → Month), Địa lý (Region → Sub-region → Country), và Hàng hóa (HS2 → HS4 → HS6).</w:t>
      </w:r>
    </w:p>
    <w:p>
      <w:pPr>
        <w:pStyle w:val="ListParagraph"/>
      </w:pPr>
      <w:r>
        <w:t>Cấu hình Measure Groups &amp; Cấm cộng gộp sai: Cấu hình Measure Group cho Fact Trade, Fact Tariff Rate và Fact Macro; khóa tính năng cộng gộp của cột qty theo luật R1 của DW_USAGE_RULE.</w:t>
      </w:r>
    </w:p>
    <w:p>
      <w:pPr>
        <w:pStyle w:val="ListParagraph"/>
      </w:pPr>
      <w:r>
        <w:t>Deploy khối lập phương Cube: Triển khai khối Cube đa chiều lên instance SSAS MSSQLSERVER1 đang hoạt động trên máy.</w:t>
      </w:r>
    </w:p>
    <w:p>
      <w:pPr>
        <w:pStyle w:val="ListParagraph"/>
      </w:pPr>
      <w:r>
        <w:t>Viết bộ truy vấn SQL OLAP nâng cao: Soạn thảo script 06_olap_queries.sql gồm các câu lệnh CUBE, ROLLUP, GROUPING SETS, hàm xếp hạng RANK(), so sánh cửa sổ LAG()/LEAD() và chỉ số tập trung thị trường HHI, CR-4.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