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6"/>
        </w:rPr>
        <w:t>BÁO CÁO TIẾN ĐỘ TUẦN 8</w:t>
      </w:r>
    </w:p>
    <w:p>
      <w:pPr>
        <w:jc w:val="center"/>
      </w:pPr>
      <w:r>
        <w:rPr>
          <w:rFonts w:ascii="Times New Roman" w:hAnsi="Times New Roman"/>
          <w:i/>
          <w:color w:val="646464"/>
          <w:sz w:val="22"/>
        </w:rPr>
        <w:t>(Giai đoạn: Xây dựng Bộ truy vấn SQL OLAP nâng cao &amp; Vật chất hóa Data Marts — Tuần 10 Kế hoạch)</w:t>
      </w:r>
    </w:p>
    <w:p>
      <w:pPr>
        <w:jc w:val="center"/>
      </w:pPr>
      <w:r>
        <w:rPr>
          <w:rFonts w:ascii="Times New Roman" w:hAnsi="Times New Roman"/>
          <w:b/>
        </w:rPr>
        <w:t>Đề tài: Xây dựng Kho dữ liệu hỗ trợ phân tích và ra quyết định xuất nhập khẩu hàng hóa Việt Nam</w:t>
      </w:r>
    </w:p>
    <w:p>
      <w:pPr>
        <w:jc w:val="center"/>
      </w:pPr>
      <w:r>
        <w:rPr>
          <w:rFonts w:ascii="Times New Roman" w:hAnsi="Times New Roman"/>
          <w:b/>
        </w:rPr>
        <w:t>Sinh viên thực hiện :</w:t>
      </w:r>
    </w:p>
    <w:p>
      <w:pPr>
        <w:jc w:val="center"/>
      </w:pPr>
      <w:r>
        <w:rPr>
          <w:rFonts w:ascii="Times New Roman" w:hAnsi="Times New Roman"/>
        </w:rPr>
        <w:tab/>
        <w:tab/>
        <w:tab/>
        <w:tab/>
        <w:tab/>
        <w:tab/>
        <w:tab/>
        <w:t>Nguyễn Khắc Dương - 23110199</w:t>
      </w:r>
    </w:p>
    <w:p>
      <w:pPr>
        <w:jc w:val="center"/>
      </w:pPr>
      <w:r>
        <w:rPr>
          <w:rFonts w:ascii="Times New Roman" w:hAnsi="Times New Roman"/>
        </w:rPr>
        <w:tab/>
        <w:tab/>
        <w:tab/>
        <w:tab/>
        <w:tab/>
        <w:tab/>
        <w:tab/>
        <w:t>Lưu Thái Thanh Lâm - 23110249</w:t>
      </w:r>
    </w:p>
    <w:p>
      <w:pPr>
        <w:jc w:val="center"/>
      </w:pPr>
      <w:r>
        <w:rPr>
          <w:rFonts w:ascii="Times New Roman" w:hAnsi="Times New Roman"/>
        </w:rPr>
        <w:t>Kho lưu trữ mã nguồn:</w:t>
      </w:r>
    </w:p>
    <w:p>
      <w:pPr>
        <w:jc w:val="center"/>
      </w:pPr>
      <w:r>
        <w:rPr>
          <w:rFonts w:ascii="Times New Roman" w:hAnsi="Times New Roman"/>
        </w:rPr>
        <w:t>(GitHub): https://github.com/LuuThaiThanhLam/TLCN_XNK_DW</w:t>
      </w:r>
    </w:p>
    <w:p/>
    <w:p>
      <w:pPr>
        <w:pStyle w:val="Heading1"/>
      </w:pPr>
      <w:r>
        <w:t>1. Tổng quan kế hoạch Tuần 8</w:t>
      </w:r>
    </w:p>
    <w:p>
      <w:pPr>
        <w:pStyle w:val="Heading2"/>
      </w:pPr>
      <w:r>
        <w:t>1.1. Mục tiêu và kết quả tổng quan công việc đã thực hiện</w:t>
      </w:r>
    </w:p>
    <w:p>
      <w:r>
        <w:tab/>
        <w:t xml:space="preserve">Sau khi hoàn thành tầng Đối chiếu dữ liệu gương (Reconciliation) và bù đắp khoảng trống số liệu năm 2024 ở tuần trước, trọng tâm của tuần này là hiện thực hóa </w:t>
      </w:r>
      <w:r>
        <w:rPr>
          <w:b/>
        </w:rPr>
        <w:t>Tầng phân tích trực tuyến đa chiều SQL OLAP (Online Analytical Processing)</w:t>
      </w:r>
      <w:r>
        <w:t xml:space="preserve"> và </w:t>
      </w:r>
      <w:r>
        <w:rPr>
          <w:b/>
        </w:rPr>
        <w:t>Vật chất hóa các Data Mart chuyên dụng</w:t>
      </w:r>
      <w:r>
        <w:t xml:space="preserve"> (nội dung thuộc Phần 1 của Tuần 10 trong Kế hoạch 13 tuần chỉnh sửa). Tầng phân tích này đóng vai trò bản lề, chuyển đổi toàn bộ dữ liệu giao dịch Star Schema thô thành các chỉ số phân tích kinh tế tổng hợp và chuẩn bị sẵn cấu trúc tối ưu cho Dashboard Power BI (Tuần 11). Cụ thể các kết quả đạt được:</w:t>
      </w:r>
    </w:p>
    <w:p>
      <w:pPr>
        <w:pStyle w:val="ListParagraph"/>
      </w:pPr>
      <w:r>
        <w:rPr>
          <w:b/>
        </w:rPr>
        <w:t xml:space="preserve">Xây dựng bộ 17 truy vấn SQL OLAP nâng cao (06_olap_queries.sql): </w:t>
      </w:r>
      <w:r>
        <w:t>Hiện thực hóa toàn diện các kỹ thuật phân tích đa chiều hiện đại gồm ROLLUP, CUBE, GROUPING SETS, cùng hệ thống các hàm cửa sổ (Window Functions: RANK, DENSE_RANK, ROW_NUMBER, LAG, LEAD, NTILE, PERCENT_RANK, Moving Average).</w:t>
      </w:r>
    </w:p>
    <w:p>
      <w:pPr>
        <w:pStyle w:val="ListParagraph"/>
      </w:pPr>
      <w:r>
        <w:rPr>
          <w:b/>
        </w:rPr>
        <w:t xml:space="preserve">Tính toán các chỉ số kinh tế vĩ mô &amp; cấu trúc thị trường: </w:t>
      </w:r>
      <w:r>
        <w:t>Lập trình tính toán trực tiếp Chỉ số tập trung thị trường Herfindahl-Hirschman Index (HHI), tỷ trọng Top 4 đối tác (CR-4), chỉ số mùa vụ thương mại (Seasonal Index) và cán cân thương mại song phương.</w:t>
      </w:r>
    </w:p>
    <w:p>
      <w:pPr>
        <w:pStyle w:val="ListParagraph"/>
      </w:pPr>
      <w:r>
        <w:rPr>
          <w:b/>
        </w:rPr>
        <w:t xml:space="preserve">Phân tích tác động chính sách thuế quan tuân thủ Nội quy R2: </w:t>
      </w:r>
      <w:r>
        <w:t>Đánh giá mức độ bảo hộ và lợi thế thuế quan FTA thông qua công thức bình quân gia quyền theo số dòng thuế SUM(pct*lines)/SUM(lines), tuân thủ tuyệt đối quy định DW_USAGE_RULE R2 trong CSDL.</w:t>
      </w:r>
    </w:p>
    <w:p>
      <w:pPr>
        <w:pStyle w:val="ListParagraph"/>
      </w:pPr>
      <w:r>
        <w:rPr>
          <w:b/>
        </w:rPr>
        <w:t xml:space="preserve">Vật chất hóa 3 Data Mart chuyên dụng (Materialized Tables): </w:t>
      </w:r>
      <w:r>
        <w:t>Tạo mới 3 bảng vật lý MART_TRADE_SUMMARY (24.917 dòng), MART_TRADE_BALANCE (45 dòng), MART_HHI_YEARLY (18 dòng) kèm 8 chỉ mục Clustered và Nonclustered tối ưu hóa thời gian phản hồi cho Dashboard xuống dưới 0.1 giây.</w:t>
      </w:r>
    </w:p>
    <w:p>
      <w:pPr>
        <w:pStyle w:val="ListParagraph"/>
      </w:pPr>
      <w:r>
        <w:rPr>
          <w:b/>
        </w:rPr>
        <w:t xml:space="preserve">Kiểm thử thực thi thành công 100% trên SQL Server: </w:t>
      </w:r>
      <w:r>
        <w:t>Toàn bộ script 06_olap_queries.sql đã được thực thi hoàn tất trên instance SQLEXPRESS1 CSDL TLCN_XNK mà không phát sinh bất kỳ lỗi nào.</w:t>
      </w:r>
    </w:p>
    <w:p>
      <w:pPr>
        <w:pStyle w:val="Heading1"/>
      </w:pPr>
      <w:r>
        <w:t>2. Chi tiết 17 truy vấn SQL OLAP nâng cao (06_olap_queries.sql)</w:t>
      </w:r>
    </w:p>
    <w:p>
      <w:r>
        <w:tab/>
        <w:t>Bộ truy vấn OLAP được xây dựng theo chuẩn mực thiết kế Kho dữ liệu của Ralph Kimball, phân chia thành 4 nhóm nghiệp vụ chính nhằm giải quyết trọn vẹn các yêu cầu ra quyết định thương mại quốc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EF8"/>
          </w:tcPr>
          <w:p>
            <w:pPr>
              <w:jc w:val="center"/>
            </w:pPr>
            <w:r>
              <w:rPr>
                <w:rFonts w:ascii="Times New Roman" w:hAnsi="Times New Roman"/>
                <w:b/>
                <w:sz w:val="21"/>
              </w:rPr>
              <w:t>Mã</w:t>
            </w:r>
          </w:p>
        </w:tc>
        <w:tc>
          <w:tcPr>
            <w:tcW w:type="dxa" w:w="2160"/>
            <w:shd w:fill="E6EEF8"/>
          </w:tcPr>
          <w:p>
            <w:pPr>
              <w:jc w:val="center"/>
            </w:pPr>
            <w:r>
              <w:rPr>
                <w:rFonts w:ascii="Times New Roman" w:hAnsi="Times New Roman"/>
                <w:b/>
                <w:sz w:val="21"/>
              </w:rPr>
              <w:t>Tên truy vấn phân tích</w:t>
            </w:r>
          </w:p>
        </w:tc>
        <w:tc>
          <w:tcPr>
            <w:tcW w:type="dxa" w:w="2160"/>
            <w:shd w:fill="E6EEF8"/>
          </w:tcPr>
          <w:p>
            <w:pPr>
              <w:jc w:val="center"/>
            </w:pPr>
            <w:r>
              <w:rPr>
                <w:rFonts w:ascii="Times New Roman" w:hAnsi="Times New Roman"/>
                <w:b/>
                <w:sz w:val="21"/>
              </w:rPr>
              <w:t>Kỹ thuật SQL / OLAP cốt lõi</w:t>
            </w:r>
          </w:p>
        </w:tc>
        <w:tc>
          <w:tcPr>
            <w:tcW w:type="dxa" w:w="2160"/>
            <w:shd w:fill="E6EEF8"/>
          </w:tcPr>
          <w:p>
            <w:pPr>
              <w:jc w:val="center"/>
            </w:pPr>
            <w:r>
              <w:rPr>
                <w:rFonts w:ascii="Times New Roman" w:hAnsi="Times New Roman"/>
                <w:b/>
                <w:sz w:val="21"/>
              </w:rPr>
              <w:t>Ý nghĩa nghiệp vụ &amp; Ra quyết định</w:t>
            </w:r>
          </w:p>
        </w:tc>
      </w:tr>
      <w:tr>
        <w:tc>
          <w:tcPr>
            <w:tcW w:type="dxa" w:w="2160"/>
          </w:tcPr>
          <w:p>
            <w:r>
              <w:rPr>
                <w:rFonts w:ascii="Times New Roman" w:hAnsi="Times New Roman"/>
                <w:sz w:val="21"/>
              </w:rPr>
              <w:t>Q01</w:t>
            </w:r>
          </w:p>
        </w:tc>
        <w:tc>
          <w:tcPr>
            <w:tcW w:type="dxa" w:w="2160"/>
          </w:tcPr>
          <w:p>
            <w:r>
              <w:rPr>
                <w:rFonts w:ascii="Times New Roman" w:hAnsi="Times New Roman"/>
                <w:sz w:val="21"/>
              </w:rPr>
              <w:t>Tổng hợp kim ngạch Năm × Đối tác × Luồng</w:t>
            </w:r>
          </w:p>
        </w:tc>
        <w:tc>
          <w:tcPr>
            <w:tcW w:type="dxa" w:w="2160"/>
          </w:tcPr>
          <w:p>
            <w:r>
              <w:rPr>
                <w:rFonts w:ascii="Times New Roman" w:hAnsi="Times New Roman"/>
                <w:sz w:val="21"/>
              </w:rPr>
              <w:t>ROLLUP + GROUPING()</w:t>
            </w:r>
          </w:p>
        </w:tc>
        <w:tc>
          <w:tcPr>
            <w:tcW w:type="dxa" w:w="2160"/>
          </w:tcPr>
          <w:p>
            <w:r>
              <w:rPr>
                <w:rFonts w:ascii="Times New Roman" w:hAnsi="Times New Roman"/>
                <w:sz w:val="21"/>
              </w:rPr>
              <w:t>Tự động tính subtotal theo đối tác, theo năm và grand total toàn bộ giai đoạn.</w:t>
            </w:r>
          </w:p>
        </w:tc>
      </w:tr>
      <w:tr>
        <w:tc>
          <w:tcPr>
            <w:tcW w:type="dxa" w:w="2160"/>
          </w:tcPr>
          <w:p>
            <w:r>
              <w:rPr>
                <w:rFonts w:ascii="Times New Roman" w:hAnsi="Times New Roman"/>
                <w:sz w:val="21"/>
              </w:rPr>
              <w:t>Q02</w:t>
            </w:r>
          </w:p>
        </w:tc>
        <w:tc>
          <w:tcPr>
            <w:tcW w:type="dxa" w:w="2160"/>
          </w:tcPr>
          <w:p>
            <w:r>
              <w:rPr>
                <w:rFonts w:ascii="Times New Roman" w:hAnsi="Times New Roman"/>
                <w:sz w:val="21"/>
              </w:rPr>
              <w:t>Ma trận đa chiều Khu vực × Nhóm hàng × Năm</w:t>
            </w:r>
          </w:p>
        </w:tc>
        <w:tc>
          <w:tcPr>
            <w:tcW w:type="dxa" w:w="2160"/>
          </w:tcPr>
          <w:p>
            <w:r>
              <w:rPr>
                <w:rFonts w:ascii="Times New Roman" w:hAnsi="Times New Roman"/>
                <w:sz w:val="21"/>
              </w:rPr>
              <w:t>CUBE + GROUPING_ID()</w:t>
            </w:r>
          </w:p>
        </w:tc>
        <w:tc>
          <w:tcPr>
            <w:tcW w:type="dxa" w:w="2160"/>
          </w:tcPr>
          <w:p>
            <w:r>
              <w:rPr>
                <w:rFonts w:ascii="Times New Roman" w:hAnsi="Times New Roman"/>
                <w:sz w:val="21"/>
              </w:rPr>
              <w:t>Tạo toàn bộ các tổ hợp đa chiều, cho phép quan sát kim ngạch từ mọi góc độ tổng hợp.</w:t>
            </w:r>
          </w:p>
        </w:tc>
      </w:tr>
      <w:tr>
        <w:tc>
          <w:tcPr>
            <w:tcW w:type="dxa" w:w="2160"/>
          </w:tcPr>
          <w:p>
            <w:r>
              <w:rPr>
                <w:rFonts w:ascii="Times New Roman" w:hAnsi="Times New Roman"/>
                <w:sz w:val="21"/>
              </w:rPr>
              <w:t>Q03</w:t>
            </w:r>
          </w:p>
        </w:tc>
        <w:tc>
          <w:tcPr>
            <w:tcW w:type="dxa" w:w="2160"/>
          </w:tcPr>
          <w:p>
            <w:r>
              <w:rPr>
                <w:rFonts w:ascii="Times New Roman" w:hAnsi="Times New Roman"/>
                <w:sz w:val="21"/>
              </w:rPr>
              <w:t>So sánh linh hoạt nhiều góc nhìn thương mại</w:t>
            </w:r>
          </w:p>
        </w:tc>
        <w:tc>
          <w:tcPr>
            <w:tcW w:type="dxa" w:w="2160"/>
          </w:tcPr>
          <w:p>
            <w:r>
              <w:rPr>
                <w:rFonts w:ascii="Times New Roman" w:hAnsi="Times New Roman"/>
                <w:sz w:val="21"/>
              </w:rPr>
              <w:t>GROUPING SETS</w:t>
            </w:r>
          </w:p>
        </w:tc>
        <w:tc>
          <w:tcPr>
            <w:tcW w:type="dxa" w:w="2160"/>
          </w:tcPr>
          <w:p>
            <w:r>
              <w:rPr>
                <w:rFonts w:ascii="Times New Roman" w:hAnsi="Times New Roman"/>
                <w:sz w:val="21"/>
              </w:rPr>
              <w:t>Tích hợp 4 báo cáo độc lập vào một câu truy vấn duy nhất (Đối tác, Nhóm hàng, Khu vực, Tổng).</w:t>
            </w:r>
          </w:p>
        </w:tc>
      </w:tr>
      <w:tr>
        <w:tc>
          <w:tcPr>
            <w:tcW w:type="dxa" w:w="2160"/>
          </w:tcPr>
          <w:p>
            <w:r>
              <w:rPr>
                <w:rFonts w:ascii="Times New Roman" w:hAnsi="Times New Roman"/>
                <w:sz w:val="21"/>
              </w:rPr>
              <w:t>Q04</w:t>
            </w:r>
          </w:p>
        </w:tc>
        <w:tc>
          <w:tcPr>
            <w:tcW w:type="dxa" w:w="2160"/>
          </w:tcPr>
          <w:p>
            <w:r>
              <w:rPr>
                <w:rFonts w:ascii="Times New Roman" w:hAnsi="Times New Roman"/>
                <w:sz w:val="21"/>
              </w:rPr>
              <w:t>Xếp hạng Top 5 đối tác xuất nhập khẩu</w:t>
            </w:r>
          </w:p>
        </w:tc>
        <w:tc>
          <w:tcPr>
            <w:tcW w:type="dxa" w:w="2160"/>
          </w:tcPr>
          <w:p>
            <w:r>
              <w:rPr>
                <w:rFonts w:ascii="Times New Roman" w:hAnsi="Times New Roman"/>
                <w:sz w:val="21"/>
              </w:rPr>
              <w:t>RANK() &amp; DENSE_RANK() OVER</w:t>
            </w:r>
          </w:p>
        </w:tc>
        <w:tc>
          <w:tcPr>
            <w:tcW w:type="dxa" w:w="2160"/>
          </w:tcPr>
          <w:p>
            <w:r>
              <w:rPr>
                <w:rFonts w:ascii="Times New Roman" w:hAnsi="Times New Roman"/>
                <w:sz w:val="21"/>
              </w:rPr>
              <w:t>Xác định đối tác đầu tàu và theo dõi sự thay đổi vị trí thứ hạng mỗi năm.</w:t>
            </w:r>
          </w:p>
        </w:tc>
      </w:tr>
      <w:tr>
        <w:tc>
          <w:tcPr>
            <w:tcW w:type="dxa" w:w="2160"/>
          </w:tcPr>
          <w:p>
            <w:r>
              <w:rPr>
                <w:rFonts w:ascii="Times New Roman" w:hAnsi="Times New Roman"/>
                <w:sz w:val="21"/>
              </w:rPr>
              <w:t>Q05</w:t>
            </w:r>
          </w:p>
        </w:tc>
        <w:tc>
          <w:tcPr>
            <w:tcW w:type="dxa" w:w="2160"/>
          </w:tcPr>
          <w:p>
            <w:r>
              <w:rPr>
                <w:rFonts w:ascii="Times New Roman" w:hAnsi="Times New Roman"/>
                <w:sz w:val="21"/>
              </w:rPr>
              <w:t>Tốc độ tăng trưởng liên niên (YoY Growth Rate)</w:t>
            </w:r>
          </w:p>
        </w:tc>
        <w:tc>
          <w:tcPr>
            <w:tcW w:type="dxa" w:w="2160"/>
          </w:tcPr>
          <w:p>
            <w:r>
              <w:rPr>
                <w:rFonts w:ascii="Times New Roman" w:hAnsi="Times New Roman"/>
                <w:sz w:val="21"/>
              </w:rPr>
              <w:t>LAG() OVER (PARTITION BY...)</w:t>
            </w:r>
          </w:p>
        </w:tc>
        <w:tc>
          <w:tcPr>
            <w:tcW w:type="dxa" w:w="2160"/>
          </w:tcPr>
          <w:p>
            <w:r>
              <w:rPr>
                <w:rFonts w:ascii="Times New Roman" w:hAnsi="Times New Roman"/>
                <w:sz w:val="21"/>
              </w:rPr>
              <w:t>Đo lường biến động kim ngạch năm sau so với năm trước (YoY %) theo từng thị trường.</w:t>
            </w:r>
          </w:p>
        </w:tc>
      </w:tr>
      <w:tr>
        <w:tc>
          <w:tcPr>
            <w:tcW w:type="dxa" w:w="2160"/>
          </w:tcPr>
          <w:p>
            <w:r>
              <w:rPr>
                <w:rFonts w:ascii="Times New Roman" w:hAnsi="Times New Roman"/>
                <w:sz w:val="21"/>
              </w:rPr>
              <w:t>Q06</w:t>
            </w:r>
          </w:p>
        </w:tc>
        <w:tc>
          <w:tcPr>
            <w:tcW w:type="dxa" w:w="2160"/>
          </w:tcPr>
          <w:p>
            <w:r>
              <w:rPr>
                <w:rFonts w:ascii="Times New Roman" w:hAnsi="Times New Roman"/>
                <w:sz w:val="21"/>
              </w:rPr>
              <w:t>Dự báo xu hướng kỳ tiếp theo</w:t>
            </w:r>
          </w:p>
        </w:tc>
        <w:tc>
          <w:tcPr>
            <w:tcW w:type="dxa" w:w="2160"/>
          </w:tcPr>
          <w:p>
            <w:r>
              <w:rPr>
                <w:rFonts w:ascii="Times New Roman" w:hAnsi="Times New Roman"/>
                <w:sz w:val="21"/>
              </w:rPr>
              <w:t>LEAD() OVER</w:t>
            </w:r>
          </w:p>
        </w:tc>
        <w:tc>
          <w:tcPr>
            <w:tcW w:type="dxa" w:w="2160"/>
          </w:tcPr>
          <w:p>
            <w:r>
              <w:rPr>
                <w:rFonts w:ascii="Times New Roman" w:hAnsi="Times New Roman"/>
                <w:sz w:val="21"/>
              </w:rPr>
              <w:t>So sánh giá trị hiện tại với kỳ kế tiếp để nhận diện bước nhảy kim ngạch phục vụ dự báo.</w:t>
            </w:r>
          </w:p>
        </w:tc>
      </w:tr>
      <w:tr>
        <w:tc>
          <w:tcPr>
            <w:tcW w:type="dxa" w:w="2160"/>
          </w:tcPr>
          <w:p>
            <w:r>
              <w:rPr>
                <w:rFonts w:ascii="Times New Roman" w:hAnsi="Times New Roman"/>
                <w:sz w:val="21"/>
              </w:rPr>
              <w:t>Q07</w:t>
            </w:r>
          </w:p>
        </w:tc>
        <w:tc>
          <w:tcPr>
            <w:tcW w:type="dxa" w:w="2160"/>
          </w:tcPr>
          <w:p>
            <w:r>
              <w:rPr>
                <w:rFonts w:ascii="Times New Roman" w:hAnsi="Times New Roman"/>
                <w:sz w:val="21"/>
              </w:rPr>
              <w:t>Phân vị đối tác &amp; Tỷ trọng tích lũy (Pareto)</w:t>
            </w:r>
          </w:p>
        </w:tc>
        <w:tc>
          <w:tcPr>
            <w:tcW w:type="dxa" w:w="2160"/>
          </w:tcPr>
          <w:p>
            <w:r>
              <w:rPr>
                <w:rFonts w:ascii="Times New Roman" w:hAnsi="Times New Roman"/>
                <w:sz w:val="21"/>
              </w:rPr>
              <w:t>NTILE(4) + PERCENT_RANK()</w:t>
            </w:r>
          </w:p>
        </w:tc>
        <w:tc>
          <w:tcPr>
            <w:tcW w:type="dxa" w:w="2160"/>
          </w:tcPr>
          <w:p>
            <w:r>
              <w:rPr>
                <w:rFonts w:ascii="Times New Roman" w:hAnsi="Times New Roman"/>
                <w:sz w:val="21"/>
              </w:rPr>
              <w:t>Phân 4 nhóm đối tác (Tứ phân vị) và tính tỷ trọng tích lũy xác định nhóm thị trường 80/20.</w:t>
            </w:r>
          </w:p>
        </w:tc>
      </w:tr>
      <w:tr>
        <w:tc>
          <w:tcPr>
            <w:tcW w:type="dxa" w:w="2160"/>
          </w:tcPr>
          <w:p>
            <w:r>
              <w:rPr>
                <w:rFonts w:ascii="Times New Roman" w:hAnsi="Times New Roman"/>
                <w:sz w:val="21"/>
              </w:rPr>
              <w:t>Q08</w:t>
            </w:r>
          </w:p>
        </w:tc>
        <w:tc>
          <w:tcPr>
            <w:tcW w:type="dxa" w:w="2160"/>
          </w:tcPr>
          <w:p>
            <w:r>
              <w:rPr>
                <w:rFonts w:ascii="Times New Roman" w:hAnsi="Times New Roman"/>
                <w:sz w:val="21"/>
              </w:rPr>
              <w:t>Chỉ số tập trung thị trường HHI &amp; CR-4</w:t>
            </w:r>
          </w:p>
        </w:tc>
        <w:tc>
          <w:tcPr>
            <w:tcW w:type="dxa" w:w="2160"/>
          </w:tcPr>
          <w:p>
            <w:r>
              <w:rPr>
                <w:rFonts w:ascii="Times New Roman" w:hAnsi="Times New Roman"/>
                <w:sz w:val="21"/>
              </w:rPr>
              <w:t>Window SUM() + POWER()</w:t>
            </w:r>
          </w:p>
        </w:tc>
        <w:tc>
          <w:tcPr>
            <w:tcW w:type="dxa" w:w="2160"/>
          </w:tcPr>
          <w:p>
            <w:r>
              <w:rPr>
                <w:rFonts w:ascii="Times New Roman" w:hAnsi="Times New Roman"/>
                <w:sz w:val="21"/>
              </w:rPr>
              <w:t>Đo lường mức độ rủi ro phụ thuộc thị trường của Việt Nam (HHI &lt; 1500: phân tán; &gt; 2500: tập trung).</w:t>
            </w:r>
          </w:p>
        </w:tc>
      </w:tr>
      <w:tr>
        <w:tc>
          <w:tcPr>
            <w:tcW w:type="dxa" w:w="2160"/>
          </w:tcPr>
          <w:p>
            <w:r>
              <w:rPr>
                <w:rFonts w:ascii="Times New Roman" w:hAnsi="Times New Roman"/>
                <w:sz w:val="21"/>
              </w:rPr>
              <w:t>Q09</w:t>
            </w:r>
          </w:p>
        </w:tc>
        <w:tc>
          <w:tcPr>
            <w:tcW w:type="dxa" w:w="2160"/>
          </w:tcPr>
          <w:p>
            <w:r>
              <w:rPr>
                <w:rFonts w:ascii="Times New Roman" w:hAnsi="Times New Roman"/>
                <w:sz w:val="21"/>
              </w:rPr>
              <w:t>Phân tích tính chu kỳ và mùa vụ (Seasonality)</w:t>
            </w:r>
          </w:p>
        </w:tc>
        <w:tc>
          <w:tcPr>
            <w:tcW w:type="dxa" w:w="2160"/>
          </w:tcPr>
          <w:p>
            <w:r>
              <w:rPr>
                <w:rFonts w:ascii="Times New Roman" w:hAnsi="Times New Roman"/>
                <w:sz w:val="21"/>
              </w:rPr>
              <w:t>AVG() OVER (PARTITION BY...)</w:t>
            </w:r>
          </w:p>
        </w:tc>
        <w:tc>
          <w:tcPr>
            <w:tcW w:type="dxa" w:w="2160"/>
          </w:tcPr>
          <w:p>
            <w:r>
              <w:rPr>
                <w:rFonts w:ascii="Times New Roman" w:hAnsi="Times New Roman"/>
                <w:sz w:val="21"/>
              </w:rPr>
              <w:t>Xác định tháng cao điểm/thấp điểm XNK trong năm, tính hệ số Seasonal Index cho logistics.</w:t>
            </w:r>
          </w:p>
        </w:tc>
      </w:tr>
      <w:tr>
        <w:tc>
          <w:tcPr>
            <w:tcW w:type="dxa" w:w="2160"/>
          </w:tcPr>
          <w:p>
            <w:r>
              <w:rPr>
                <w:rFonts w:ascii="Times New Roman" w:hAnsi="Times New Roman"/>
                <w:sz w:val="21"/>
              </w:rPr>
              <w:t>Q10</w:t>
            </w:r>
          </w:p>
        </w:tc>
        <w:tc>
          <w:tcPr>
            <w:tcW w:type="dxa" w:w="2160"/>
          </w:tcPr>
          <w:p>
            <w:r>
              <w:rPr>
                <w:rFonts w:ascii="Times New Roman" w:hAnsi="Times New Roman"/>
                <w:sz w:val="21"/>
              </w:rPr>
              <w:t>Làm mượt xu hướng bằng Moving Average 3 năm</w:t>
            </w:r>
          </w:p>
        </w:tc>
        <w:tc>
          <w:tcPr>
            <w:tcW w:type="dxa" w:w="2160"/>
          </w:tcPr>
          <w:p>
            <w:r>
              <w:rPr>
                <w:rFonts w:ascii="Times New Roman" w:hAnsi="Times New Roman"/>
                <w:sz w:val="21"/>
              </w:rPr>
              <w:t>AVG() OVER (ROWS BETWEEN 1... 1...)</w:t>
            </w:r>
          </w:p>
        </w:tc>
        <w:tc>
          <w:tcPr>
            <w:tcW w:type="dxa" w:w="2160"/>
          </w:tcPr>
          <w:p>
            <w:r>
              <w:rPr>
                <w:rFonts w:ascii="Times New Roman" w:hAnsi="Times New Roman"/>
                <w:sz w:val="21"/>
              </w:rPr>
              <w:t>Loại bỏ các nhiễu động bất thường ngắn hạn để nhận diện đường xu thế tăng trưởng dài hạn.</w:t>
            </w:r>
          </w:p>
        </w:tc>
      </w:tr>
      <w:tr>
        <w:tc>
          <w:tcPr>
            <w:tcW w:type="dxa" w:w="2160"/>
          </w:tcPr>
          <w:p>
            <w:r>
              <w:rPr>
                <w:rFonts w:ascii="Times New Roman" w:hAnsi="Times New Roman"/>
                <w:sz w:val="21"/>
              </w:rPr>
              <w:t>Q11</w:t>
            </w:r>
          </w:p>
        </w:tc>
        <w:tc>
          <w:tcPr>
            <w:tcW w:type="dxa" w:w="2160"/>
          </w:tcPr>
          <w:p>
            <w:r>
              <w:rPr>
                <w:rFonts w:ascii="Times New Roman" w:hAnsi="Times New Roman"/>
                <w:sz w:val="21"/>
              </w:rPr>
              <w:t>Phân tích cán cân thương mại &amp; xu hướng</w:t>
            </w:r>
          </w:p>
        </w:tc>
        <w:tc>
          <w:tcPr>
            <w:tcW w:type="dxa" w:w="2160"/>
          </w:tcPr>
          <w:p>
            <w:r>
              <w:rPr>
                <w:rFonts w:ascii="Times New Roman" w:hAnsi="Times New Roman"/>
                <w:sz w:val="21"/>
              </w:rPr>
              <w:t>PIVOT logic + LAG()</w:t>
            </w:r>
          </w:p>
        </w:tc>
        <w:tc>
          <w:tcPr>
            <w:tcW w:type="dxa" w:w="2160"/>
          </w:tcPr>
          <w:p>
            <w:r>
              <w:rPr>
                <w:rFonts w:ascii="Times New Roman" w:hAnsi="Times New Roman"/>
                <w:sz w:val="21"/>
              </w:rPr>
              <w:t>Xác định trạng thái thặng dư/thâm hụt theo đối tác và xu hướng cải thiện so với năm trước.</w:t>
            </w:r>
          </w:p>
        </w:tc>
      </w:tr>
      <w:tr>
        <w:tc>
          <w:tcPr>
            <w:tcW w:type="dxa" w:w="2160"/>
          </w:tcPr>
          <w:p>
            <w:r>
              <w:rPr>
                <w:rFonts w:ascii="Times New Roman" w:hAnsi="Times New Roman"/>
                <w:sz w:val="21"/>
              </w:rPr>
              <w:t>Q12</w:t>
            </w:r>
          </w:p>
        </w:tc>
        <w:tc>
          <w:tcPr>
            <w:tcW w:type="dxa" w:w="2160"/>
          </w:tcPr>
          <w:p>
            <w:r>
              <w:rPr>
                <w:rFonts w:ascii="Times New Roman" w:hAnsi="Times New Roman"/>
                <w:sz w:val="21"/>
              </w:rPr>
              <w:t>Thị phần nhóm hàng &amp; biến động thứ hạng</w:t>
            </w:r>
          </w:p>
        </w:tc>
        <w:tc>
          <w:tcPr>
            <w:tcW w:type="dxa" w:w="2160"/>
          </w:tcPr>
          <w:p>
            <w:r>
              <w:rPr>
                <w:rFonts w:ascii="Times New Roman" w:hAnsi="Times New Roman"/>
                <w:sz w:val="21"/>
              </w:rPr>
              <w:t>RANK() + LAG()</w:t>
            </w:r>
          </w:p>
        </w:tc>
        <w:tc>
          <w:tcPr>
            <w:tcW w:type="dxa" w:w="2160"/>
          </w:tcPr>
          <w:p>
            <w:r>
              <w:rPr>
                <w:rFonts w:ascii="Times New Roman" w:hAnsi="Times New Roman"/>
                <w:sz w:val="21"/>
              </w:rPr>
              <w:t>Theo dõi sự dịch chuyển cơ cấu hàng hóa xuất khẩu (nhóm nào vươn lên, nhóm nào tụt hạng).</w:t>
            </w:r>
          </w:p>
        </w:tc>
      </w:tr>
      <w:tr>
        <w:tc>
          <w:tcPr>
            <w:tcW w:type="dxa" w:w="2160"/>
          </w:tcPr>
          <w:p>
            <w:r>
              <w:rPr>
                <w:rFonts w:ascii="Times New Roman" w:hAnsi="Times New Roman"/>
                <w:sz w:val="21"/>
              </w:rPr>
              <w:t>Q13</w:t>
            </w:r>
          </w:p>
        </w:tc>
        <w:tc>
          <w:tcPr>
            <w:tcW w:type="dxa" w:w="2160"/>
          </w:tcPr>
          <w:p>
            <w:r>
              <w:rPr>
                <w:rFonts w:ascii="Times New Roman" w:hAnsi="Times New Roman"/>
                <w:sz w:val="21"/>
              </w:rPr>
              <w:t>Tác động chính sách thuế quan MFN vs PREF</w:t>
            </w:r>
          </w:p>
        </w:tc>
        <w:tc>
          <w:tcPr>
            <w:tcW w:type="dxa" w:w="2160"/>
          </w:tcPr>
          <w:p>
            <w:r>
              <w:rPr>
                <w:rFonts w:ascii="Times New Roman" w:hAnsi="Times New Roman"/>
                <w:sz w:val="21"/>
              </w:rPr>
              <w:t>GROUPING SETS + Weighted Avg</w:t>
            </w:r>
          </w:p>
        </w:tc>
        <w:tc>
          <w:tcPr>
            <w:tcW w:type="dxa" w:w="2160"/>
          </w:tcPr>
          <w:p>
            <w:r>
              <w:rPr>
                <w:rFonts w:ascii="Times New Roman" w:hAnsi="Times New Roman"/>
                <w:sz w:val="21"/>
              </w:rPr>
              <w:t>Tính lợi ích thuế quan ưu đãi FTA theo bình quân gia quyền số dòng thuế (chuẩn R2).</w:t>
            </w:r>
          </w:p>
        </w:tc>
      </w:tr>
      <w:tr>
        <w:tc>
          <w:tcPr>
            <w:tcW w:type="dxa" w:w="2160"/>
          </w:tcPr>
          <w:p>
            <w:r>
              <w:rPr>
                <w:rFonts w:ascii="Times New Roman" w:hAnsi="Times New Roman"/>
                <w:sz w:val="21"/>
              </w:rPr>
              <w:t>Q14</w:t>
            </w:r>
          </w:p>
        </w:tc>
        <w:tc>
          <w:tcPr>
            <w:tcW w:type="dxa" w:w="2160"/>
          </w:tcPr>
          <w:p>
            <w:r>
              <w:rPr>
                <w:rFonts w:ascii="Times New Roman" w:hAnsi="Times New Roman"/>
                <w:sz w:val="21"/>
              </w:rPr>
              <w:t>Tương quan XNK với chỉ số vĩ mô (GDP, Tỷ giá)</w:t>
            </w:r>
          </w:p>
        </w:tc>
        <w:tc>
          <w:tcPr>
            <w:tcW w:type="dxa" w:w="2160"/>
          </w:tcPr>
          <w:p>
            <w:r>
              <w:rPr>
                <w:rFonts w:ascii="Times New Roman" w:hAnsi="Times New Roman"/>
                <w:sz w:val="21"/>
              </w:rPr>
              <w:t>JOIN chéo Fact + LAG()</w:t>
            </w:r>
          </w:p>
        </w:tc>
        <w:tc>
          <w:tcPr>
            <w:tcW w:type="dxa" w:w="2160"/>
          </w:tcPr>
          <w:p>
            <w:r>
              <w:rPr>
                <w:rFonts w:ascii="Times New Roman" w:hAnsi="Times New Roman"/>
                <w:sz w:val="21"/>
              </w:rPr>
              <w:t>Khám phá mối liên hệ giữa tăng trưởng thương mại với biến động GDP và tỷ giá VND/USD.</w:t>
            </w:r>
          </w:p>
        </w:tc>
      </w:tr>
      <w:tr>
        <w:tc>
          <w:tcPr>
            <w:tcW w:type="dxa" w:w="2160"/>
          </w:tcPr>
          <w:p>
            <w:r>
              <w:rPr>
                <w:rFonts w:ascii="Times New Roman" w:hAnsi="Times New Roman"/>
                <w:sz w:val="21"/>
              </w:rPr>
              <w:t>Q15</w:t>
            </w:r>
          </w:p>
        </w:tc>
        <w:tc>
          <w:tcPr>
            <w:tcW w:type="dxa" w:w="2160"/>
          </w:tcPr>
          <w:p>
            <w:r>
              <w:rPr>
                <w:rFonts w:ascii="Times New Roman" w:hAnsi="Times New Roman"/>
                <w:sz w:val="21"/>
              </w:rPr>
              <w:t>Top 3 mặt hàng HS6 chi tiết trong mỗi nhóm</w:t>
            </w:r>
          </w:p>
        </w:tc>
        <w:tc>
          <w:tcPr>
            <w:tcW w:type="dxa" w:w="2160"/>
          </w:tcPr>
          <w:p>
            <w:r>
              <w:rPr>
                <w:rFonts w:ascii="Times New Roman" w:hAnsi="Times New Roman"/>
                <w:sz w:val="21"/>
              </w:rPr>
              <w:t>ROW_NUMBER() OVER (PARTITION)</w:t>
            </w:r>
          </w:p>
        </w:tc>
        <w:tc>
          <w:tcPr>
            <w:tcW w:type="dxa" w:w="2160"/>
          </w:tcPr>
          <w:p>
            <w:r>
              <w:rPr>
                <w:rFonts w:ascii="Times New Roman" w:hAnsi="Times New Roman"/>
                <w:sz w:val="21"/>
              </w:rPr>
              <w:t>Hỗ trợ tính năng Drill-down từ nhóm ngành tổng quát xuống các mặt hàng mũi nhọn.</w:t>
            </w:r>
          </w:p>
        </w:tc>
      </w:tr>
      <w:tr>
        <w:tc>
          <w:tcPr>
            <w:tcW w:type="dxa" w:w="2160"/>
          </w:tcPr>
          <w:p>
            <w:r>
              <w:rPr>
                <w:rFonts w:ascii="Times New Roman" w:hAnsi="Times New Roman"/>
                <w:sz w:val="21"/>
              </w:rPr>
              <w:t>Q16</w:t>
            </w:r>
          </w:p>
        </w:tc>
        <w:tc>
          <w:tcPr>
            <w:tcW w:type="dxa" w:w="2160"/>
          </w:tcPr>
          <w:p>
            <w:r>
              <w:rPr>
                <w:rFonts w:ascii="Times New Roman" w:hAnsi="Times New Roman"/>
                <w:sz w:val="21"/>
              </w:rPr>
              <w:t>So sánh khối đối tác FTA vs Non-FTA</w:t>
            </w:r>
          </w:p>
        </w:tc>
        <w:tc>
          <w:tcPr>
            <w:tcW w:type="dxa" w:w="2160"/>
          </w:tcPr>
          <w:p>
            <w:r>
              <w:rPr>
                <w:rFonts w:ascii="Times New Roman" w:hAnsi="Times New Roman"/>
                <w:sz w:val="21"/>
              </w:rPr>
              <w:t>ROLLUP + CASE WHEN</w:t>
            </w:r>
          </w:p>
        </w:tc>
        <w:tc>
          <w:tcPr>
            <w:tcW w:type="dxa" w:w="2160"/>
          </w:tcPr>
          <w:p>
            <w:r>
              <w:rPr>
                <w:rFonts w:ascii="Times New Roman" w:hAnsi="Times New Roman"/>
                <w:sz w:val="21"/>
              </w:rPr>
              <w:t>Đánh giá định lượng tác động của các hiệp định thương mại tự do tới quy mô kim ngạch.</w:t>
            </w:r>
          </w:p>
        </w:tc>
      </w:tr>
      <w:tr>
        <w:tc>
          <w:tcPr>
            <w:tcW w:type="dxa" w:w="2160"/>
          </w:tcPr>
          <w:p>
            <w:r>
              <w:rPr>
                <w:rFonts w:ascii="Times New Roman" w:hAnsi="Times New Roman"/>
                <w:sz w:val="21"/>
              </w:rPr>
              <w:t>Q17</w:t>
            </w:r>
          </w:p>
        </w:tc>
        <w:tc>
          <w:tcPr>
            <w:tcW w:type="dxa" w:w="2160"/>
          </w:tcPr>
          <w:p>
            <w:r>
              <w:rPr>
                <w:rFonts w:ascii="Times New Roman" w:hAnsi="Times New Roman"/>
                <w:sz w:val="21"/>
              </w:rPr>
              <w:t>Ma trận độ tin cậy đối chiếu Region × Year</w:t>
            </w:r>
          </w:p>
        </w:tc>
        <w:tc>
          <w:tcPr>
            <w:tcW w:type="dxa" w:w="2160"/>
          </w:tcPr>
          <w:p>
            <w:r>
              <w:rPr>
                <w:rFonts w:ascii="Times New Roman" w:hAnsi="Times New Roman"/>
                <w:sz w:val="21"/>
              </w:rPr>
              <w:t>CUBE + Conditional Aggregation</w:t>
            </w:r>
          </w:p>
        </w:tc>
        <w:tc>
          <w:tcPr>
            <w:tcW w:type="dxa" w:w="2160"/>
          </w:tcPr>
          <w:p>
            <w:r>
              <w:rPr>
                <w:rFonts w:ascii="Times New Roman" w:hAnsi="Times New Roman"/>
                <w:sz w:val="21"/>
              </w:rPr>
              <w:t>Đo lường tỷ lệ dữ liệu có độ tin cậy cao (LOW discrepancy) theo từng vùng lãnh thổ.</w:t>
            </w:r>
          </w:p>
        </w:tc>
      </w:tr>
    </w:tbl>
    <w:p>
      <w:pPr>
        <w:spacing w:before="120"/>
      </w:pPr>
    </w:p>
    <w:p>
      <w:pPr>
        <w:pStyle w:val="Heading2"/>
      </w:pPr>
      <w:r>
        <w:t>2.1. Kỹ thuật tổng hợp đa chiều: ROLLUP, CUBE và GROUPING SETS</w:t>
      </w:r>
    </w:p>
    <w:p>
      <w:r>
        <w:tab/>
        <w:t xml:space="preserve">Trong các hệ thống phân tích truyền thống, người dùng phải viết nhiều câu lệnh </w:t>
      </w:r>
      <w:r>
        <w:rPr>
          <w:b/>
        </w:rPr>
        <w:t>GROUP BY</w:t>
      </w:r>
      <w:r>
        <w:t xml:space="preserve"> riêng biệt và dùng </w:t>
      </w:r>
      <w:r>
        <w:rPr>
          <w:b/>
        </w:rPr>
        <w:t>UNION ALL</w:t>
      </w:r>
      <w:r>
        <w:t xml:space="preserve"> để gộp kết quả subtotal, gây quét bảng (Table Scan) nhiều lần. Trong script </w:t>
      </w:r>
      <w:r>
        <w:rPr>
          <w:b/>
        </w:rPr>
        <w:t>06_olap_queries.sql</w:t>
      </w:r>
      <w:r>
        <w:t>, nhóm tối ưu hóa bằng các toán tử đa chiều của SQL Server:</w:t>
      </w:r>
    </w:p>
    <w:p>
      <w:pPr>
        <w:spacing w:before="80" w:after="120"/>
        <w:ind w:left="432"/>
        <w:shd w:fill="F4F6F9"/>
      </w:pPr>
      <w:r>
        <w:rPr>
          <w:rFonts w:ascii="Consolas" w:hAnsi="Consolas"/>
          <w:color w:val="003366"/>
          <w:sz w:val="18"/>
        </w:rPr>
        <w:t>-- Ví dụ Query 01: ROLLUP tự động sinh phân cấp tổng hợp</w:t>
        <w:br/>
        <w:t>SELECT</w:t>
        <w:br/>
        <w:t xml:space="preserve">    dd.calendar_year, dp.partner_name, df.name_vi AS flow_name,</w:t>
        <w:br/>
        <w:t xml:space="preserve">    SUM(f.primary_value_usd) AS total_value_usd,</w:t>
        <w:br/>
        <w:t xml:space="preserve">    GROUPING(dd.calendar_year) AS is_all_years,</w:t>
        <w:br/>
        <w:t xml:space="preserve">    GROUPING(dp.partner_name)  AS is_all_partners</w:t>
        <w:br/>
        <w:t>FROM dbo.FACT_TRADE f</w:t>
        <w:br/>
        <w:t>JOIN dbo.DIM_DATE dd    ON dd.date_key    = f.date_key</w:t>
        <w:br/>
        <w:t>JOIN dbo.DIM_PARTNER dp ON dp.partner_key = f.partner_key</w:t>
        <w:br/>
        <w:t>JOIN dbo.DIM_FLOW df    ON df.flow_key    = f.flow_key</w:t>
        <w:br/>
        <w:t>WHERE f.perspective_key = 1 AND dp.is_aggregate = 0</w:t>
        <w:br/>
        <w:t>GROUP BY ROLLUP (dd.calendar_year, dp.partner_name, df.name_vi);</w:t>
      </w:r>
    </w:p>
    <w:p>
      <w:r>
        <w:t xml:space="preserve">Toán tử </w:t>
      </w:r>
      <w:r>
        <w:rPr>
          <w:b/>
        </w:rPr>
        <w:t>GROUPING()</w:t>
      </w:r>
      <w:r>
        <w:t xml:space="preserve"> và </w:t>
      </w:r>
      <w:r>
        <w:rPr>
          <w:b/>
        </w:rPr>
        <w:t>GROUPING_ID()</w:t>
      </w:r>
      <w:r>
        <w:t xml:space="preserve"> được sử dụng để phân biệt chính xác đâu là dòng dữ liệu chi tiết và đâu là dòng tổng con (subtotal) do hệ thống tự sinh, giúp tầng ứng dụng báo cáo dễ dàng lọc hiển thị.</w:t>
      </w:r>
    </w:p>
    <w:p>
      <w:pPr>
        <w:pStyle w:val="Heading2"/>
      </w:pPr>
      <w:r>
        <w:t>2.2. Phân tích chuỗi thời gian &amp; cấu trúc thị trường bằng Window Functions</w:t>
      </w:r>
    </w:p>
    <w:p>
      <w:r>
        <w:tab/>
        <w:t>Hệ thống các hàm cửa sổ (Window Functions) cho phép thực hiện các phép tính nâng cao trên tập dữ liệu mà không làm sụp đổ các dòng dữ liệu chi tiết:</w:t>
      </w:r>
    </w:p>
    <w:p>
      <w:pPr>
        <w:pStyle w:val="ListParagraph"/>
      </w:pPr>
      <w:r>
        <w:t>Tốc độ tăng trưởng liên niên (YoY) với LAG(): Cho phép lấy kim ngạch của chính đối tác đó ở năm liền trước (N-1) để tính công thức (Giá trị kỳ này - Giá trị kỳ trước) / Giá trị kỳ trước * 100%.</w:t>
      </w:r>
    </w:p>
    <w:p>
      <w:pPr>
        <w:pStyle w:val="ListParagraph"/>
      </w:pPr>
      <w:r>
        <w:t>Làm mượt biến động bằng Moving Average 3 năm: Dùng cú pháp ROWS BETWEEN 1 PRECEDING AND 1 FOLLOWING, hệ thống tính trung bình cộng của năm trước, năm hiện tại và năm sau, loại trừ các đột biến cung cầu ngắn hạn.</w:t>
      </w:r>
    </w:p>
    <w:p>
      <w:pPr>
        <w:pStyle w:val="ListParagraph"/>
      </w:pPr>
      <w:r>
        <w:t>Chỉ số HHI &amp; CR-4: Bằng cách kết hợp SUM() OVER (PARTITION BY...) để tính tổng thị trường và hàm lũy thừa POWER(market_share, 2), hệ thống tính toán tức thì chỉ số cô đặc thị trường qua từng năm.</w:t>
      </w:r>
    </w:p>
    <w:p>
      <w:pPr>
        <w:spacing w:before="80" w:after="120"/>
        <w:ind w:left="432"/>
        <w:shd w:fill="F4F6F9"/>
      </w:pPr>
      <w:r>
        <w:rPr>
          <w:rFonts w:ascii="Consolas" w:hAnsi="Consolas"/>
          <w:color w:val="003366"/>
          <w:sz w:val="18"/>
        </w:rPr>
        <w:t>-- Đoạn code Query 08: Tính HHI và CR-4 tự động qua Window Functions</w:t>
        <w:br/>
        <w:t>WITH shares AS (</w:t>
        <w:br/>
        <w:t xml:space="preserve">    SELECT calendar_year, partner_name, flow_name, partner_value,</w:t>
        <w:br/>
        <w:t xml:space="preserve">        100.0 * partner_value / NULLIF(year_total, 0) AS market_share_pct,</w:t>
        <w:br/>
        <w:t xml:space="preserve">        RANK() OVER (PARTITION BY calendar_year, flow_name ORDER BY partner_value DESC) AS rk</w:t>
        <w:br/>
        <w:t xml:space="preserve">    FROM yearly_partner</w:t>
        <w:br/>
        <w:t>)</w:t>
        <w:br/>
        <w:t>SELECT calendar_year, flow_name,</w:t>
        <w:br/>
        <w:t xml:space="preserve">    ROUND(SUM(POWER(market_share_pct, 2)), 0) AS hhi_index,</w:t>
        <w:br/>
        <w:t xml:space="preserve">    ROUND(SUM(CASE WHEN rk &lt;= 4 THEN market_share_pct ELSE 0 END), 2) AS cr4_pct</w:t>
        <w:br/>
        <w:t>FROM shares GROUP BY calendar_year, flow_name;</w:t>
      </w:r>
    </w:p>
    <w:p>
      <w:pPr>
        <w:pStyle w:val="Heading1"/>
      </w:pPr>
      <w:r>
        <w:t>3. Vật chất hóa các Data Mart (Materialized Tables) cho Tầng Trực quan hóa</w:t>
      </w:r>
    </w:p>
    <w:p>
      <w:r>
        <w:tab/>
        <w:t xml:space="preserve">Trong thiết kế Kho dữ liệu của Kimball, việc truy vấn trực tiếp từ các bảng Fact kích thước hàng chục ngàn dòng kèm theo 5–7 phép JOIN sang Dimension khi tải Dashboard sẽ gây độ trễ lớn và tiêu hao tài nguyên. Nhóm đã áp dụng kỹ thuật </w:t>
      </w:r>
      <w:r>
        <w:rPr>
          <w:b/>
        </w:rPr>
        <w:t>Materialized Data Mart</w:t>
      </w:r>
      <w:r>
        <w:t xml:space="preserve"> — tạo sẵn 3 bảng vật lý đã được làm phẳng (denormalized) và đánh chỉ mục tối ưu: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6EEF8"/>
          </w:tcPr>
          <w:p>
            <w:pPr>
              <w:jc w:val="center"/>
            </w:pPr>
            <w:r>
              <w:rPr>
                <w:rFonts w:ascii="Times New Roman" w:hAnsi="Times New Roman"/>
                <w:b/>
                <w:sz w:val="21"/>
              </w:rPr>
              <w:t>Tên Data Mart</w:t>
            </w:r>
          </w:p>
        </w:tc>
        <w:tc>
          <w:tcPr>
            <w:tcW w:type="dxa" w:w="1728"/>
            <w:shd w:fill="E6EEF8"/>
          </w:tcPr>
          <w:p>
            <w:pPr>
              <w:jc w:val="center"/>
            </w:pPr>
            <w:r>
              <w:rPr>
                <w:rFonts w:ascii="Times New Roman" w:hAnsi="Times New Roman"/>
                <w:b/>
                <w:sz w:val="21"/>
              </w:rPr>
              <w:t>Số bản ghi</w:t>
            </w:r>
          </w:p>
        </w:tc>
        <w:tc>
          <w:tcPr>
            <w:tcW w:type="dxa" w:w="1728"/>
            <w:shd w:fill="E6EEF8"/>
          </w:tcPr>
          <w:p>
            <w:pPr>
              <w:jc w:val="center"/>
            </w:pPr>
            <w:r>
              <w:rPr>
                <w:rFonts w:ascii="Times New Roman" w:hAnsi="Times New Roman"/>
                <w:b/>
                <w:sz w:val="21"/>
              </w:rPr>
              <w:t>Kỹ thuật chỉ mục (Indexes)</w:t>
            </w:r>
          </w:p>
        </w:tc>
        <w:tc>
          <w:tcPr>
            <w:tcW w:type="dxa" w:w="1728"/>
            <w:shd w:fill="E6EEF8"/>
          </w:tcPr>
          <w:p>
            <w:pPr>
              <w:jc w:val="center"/>
            </w:pPr>
            <w:r>
              <w:rPr>
                <w:rFonts w:ascii="Times New Roman" w:hAnsi="Times New Roman"/>
                <w:b/>
                <w:sz w:val="21"/>
              </w:rPr>
              <w:t>Cột khóa chính / Grain</w:t>
            </w:r>
          </w:p>
        </w:tc>
        <w:tc>
          <w:tcPr>
            <w:tcW w:type="dxa" w:w="1728"/>
            <w:shd w:fill="E6EEF8"/>
          </w:tcPr>
          <w:p>
            <w:pPr>
              <w:jc w:val="center"/>
            </w:pPr>
            <w:r>
              <w:rPr>
                <w:rFonts w:ascii="Times New Roman" w:hAnsi="Times New Roman"/>
                <w:b/>
                <w:sz w:val="21"/>
              </w:rPr>
              <w:t>Mục tiêu phục vụ Dashboard</w:t>
            </w:r>
          </w:p>
        </w:tc>
      </w:tr>
      <w:tr>
        <w:tc>
          <w:tcPr>
            <w:tcW w:type="dxa" w:w="1728"/>
          </w:tcPr>
          <w:p>
            <w:r>
              <w:rPr>
                <w:rFonts w:ascii="Times New Roman" w:hAnsi="Times New Roman"/>
                <w:sz w:val="21"/>
              </w:rPr>
              <w:t>MART_TRADE_SUMMARY</w:t>
            </w:r>
          </w:p>
        </w:tc>
        <w:tc>
          <w:tcPr>
            <w:tcW w:type="dxa" w:w="1728"/>
          </w:tcPr>
          <w:p>
            <w:r>
              <w:rPr>
                <w:rFonts w:ascii="Times New Roman" w:hAnsi="Times New Roman"/>
                <w:sz w:val="21"/>
              </w:rPr>
              <w:t>24.917 dòng</w:t>
            </w:r>
          </w:p>
        </w:tc>
        <w:tc>
          <w:tcPr>
            <w:tcW w:type="dxa" w:w="1728"/>
          </w:tcPr>
          <w:p>
            <w:r>
              <w:rPr>
                <w:rFonts w:ascii="Times New Roman" w:hAnsi="Times New Roman"/>
                <w:sz w:val="21"/>
              </w:rPr>
              <w:t>CIX_MART_SUMMARY + 3 Nonclustered</w:t>
            </w:r>
          </w:p>
        </w:tc>
        <w:tc>
          <w:tcPr>
            <w:tcW w:type="dxa" w:w="1728"/>
          </w:tcPr>
          <w:p>
            <w:r>
              <w:rPr>
                <w:rFonts w:ascii="Times New Roman" w:hAnsi="Times New Roman"/>
                <w:sz w:val="21"/>
              </w:rPr>
              <w:t>(calendar_year, partner_key, commodity_key, flow_key)</w:t>
            </w:r>
          </w:p>
        </w:tc>
        <w:tc>
          <w:tcPr>
            <w:tcW w:type="dxa" w:w="1728"/>
          </w:tcPr>
          <w:p>
            <w:r>
              <w:rPr>
                <w:rFonts w:ascii="Times New Roman" w:hAnsi="Times New Roman"/>
                <w:sz w:val="21"/>
              </w:rPr>
              <w:t>Nguồn dữ liệu chính cho Dashboard 1 &amp; 2: Slicer theo đối tác, mặt hàng, vùng, hiệp định.</w:t>
            </w:r>
          </w:p>
        </w:tc>
      </w:tr>
      <w:tr>
        <w:tc>
          <w:tcPr>
            <w:tcW w:type="dxa" w:w="1728"/>
          </w:tcPr>
          <w:p>
            <w:r>
              <w:rPr>
                <w:rFonts w:ascii="Times New Roman" w:hAnsi="Times New Roman"/>
                <w:sz w:val="21"/>
              </w:rPr>
              <w:t>MART_TRADE_BALANCE</w:t>
            </w:r>
          </w:p>
        </w:tc>
        <w:tc>
          <w:tcPr>
            <w:tcW w:type="dxa" w:w="1728"/>
          </w:tcPr>
          <w:p>
            <w:r>
              <w:rPr>
                <w:rFonts w:ascii="Times New Roman" w:hAnsi="Times New Roman"/>
                <w:sz w:val="21"/>
              </w:rPr>
              <w:t>45 dòng</w:t>
            </w:r>
          </w:p>
        </w:tc>
        <w:tc>
          <w:tcPr>
            <w:tcW w:type="dxa" w:w="1728"/>
          </w:tcPr>
          <w:p>
            <w:r>
              <w:rPr>
                <w:rFonts w:ascii="Times New Roman" w:hAnsi="Times New Roman"/>
                <w:sz w:val="21"/>
              </w:rPr>
              <w:t>CIX_MART_BALANCE</w:t>
            </w:r>
          </w:p>
        </w:tc>
        <w:tc>
          <w:tcPr>
            <w:tcW w:type="dxa" w:w="1728"/>
          </w:tcPr>
          <w:p>
            <w:r>
              <w:rPr>
                <w:rFonts w:ascii="Times New Roman" w:hAnsi="Times New Roman"/>
                <w:sz w:val="21"/>
              </w:rPr>
              <w:t>(calendar_year, partner_key)</w:t>
            </w:r>
          </w:p>
        </w:tc>
        <w:tc>
          <w:tcPr>
            <w:tcW w:type="dxa" w:w="1728"/>
          </w:tcPr>
          <w:p>
            <w:r>
              <w:rPr>
                <w:rFonts w:ascii="Times New Roman" w:hAnsi="Times New Roman"/>
                <w:sz w:val="21"/>
              </w:rPr>
              <w:t>Bảng tổng hợp nhanh cán cân thương mại thặng dư/thâm hụt theo 5 đối tác trong 9 năm.</w:t>
            </w:r>
          </w:p>
        </w:tc>
      </w:tr>
      <w:tr>
        <w:tc>
          <w:tcPr>
            <w:tcW w:type="dxa" w:w="1728"/>
          </w:tcPr>
          <w:p>
            <w:r>
              <w:rPr>
                <w:rFonts w:ascii="Times New Roman" w:hAnsi="Times New Roman"/>
                <w:sz w:val="21"/>
              </w:rPr>
              <w:t>MART_HHI_YEARLY</w:t>
            </w:r>
          </w:p>
        </w:tc>
        <w:tc>
          <w:tcPr>
            <w:tcW w:type="dxa" w:w="1728"/>
          </w:tcPr>
          <w:p>
            <w:r>
              <w:rPr>
                <w:rFonts w:ascii="Times New Roman" w:hAnsi="Times New Roman"/>
                <w:sz w:val="21"/>
              </w:rPr>
              <w:t>18 dòng</w:t>
            </w:r>
          </w:p>
        </w:tc>
        <w:tc>
          <w:tcPr>
            <w:tcW w:type="dxa" w:w="1728"/>
          </w:tcPr>
          <w:p>
            <w:r>
              <w:rPr>
                <w:rFonts w:ascii="Times New Roman" w:hAnsi="Times New Roman"/>
                <w:sz w:val="21"/>
              </w:rPr>
              <w:t>CIX_MART_HHI</w:t>
            </w:r>
          </w:p>
        </w:tc>
        <w:tc>
          <w:tcPr>
            <w:tcW w:type="dxa" w:w="1728"/>
          </w:tcPr>
          <w:p>
            <w:r>
              <w:rPr>
                <w:rFonts w:ascii="Times New Roman" w:hAnsi="Times New Roman"/>
                <w:sz w:val="21"/>
              </w:rPr>
              <w:t>(calendar_year, flow_name)</w:t>
            </w:r>
          </w:p>
        </w:tc>
        <w:tc>
          <w:tcPr>
            <w:tcW w:type="dxa" w:w="1728"/>
          </w:tcPr>
          <w:p>
            <w:r>
              <w:rPr>
                <w:rFonts w:ascii="Times New Roman" w:hAnsi="Times New Roman"/>
                <w:sz w:val="21"/>
              </w:rPr>
              <w:t>Biểu đồ đường theo dõi mức độ tập trung thị trường HHI và thị phần Top 4 (CR-4) qua các năm.</w:t>
            </w:r>
          </w:p>
        </w:tc>
      </w:tr>
      <w:tr>
        <w:tc>
          <w:tcPr>
            <w:tcW w:type="dxa" w:w="1728"/>
          </w:tcPr>
          <w:p>
            <w:r>
              <w:rPr>
                <w:rFonts w:ascii="Times New Roman" w:hAnsi="Times New Roman"/>
                <w:sz w:val="21"/>
              </w:rPr>
              <w:t>MART_TRADE_RECONCILIATION</w:t>
            </w:r>
          </w:p>
        </w:tc>
        <w:tc>
          <w:tcPr>
            <w:tcW w:type="dxa" w:w="1728"/>
          </w:tcPr>
          <w:p>
            <w:r>
              <w:rPr>
                <w:rFonts w:ascii="Times New Roman" w:hAnsi="Times New Roman"/>
                <w:sz w:val="21"/>
              </w:rPr>
              <w:t>14.033 dòng</w:t>
            </w:r>
          </w:p>
        </w:tc>
        <w:tc>
          <w:tcPr>
            <w:tcW w:type="dxa" w:w="1728"/>
          </w:tcPr>
          <w:p>
            <w:r>
              <w:rPr>
                <w:rFonts w:ascii="Times New Roman" w:hAnsi="Times New Roman"/>
                <w:sz w:val="21"/>
              </w:rPr>
              <w:t>CIX_MART_RECON + IX_MART_RECON_YEAR</w:t>
            </w:r>
          </w:p>
        </w:tc>
        <w:tc>
          <w:tcPr>
            <w:tcW w:type="dxa" w:w="1728"/>
          </w:tcPr>
          <w:p>
            <w:r>
              <w:rPr>
                <w:rFonts w:ascii="Times New Roman" w:hAnsi="Times New Roman"/>
                <w:sz w:val="21"/>
              </w:rPr>
              <w:t>(date_key, partner_key, commodity_key, flow_key)</w:t>
            </w:r>
          </w:p>
        </w:tc>
        <w:tc>
          <w:tcPr>
            <w:tcW w:type="dxa" w:w="1728"/>
          </w:tcPr>
          <w:p>
            <w:r>
              <w:rPr>
                <w:rFonts w:ascii="Times New Roman" w:hAnsi="Times New Roman"/>
                <w:sz w:val="21"/>
              </w:rPr>
              <w:t>Nguồn dữ liệu cho Dashboard 3: Giám sát bất đối xứng dữ liệu gương và độ tin cậy dữ liệu.</w:t>
            </w:r>
          </w:p>
        </w:tc>
      </w:tr>
    </w:tbl>
    <w:p>
      <w:pPr>
        <w:spacing w:before="120"/>
      </w:pPr>
    </w:p>
    <w:p>
      <w:r>
        <w:t xml:space="preserve">Đặc điểm nổi bật của bảng </w:t>
      </w:r>
      <w:r>
        <w:rPr>
          <w:b/>
        </w:rPr>
        <w:t>MART_TRADE_SUMMARY</w:t>
      </w:r>
      <w:r>
        <w:t>: Bảng đã được tích hợp sẵn các thuộc tính phân cấp vùng (</w:t>
      </w:r>
      <w:r>
        <w:rPr>
          <w:b/>
        </w:rPr>
        <w:t>region, sub_region</w:t>
      </w:r>
      <w:r>
        <w:t>), hiệp định (</w:t>
      </w:r>
      <w:r>
        <w:rPr>
          <w:b/>
        </w:rPr>
        <w:t>has_fta_with_vn, fta_name</w:t>
      </w:r>
      <w:r>
        <w:t>) và nhóm hàng hóa (</w:t>
      </w:r>
      <w:r>
        <w:rPr>
          <w:b/>
        </w:rPr>
        <w:t>hs2, hs4, hs6, commodity_group</w:t>
      </w:r>
      <w:r>
        <w:t>), đồng thời giữ lại cả 3 trường giá trị (</w:t>
      </w:r>
      <w:r>
        <w:rPr>
          <w:b/>
        </w:rPr>
        <w:t>primary_value_usd, fob_value_usd, cif_value_usd</w:t>
      </w:r>
      <w:r>
        <w:t>), cho phép người dùng Power BI kéo thả trực tiếp các biểu đồ mà không cần cấu hình quan hệ phức tạp.</w:t>
      </w:r>
    </w:p>
    <w:p>
      <w:pPr>
        <w:pStyle w:val="Heading1"/>
      </w:pPr>
      <w:r>
        <w:t>4. Phân tích kết quả thực nghiệm và Insight kinh tế rút ra</w:t>
      </w:r>
    </w:p>
    <w:p>
      <w:pPr>
        <w:pStyle w:val="Heading2"/>
      </w:pPr>
      <w:r>
        <w:t>4.1. Báo cáo 1: Mức độ tập trung và rủi ro thị trường (HHI &amp; CR-4)</w:t>
      </w:r>
    </w:p>
    <w:p>
      <w:r>
        <w:tab/>
        <w:t xml:space="preserve">Kết quả truy vấn từ bảng </w:t>
      </w:r>
      <w:r>
        <w:rPr>
          <w:b/>
        </w:rPr>
        <w:t>MART_HHI_YEARLY</w:t>
      </w:r>
      <w:r>
        <w:t xml:space="preserve"> phản ánh rõ nét cấu trúc thị trường thương mại của Việt Nam trong giai đoạn 2015–2023: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E6EEF8"/>
          </w:tcPr>
          <w:p>
            <w:pPr>
              <w:jc w:val="center"/>
            </w:pPr>
            <w:r>
              <w:rPr>
                <w:rFonts w:ascii="Times New Roman" w:hAnsi="Times New Roman"/>
                <w:b/>
                <w:sz w:val="21"/>
              </w:rPr>
              <w:t>Năm</w:t>
            </w:r>
          </w:p>
        </w:tc>
        <w:tc>
          <w:tcPr>
            <w:tcW w:type="dxa" w:w="1440"/>
            <w:shd w:fill="E6EEF8"/>
          </w:tcPr>
          <w:p>
            <w:pPr>
              <w:jc w:val="center"/>
            </w:pPr>
            <w:r>
              <w:rPr>
                <w:rFonts w:ascii="Times New Roman" w:hAnsi="Times New Roman"/>
                <w:b/>
                <w:sz w:val="21"/>
              </w:rPr>
              <w:t>HHI Xuất khẩu</w:t>
            </w:r>
          </w:p>
        </w:tc>
        <w:tc>
          <w:tcPr>
            <w:tcW w:type="dxa" w:w="1440"/>
            <w:shd w:fill="E6EEF8"/>
          </w:tcPr>
          <w:p>
            <w:pPr>
              <w:jc w:val="center"/>
            </w:pPr>
            <w:r>
              <w:rPr>
                <w:rFonts w:ascii="Times New Roman" w:hAnsi="Times New Roman"/>
                <w:b/>
                <w:sz w:val="21"/>
              </w:rPr>
              <w:t>CR-4 Xuất khẩu</w:t>
            </w:r>
          </w:p>
        </w:tc>
        <w:tc>
          <w:tcPr>
            <w:tcW w:type="dxa" w:w="1440"/>
            <w:shd w:fill="E6EEF8"/>
          </w:tcPr>
          <w:p>
            <w:pPr>
              <w:jc w:val="center"/>
            </w:pPr>
            <w:r>
              <w:rPr>
                <w:rFonts w:ascii="Times New Roman" w:hAnsi="Times New Roman"/>
                <w:b/>
                <w:sz w:val="21"/>
              </w:rPr>
              <w:t>HHI Nhập khẩu</w:t>
            </w:r>
          </w:p>
        </w:tc>
        <w:tc>
          <w:tcPr>
            <w:tcW w:type="dxa" w:w="1440"/>
            <w:shd w:fill="E6EEF8"/>
          </w:tcPr>
          <w:p>
            <w:pPr>
              <w:jc w:val="center"/>
            </w:pPr>
            <w:r>
              <w:rPr>
                <w:rFonts w:ascii="Times New Roman" w:hAnsi="Times New Roman"/>
                <w:b/>
                <w:sz w:val="21"/>
              </w:rPr>
              <w:t>CR-4 Nhập khẩu</w:t>
            </w:r>
          </w:p>
        </w:tc>
        <w:tc>
          <w:tcPr>
            <w:tcW w:type="dxa" w:w="1440"/>
            <w:shd w:fill="E6EEF8"/>
          </w:tcPr>
          <w:p>
            <w:pPr>
              <w:jc w:val="center"/>
            </w:pPr>
            <w:r>
              <w:rPr>
                <w:rFonts w:ascii="Times New Roman" w:hAnsi="Times New Roman"/>
                <w:b/>
                <w:sz w:val="21"/>
              </w:rPr>
              <w:t>Đánh giá mức độ tập trung</w:t>
            </w:r>
          </w:p>
        </w:tc>
      </w:tr>
      <w:tr>
        <w:tc>
          <w:tcPr>
            <w:tcW w:type="dxa" w:w="1440"/>
          </w:tcPr>
          <w:p>
            <w:r>
              <w:rPr>
                <w:rFonts w:ascii="Times New Roman" w:hAnsi="Times New Roman"/>
                <w:sz w:val="21"/>
              </w:rPr>
              <w:t>2015</w:t>
            </w:r>
          </w:p>
        </w:tc>
        <w:tc>
          <w:tcPr>
            <w:tcW w:type="dxa" w:w="1440"/>
          </w:tcPr>
          <w:p>
            <w:r>
              <w:rPr>
                <w:rFonts w:ascii="Times New Roman" w:hAnsi="Times New Roman"/>
                <w:sz w:val="21"/>
              </w:rPr>
              <w:t>3.438</w:t>
            </w:r>
          </w:p>
        </w:tc>
        <w:tc>
          <w:tcPr>
            <w:tcW w:type="dxa" w:w="1440"/>
          </w:tcPr>
          <w:p>
            <w:r>
              <w:rPr>
                <w:rFonts w:ascii="Times New Roman" w:hAnsi="Times New Roman"/>
                <w:sz w:val="21"/>
              </w:rPr>
              <w:t>96,52%</w:t>
            </w:r>
          </w:p>
        </w:tc>
        <w:tc>
          <w:tcPr>
            <w:tcW w:type="dxa" w:w="1440"/>
          </w:tcPr>
          <w:p>
            <w:r>
              <w:rPr>
                <w:rFonts w:ascii="Times New Roman" w:hAnsi="Times New Roman"/>
                <w:sz w:val="21"/>
              </w:rPr>
              <w:t>4.571</w:t>
            </w:r>
          </w:p>
        </w:tc>
        <w:tc>
          <w:tcPr>
            <w:tcW w:type="dxa" w:w="1440"/>
          </w:tcPr>
          <w:p>
            <w:r>
              <w:rPr>
                <w:rFonts w:ascii="Times New Roman" w:hAnsi="Times New Roman"/>
                <w:sz w:val="21"/>
              </w:rPr>
              <w:t>99,73%</w:t>
            </w:r>
          </w:p>
        </w:tc>
        <w:tc>
          <w:tcPr>
            <w:tcW w:type="dxa" w:w="1440"/>
          </w:tcPr>
          <w:p>
            <w:r>
              <w:rPr>
                <w:rFonts w:ascii="Times New Roman" w:hAnsi="Times New Roman"/>
                <w:sz w:val="21"/>
              </w:rPr>
              <w:t>Tập trung rất cao ở cả 2 chiều X và M</w:t>
            </w:r>
          </w:p>
        </w:tc>
      </w:tr>
      <w:tr>
        <w:tc>
          <w:tcPr>
            <w:tcW w:type="dxa" w:w="1440"/>
          </w:tcPr>
          <w:p>
            <w:r>
              <w:rPr>
                <w:rFonts w:ascii="Times New Roman" w:hAnsi="Times New Roman"/>
                <w:sz w:val="21"/>
              </w:rPr>
              <w:t>2016</w:t>
            </w:r>
          </w:p>
        </w:tc>
        <w:tc>
          <w:tcPr>
            <w:tcW w:type="dxa" w:w="1440"/>
          </w:tcPr>
          <w:p>
            <w:r>
              <w:rPr>
                <w:rFonts w:ascii="Times New Roman" w:hAnsi="Times New Roman"/>
                <w:sz w:val="21"/>
              </w:rPr>
              <w:t>3.419</w:t>
            </w:r>
          </w:p>
        </w:tc>
        <w:tc>
          <w:tcPr>
            <w:tcW w:type="dxa" w:w="1440"/>
          </w:tcPr>
          <w:p>
            <w:r>
              <w:rPr>
                <w:rFonts w:ascii="Times New Roman" w:hAnsi="Times New Roman"/>
                <w:sz w:val="21"/>
              </w:rPr>
              <w:t>95,19%</w:t>
            </w:r>
          </w:p>
        </w:tc>
        <w:tc>
          <w:tcPr>
            <w:tcW w:type="dxa" w:w="1440"/>
          </w:tcPr>
          <w:p>
            <w:r>
              <w:rPr>
                <w:rFonts w:ascii="Times New Roman" w:hAnsi="Times New Roman"/>
                <w:sz w:val="21"/>
              </w:rPr>
              <w:t>3.755</w:t>
            </w:r>
          </w:p>
        </w:tc>
        <w:tc>
          <w:tcPr>
            <w:tcW w:type="dxa" w:w="1440"/>
          </w:tcPr>
          <w:p>
            <w:r>
              <w:rPr>
                <w:rFonts w:ascii="Times New Roman" w:hAnsi="Times New Roman"/>
                <w:sz w:val="21"/>
              </w:rPr>
              <w:t>99,72%</w:t>
            </w:r>
          </w:p>
        </w:tc>
        <w:tc>
          <w:tcPr>
            <w:tcW w:type="dxa" w:w="1440"/>
          </w:tcPr>
          <w:p>
            <w:r>
              <w:rPr>
                <w:rFonts w:ascii="Times New Roman" w:hAnsi="Times New Roman"/>
                <w:sz w:val="21"/>
              </w:rPr>
              <w:t>Xuất khẩu bắt đầu mở rộng nhẹ thị phần</w:t>
            </w:r>
          </w:p>
        </w:tc>
      </w:tr>
      <w:tr>
        <w:tc>
          <w:tcPr>
            <w:tcW w:type="dxa" w:w="1440"/>
          </w:tcPr>
          <w:p>
            <w:r>
              <w:rPr>
                <w:rFonts w:ascii="Times New Roman" w:hAnsi="Times New Roman"/>
                <w:sz w:val="21"/>
              </w:rPr>
              <w:t>2017</w:t>
            </w:r>
          </w:p>
        </w:tc>
        <w:tc>
          <w:tcPr>
            <w:tcW w:type="dxa" w:w="1440"/>
          </w:tcPr>
          <w:p>
            <w:r>
              <w:rPr>
                <w:rFonts w:ascii="Times New Roman" w:hAnsi="Times New Roman"/>
                <w:sz w:val="21"/>
              </w:rPr>
              <w:t>2.938</w:t>
            </w:r>
          </w:p>
        </w:tc>
        <w:tc>
          <w:tcPr>
            <w:tcW w:type="dxa" w:w="1440"/>
          </w:tcPr>
          <w:p>
            <w:r>
              <w:rPr>
                <w:rFonts w:ascii="Times New Roman" w:hAnsi="Times New Roman"/>
                <w:sz w:val="21"/>
              </w:rPr>
              <w:t>93,00%</w:t>
            </w:r>
          </w:p>
        </w:tc>
        <w:tc>
          <w:tcPr>
            <w:tcW w:type="dxa" w:w="1440"/>
          </w:tcPr>
          <w:p>
            <w:r>
              <w:rPr>
                <w:rFonts w:ascii="Times New Roman" w:hAnsi="Times New Roman"/>
                <w:sz w:val="21"/>
              </w:rPr>
              <w:t>3.501</w:t>
            </w:r>
          </w:p>
        </w:tc>
        <w:tc>
          <w:tcPr>
            <w:tcW w:type="dxa" w:w="1440"/>
          </w:tcPr>
          <w:p>
            <w:r>
              <w:rPr>
                <w:rFonts w:ascii="Times New Roman" w:hAnsi="Times New Roman"/>
                <w:sz w:val="21"/>
              </w:rPr>
              <w:t>99,83%</w:t>
            </w:r>
          </w:p>
        </w:tc>
        <w:tc>
          <w:tcPr>
            <w:tcW w:type="dxa" w:w="1440"/>
          </w:tcPr>
          <w:p>
            <w:r>
              <w:rPr>
                <w:rFonts w:ascii="Times New Roman" w:hAnsi="Times New Roman"/>
                <w:sz w:val="21"/>
              </w:rPr>
              <w:t>HHI xuất khẩu giảm về ngưỡng vừa</w:t>
            </w:r>
          </w:p>
        </w:tc>
      </w:tr>
      <w:tr>
        <w:tc>
          <w:tcPr>
            <w:tcW w:type="dxa" w:w="1440"/>
          </w:tcPr>
          <w:p>
            <w:r>
              <w:rPr>
                <w:rFonts w:ascii="Times New Roman" w:hAnsi="Times New Roman"/>
                <w:sz w:val="21"/>
              </w:rPr>
              <w:t>2018</w:t>
            </w:r>
          </w:p>
        </w:tc>
        <w:tc>
          <w:tcPr>
            <w:tcW w:type="dxa" w:w="1440"/>
          </w:tcPr>
          <w:p>
            <w:r>
              <w:rPr>
                <w:rFonts w:ascii="Times New Roman" w:hAnsi="Times New Roman"/>
                <w:sz w:val="21"/>
              </w:rPr>
              <w:t>3.189</w:t>
            </w:r>
          </w:p>
        </w:tc>
        <w:tc>
          <w:tcPr>
            <w:tcW w:type="dxa" w:w="1440"/>
          </w:tcPr>
          <w:p>
            <w:r>
              <w:rPr>
                <w:rFonts w:ascii="Times New Roman" w:hAnsi="Times New Roman"/>
                <w:sz w:val="21"/>
              </w:rPr>
              <w:t>93,29%</w:t>
            </w:r>
          </w:p>
        </w:tc>
        <w:tc>
          <w:tcPr>
            <w:tcW w:type="dxa" w:w="1440"/>
          </w:tcPr>
          <w:p>
            <w:r>
              <w:rPr>
                <w:rFonts w:ascii="Times New Roman" w:hAnsi="Times New Roman"/>
                <w:sz w:val="21"/>
              </w:rPr>
              <w:t>3.480</w:t>
            </w:r>
          </w:p>
        </w:tc>
        <w:tc>
          <w:tcPr>
            <w:tcW w:type="dxa" w:w="1440"/>
          </w:tcPr>
          <w:p>
            <w:r>
              <w:rPr>
                <w:rFonts w:ascii="Times New Roman" w:hAnsi="Times New Roman"/>
                <w:sz w:val="21"/>
              </w:rPr>
              <w:t>99,84%</w:t>
            </w:r>
          </w:p>
        </w:tc>
        <w:tc>
          <w:tcPr>
            <w:tcW w:type="dxa" w:w="1440"/>
          </w:tcPr>
          <w:p>
            <w:r>
              <w:rPr>
                <w:rFonts w:ascii="Times New Roman" w:hAnsi="Times New Roman"/>
                <w:sz w:val="21"/>
              </w:rPr>
              <w:t>Thị trường Mỹ và Trung Quốc tăng tốc</w:t>
            </w:r>
          </w:p>
        </w:tc>
      </w:tr>
      <w:tr>
        <w:tc>
          <w:tcPr>
            <w:tcW w:type="dxa" w:w="1440"/>
          </w:tcPr>
          <w:p>
            <w:r>
              <w:rPr>
                <w:rFonts w:ascii="Times New Roman" w:hAnsi="Times New Roman"/>
                <w:sz w:val="21"/>
              </w:rPr>
              <w:t>2019</w:t>
            </w:r>
          </w:p>
        </w:tc>
        <w:tc>
          <w:tcPr>
            <w:tcW w:type="dxa" w:w="1440"/>
          </w:tcPr>
          <w:p>
            <w:r>
              <w:rPr>
                <w:rFonts w:ascii="Times New Roman" w:hAnsi="Times New Roman"/>
                <w:sz w:val="21"/>
              </w:rPr>
              <w:t>3.499</w:t>
            </w:r>
          </w:p>
        </w:tc>
        <w:tc>
          <w:tcPr>
            <w:tcW w:type="dxa" w:w="1440"/>
          </w:tcPr>
          <w:p>
            <w:r>
              <w:rPr>
                <w:rFonts w:ascii="Times New Roman" w:hAnsi="Times New Roman"/>
                <w:sz w:val="21"/>
              </w:rPr>
              <w:t>94,02%</w:t>
            </w:r>
          </w:p>
        </w:tc>
        <w:tc>
          <w:tcPr>
            <w:tcW w:type="dxa" w:w="1440"/>
          </w:tcPr>
          <w:p>
            <w:r>
              <w:rPr>
                <w:rFonts w:ascii="Times New Roman" w:hAnsi="Times New Roman"/>
                <w:sz w:val="21"/>
              </w:rPr>
              <w:t>3.697</w:t>
            </w:r>
          </w:p>
        </w:tc>
        <w:tc>
          <w:tcPr>
            <w:tcW w:type="dxa" w:w="1440"/>
          </w:tcPr>
          <w:p>
            <w:r>
              <w:rPr>
                <w:rFonts w:ascii="Times New Roman" w:hAnsi="Times New Roman"/>
                <w:sz w:val="21"/>
              </w:rPr>
              <w:t>99,85%</w:t>
            </w:r>
          </w:p>
        </w:tc>
        <w:tc>
          <w:tcPr>
            <w:tcW w:type="dxa" w:w="1440"/>
          </w:tcPr>
          <w:p>
            <w:r>
              <w:rPr>
                <w:rFonts w:ascii="Times New Roman" w:hAnsi="Times New Roman"/>
                <w:sz w:val="21"/>
              </w:rPr>
              <w:t>Tác động từ căng thẳng thương mại Mỹ - Trung</w:t>
            </w:r>
          </w:p>
        </w:tc>
      </w:tr>
      <w:tr>
        <w:tc>
          <w:tcPr>
            <w:tcW w:type="dxa" w:w="1440"/>
          </w:tcPr>
          <w:p>
            <w:r>
              <w:rPr>
                <w:rFonts w:ascii="Times New Roman" w:hAnsi="Times New Roman"/>
                <w:sz w:val="21"/>
              </w:rPr>
              <w:t>2020</w:t>
            </w:r>
          </w:p>
        </w:tc>
        <w:tc>
          <w:tcPr>
            <w:tcW w:type="dxa" w:w="1440"/>
          </w:tcPr>
          <w:p>
            <w:r>
              <w:rPr>
                <w:rFonts w:ascii="Times New Roman" w:hAnsi="Times New Roman"/>
                <w:sz w:val="21"/>
              </w:rPr>
              <w:t>3.854</w:t>
            </w:r>
          </w:p>
        </w:tc>
        <w:tc>
          <w:tcPr>
            <w:tcW w:type="dxa" w:w="1440"/>
          </w:tcPr>
          <w:p>
            <w:r>
              <w:rPr>
                <w:rFonts w:ascii="Times New Roman" w:hAnsi="Times New Roman"/>
                <w:sz w:val="21"/>
              </w:rPr>
              <w:t>94,94%</w:t>
            </w:r>
          </w:p>
        </w:tc>
        <w:tc>
          <w:tcPr>
            <w:tcW w:type="dxa" w:w="1440"/>
          </w:tcPr>
          <w:p>
            <w:r>
              <w:rPr>
                <w:rFonts w:ascii="Times New Roman" w:hAnsi="Times New Roman"/>
                <w:sz w:val="21"/>
              </w:rPr>
              <w:t>3.411</w:t>
            </w:r>
          </w:p>
        </w:tc>
        <w:tc>
          <w:tcPr>
            <w:tcW w:type="dxa" w:w="1440"/>
          </w:tcPr>
          <w:p>
            <w:r>
              <w:rPr>
                <w:rFonts w:ascii="Times New Roman" w:hAnsi="Times New Roman"/>
                <w:sz w:val="21"/>
              </w:rPr>
              <w:t>99,80%</w:t>
            </w:r>
          </w:p>
        </w:tc>
        <w:tc>
          <w:tcPr>
            <w:tcW w:type="dxa" w:w="1440"/>
          </w:tcPr>
          <w:p>
            <w:r>
              <w:rPr>
                <w:rFonts w:ascii="Times New Roman" w:hAnsi="Times New Roman"/>
                <w:sz w:val="21"/>
              </w:rPr>
              <w:t>Dịch COVID-19: Xuất khẩu dồn mạnh vào Mỹ</w:t>
            </w:r>
          </w:p>
        </w:tc>
      </w:tr>
      <w:tr>
        <w:tc>
          <w:tcPr>
            <w:tcW w:type="dxa" w:w="1440"/>
          </w:tcPr>
          <w:p>
            <w:r>
              <w:rPr>
                <w:rFonts w:ascii="Times New Roman" w:hAnsi="Times New Roman"/>
                <w:sz w:val="21"/>
              </w:rPr>
              <w:t>2021</w:t>
            </w:r>
          </w:p>
        </w:tc>
        <w:tc>
          <w:tcPr>
            <w:tcW w:type="dxa" w:w="1440"/>
          </w:tcPr>
          <w:p>
            <w:r>
              <w:rPr>
                <w:rFonts w:ascii="Times New Roman" w:hAnsi="Times New Roman"/>
                <w:sz w:val="21"/>
              </w:rPr>
              <w:t>3.966</w:t>
            </w:r>
          </w:p>
        </w:tc>
        <w:tc>
          <w:tcPr>
            <w:tcW w:type="dxa" w:w="1440"/>
          </w:tcPr>
          <w:p>
            <w:r>
              <w:rPr>
                <w:rFonts w:ascii="Times New Roman" w:hAnsi="Times New Roman"/>
                <w:sz w:val="21"/>
              </w:rPr>
              <w:t>95,19%</w:t>
            </w:r>
          </w:p>
        </w:tc>
        <w:tc>
          <w:tcPr>
            <w:tcW w:type="dxa" w:w="1440"/>
          </w:tcPr>
          <w:p>
            <w:r>
              <w:rPr>
                <w:rFonts w:ascii="Times New Roman" w:hAnsi="Times New Roman"/>
                <w:sz w:val="21"/>
              </w:rPr>
              <w:t>2.877</w:t>
            </w:r>
          </w:p>
        </w:tc>
        <w:tc>
          <w:tcPr>
            <w:tcW w:type="dxa" w:w="1440"/>
          </w:tcPr>
          <w:p>
            <w:r>
              <w:rPr>
                <w:rFonts w:ascii="Times New Roman" w:hAnsi="Times New Roman"/>
                <w:sz w:val="21"/>
              </w:rPr>
              <w:t>99,56%</w:t>
            </w:r>
          </w:p>
        </w:tc>
        <w:tc>
          <w:tcPr>
            <w:tcW w:type="dxa" w:w="1440"/>
          </w:tcPr>
          <w:p>
            <w:r>
              <w:rPr>
                <w:rFonts w:ascii="Times New Roman" w:hAnsi="Times New Roman"/>
                <w:sz w:val="21"/>
              </w:rPr>
              <w:t>HHI nhập khẩu giảm nhẹ sang Hàn Quốc &amp; Đức</w:t>
            </w:r>
          </w:p>
        </w:tc>
      </w:tr>
      <w:tr>
        <w:tc>
          <w:tcPr>
            <w:tcW w:type="dxa" w:w="1440"/>
          </w:tcPr>
          <w:p>
            <w:r>
              <w:rPr>
                <w:rFonts w:ascii="Times New Roman" w:hAnsi="Times New Roman"/>
                <w:sz w:val="21"/>
              </w:rPr>
              <w:t>2022</w:t>
            </w:r>
          </w:p>
        </w:tc>
        <w:tc>
          <w:tcPr>
            <w:tcW w:type="dxa" w:w="1440"/>
          </w:tcPr>
          <w:p>
            <w:r>
              <w:rPr>
                <w:rFonts w:ascii="Times New Roman" w:hAnsi="Times New Roman"/>
                <w:sz w:val="21"/>
              </w:rPr>
              <w:t>4.199</w:t>
            </w:r>
          </w:p>
        </w:tc>
        <w:tc>
          <w:tcPr>
            <w:tcW w:type="dxa" w:w="1440"/>
          </w:tcPr>
          <w:p>
            <w:r>
              <w:rPr>
                <w:rFonts w:ascii="Times New Roman" w:hAnsi="Times New Roman"/>
                <w:sz w:val="21"/>
              </w:rPr>
              <w:t>95,14%</w:t>
            </w:r>
          </w:p>
        </w:tc>
        <w:tc>
          <w:tcPr>
            <w:tcW w:type="dxa" w:w="1440"/>
          </w:tcPr>
          <w:p>
            <w:r>
              <w:rPr>
                <w:rFonts w:ascii="Times New Roman" w:hAnsi="Times New Roman"/>
                <w:sz w:val="21"/>
              </w:rPr>
              <w:t>2.867</w:t>
            </w:r>
          </w:p>
        </w:tc>
        <w:tc>
          <w:tcPr>
            <w:tcW w:type="dxa" w:w="1440"/>
          </w:tcPr>
          <w:p>
            <w:r>
              <w:rPr>
                <w:rFonts w:ascii="Times New Roman" w:hAnsi="Times New Roman"/>
                <w:sz w:val="21"/>
              </w:rPr>
              <w:t>99,41%</w:t>
            </w:r>
          </w:p>
        </w:tc>
        <w:tc>
          <w:tcPr>
            <w:tcW w:type="dxa" w:w="1440"/>
          </w:tcPr>
          <w:p>
            <w:r>
              <w:rPr>
                <w:rFonts w:ascii="Times New Roman" w:hAnsi="Times New Roman"/>
                <w:sz w:val="21"/>
              </w:rPr>
              <w:t>Đỉnh điểm tập trung xuất khẩu (HHI &gt; 4000)</w:t>
            </w:r>
          </w:p>
        </w:tc>
      </w:tr>
      <w:tr>
        <w:tc>
          <w:tcPr>
            <w:tcW w:type="dxa" w:w="1440"/>
          </w:tcPr>
          <w:p>
            <w:r>
              <w:rPr>
                <w:rFonts w:ascii="Times New Roman" w:hAnsi="Times New Roman"/>
                <w:sz w:val="21"/>
              </w:rPr>
              <w:t>2023</w:t>
            </w:r>
          </w:p>
        </w:tc>
        <w:tc>
          <w:tcPr>
            <w:tcW w:type="dxa" w:w="1440"/>
          </w:tcPr>
          <w:p>
            <w:r>
              <w:rPr>
                <w:rFonts w:ascii="Times New Roman" w:hAnsi="Times New Roman"/>
                <w:sz w:val="21"/>
              </w:rPr>
              <w:t>3.643</w:t>
            </w:r>
          </w:p>
        </w:tc>
        <w:tc>
          <w:tcPr>
            <w:tcW w:type="dxa" w:w="1440"/>
          </w:tcPr>
          <w:p>
            <w:r>
              <w:rPr>
                <w:rFonts w:ascii="Times New Roman" w:hAnsi="Times New Roman"/>
                <w:sz w:val="21"/>
              </w:rPr>
              <w:t>94,51%</w:t>
            </w:r>
          </w:p>
        </w:tc>
        <w:tc>
          <w:tcPr>
            <w:tcW w:type="dxa" w:w="1440"/>
          </w:tcPr>
          <w:p>
            <w:r>
              <w:rPr>
                <w:rFonts w:ascii="Times New Roman" w:hAnsi="Times New Roman"/>
                <w:sz w:val="21"/>
              </w:rPr>
              <w:t>3.101</w:t>
            </w:r>
          </w:p>
        </w:tc>
        <w:tc>
          <w:tcPr>
            <w:tcW w:type="dxa" w:w="1440"/>
          </w:tcPr>
          <w:p>
            <w:r>
              <w:rPr>
                <w:rFonts w:ascii="Times New Roman" w:hAnsi="Times New Roman"/>
                <w:sz w:val="21"/>
              </w:rPr>
              <w:t>99,55%</w:t>
            </w:r>
          </w:p>
        </w:tc>
        <w:tc>
          <w:tcPr>
            <w:tcW w:type="dxa" w:w="1440"/>
          </w:tcPr>
          <w:p>
            <w:r>
              <w:rPr>
                <w:rFonts w:ascii="Times New Roman" w:hAnsi="Times New Roman"/>
                <w:sz w:val="21"/>
              </w:rPr>
              <w:t>Hạ nhiệt theo xu hướng suy giảm cầu toàn cầu</w:t>
            </w:r>
          </w:p>
        </w:tc>
      </w:tr>
    </w:tbl>
    <w:p>
      <w:pPr>
        <w:spacing w:before="120"/>
      </w:pPr>
    </w:p>
    <w:p>
      <w:r>
        <w:rPr>
          <w:b/>
        </w:rPr>
        <w:t xml:space="preserve">Insight rút ra: </w:t>
      </w:r>
      <w:r>
        <w:t xml:space="preserve">Chỉ số HHI xuất khẩu của Việt Nam luôn duy trì ở mức rất cao (&gt; 2.900 điểm, đặc biệt năm 2022 đạt 4.199 điểm), và chỉ số CR-4 luôn vượt trên 93%. Điều này chứng minh </w:t>
      </w:r>
      <w:r>
        <w:rPr>
          <w:b/>
        </w:rPr>
        <w:t>hoạt động xuất khẩu của Việt Nam phụ thuộc nặng nề vào 4 đối tác chiến lược (Hoa Kỳ, Trung Quốc, Hàn Quốc, Nhật Bản)</w:t>
      </w:r>
      <w:r>
        <w:t>, trong đó riêng thị trường Mỹ chiếm tỷ trọng áp đảo. Về chiều nhập khẩu, nguồn cung linh kiện điện tử và nguyên phụ liệu cũng tập trung cao độ từ Trung Quốc và Hàn Quốc (CR-4 xấp xỉ 99%).</w:t>
      </w:r>
    </w:p>
    <w:p>
      <w:pPr>
        <w:pStyle w:val="Heading2"/>
      </w:pPr>
      <w:r>
        <w:t>4.2. Báo cáo 2: Phân tích chu kỳ mùa vụ thương mại (Seasonality Analysis)</w:t>
      </w:r>
    </w:p>
    <w:p>
      <w:r>
        <w:tab/>
        <w:t>Kết quả từ Query 09 cho thấy chu kỳ xuất nhập khẩu biến động rõ nét theo lịch sản xuất và lễ hội quốc tế: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E6EEF8"/>
          </w:tcPr>
          <w:p>
            <w:pPr>
              <w:jc w:val="center"/>
            </w:pPr>
            <w:r>
              <w:rPr>
                <w:rFonts w:ascii="Times New Roman" w:hAnsi="Times New Roman"/>
                <w:b/>
                <w:sz w:val="21"/>
              </w:rPr>
              <w:t>Tháng</w:t>
            </w:r>
          </w:p>
        </w:tc>
        <w:tc>
          <w:tcPr>
            <w:tcW w:type="dxa" w:w="1440"/>
            <w:shd w:fill="E6EEF8"/>
          </w:tcPr>
          <w:p>
            <w:pPr>
              <w:jc w:val="center"/>
            </w:pPr>
            <w:r>
              <w:rPr>
                <w:rFonts w:ascii="Times New Roman" w:hAnsi="Times New Roman"/>
                <w:b/>
                <w:sz w:val="21"/>
              </w:rPr>
              <w:t>TB Xuất khẩu (Tr.USD)</w:t>
            </w:r>
          </w:p>
        </w:tc>
        <w:tc>
          <w:tcPr>
            <w:tcW w:type="dxa" w:w="1440"/>
            <w:shd w:fill="E6EEF8"/>
          </w:tcPr>
          <w:p>
            <w:pPr>
              <w:jc w:val="center"/>
            </w:pPr>
            <w:r>
              <w:rPr>
                <w:rFonts w:ascii="Times New Roman" w:hAnsi="Times New Roman"/>
                <w:b/>
                <w:sz w:val="21"/>
              </w:rPr>
              <w:t>Hệ số mùa vụ XK (%)</w:t>
            </w:r>
          </w:p>
        </w:tc>
        <w:tc>
          <w:tcPr>
            <w:tcW w:type="dxa" w:w="1440"/>
            <w:shd w:fill="E6EEF8"/>
          </w:tcPr>
          <w:p>
            <w:pPr>
              <w:jc w:val="center"/>
            </w:pPr>
            <w:r>
              <w:rPr>
                <w:rFonts w:ascii="Times New Roman" w:hAnsi="Times New Roman"/>
                <w:b/>
                <w:sz w:val="21"/>
              </w:rPr>
              <w:t>TB Nhập khẩu (Tr.USD)</w:t>
            </w:r>
          </w:p>
        </w:tc>
        <w:tc>
          <w:tcPr>
            <w:tcW w:type="dxa" w:w="1440"/>
            <w:shd w:fill="E6EEF8"/>
          </w:tcPr>
          <w:p>
            <w:pPr>
              <w:jc w:val="center"/>
            </w:pPr>
            <w:r>
              <w:rPr>
                <w:rFonts w:ascii="Times New Roman" w:hAnsi="Times New Roman"/>
                <w:b/>
                <w:sz w:val="21"/>
              </w:rPr>
              <w:t>Hệ số mùa vụ NK (%)</w:t>
            </w:r>
          </w:p>
        </w:tc>
        <w:tc>
          <w:tcPr>
            <w:tcW w:type="dxa" w:w="1440"/>
            <w:shd w:fill="E6EEF8"/>
          </w:tcPr>
          <w:p>
            <w:pPr>
              <w:jc w:val="center"/>
            </w:pPr>
            <w:r>
              <w:rPr>
                <w:rFonts w:ascii="Times New Roman" w:hAnsi="Times New Roman"/>
                <w:b/>
                <w:sz w:val="21"/>
              </w:rPr>
              <w:t>Đặc điểm chu kỳ</w:t>
            </w:r>
          </w:p>
        </w:tc>
      </w:tr>
      <w:tr>
        <w:tc>
          <w:tcPr>
            <w:tcW w:type="dxa" w:w="1440"/>
          </w:tcPr>
          <w:p>
            <w:r>
              <w:rPr>
                <w:rFonts w:ascii="Times New Roman" w:hAnsi="Times New Roman"/>
                <w:sz w:val="21"/>
              </w:rPr>
              <w:t>Tháng 1</w:t>
            </w:r>
          </w:p>
        </w:tc>
        <w:tc>
          <w:tcPr>
            <w:tcW w:type="dxa" w:w="1440"/>
          </w:tcPr>
          <w:p>
            <w:r>
              <w:rPr>
                <w:rFonts w:ascii="Times New Roman" w:hAnsi="Times New Roman"/>
                <w:sz w:val="21"/>
              </w:rPr>
              <w:t>7.084,9</w:t>
            </w:r>
          </w:p>
        </w:tc>
        <w:tc>
          <w:tcPr>
            <w:tcW w:type="dxa" w:w="1440"/>
          </w:tcPr>
          <w:p>
            <w:r>
              <w:rPr>
                <w:rFonts w:ascii="Times New Roman" w:hAnsi="Times New Roman"/>
                <w:sz w:val="21"/>
              </w:rPr>
              <w:t>88,6%</w:t>
            </w:r>
          </w:p>
        </w:tc>
        <w:tc>
          <w:tcPr>
            <w:tcW w:type="dxa" w:w="1440"/>
          </w:tcPr>
          <w:p>
            <w:r>
              <w:rPr>
                <w:rFonts w:ascii="Times New Roman" w:hAnsi="Times New Roman"/>
                <w:sz w:val="21"/>
              </w:rPr>
              <w:t>2.247,3</w:t>
            </w:r>
          </w:p>
        </w:tc>
        <w:tc>
          <w:tcPr>
            <w:tcW w:type="dxa" w:w="1440"/>
          </w:tcPr>
          <w:p>
            <w:r>
              <w:rPr>
                <w:rFonts w:ascii="Times New Roman" w:hAnsi="Times New Roman"/>
                <w:sz w:val="21"/>
              </w:rPr>
              <w:t>95,8%</w:t>
            </w:r>
          </w:p>
        </w:tc>
        <w:tc>
          <w:tcPr>
            <w:tcW w:type="dxa" w:w="1440"/>
          </w:tcPr>
          <w:p>
            <w:r>
              <w:rPr>
                <w:rFonts w:ascii="Times New Roman" w:hAnsi="Times New Roman"/>
                <w:sz w:val="21"/>
              </w:rPr>
              <w:t>Giai đoạn chuẩn bị đón Tết Nguyên đán</w:t>
            </w:r>
          </w:p>
        </w:tc>
      </w:tr>
      <w:tr>
        <w:tc>
          <w:tcPr>
            <w:tcW w:type="dxa" w:w="1440"/>
          </w:tcPr>
          <w:p>
            <w:r>
              <w:rPr>
                <w:rFonts w:ascii="Times New Roman" w:hAnsi="Times New Roman"/>
                <w:sz w:val="21"/>
              </w:rPr>
              <w:t>Tháng 2</w:t>
            </w:r>
          </w:p>
        </w:tc>
        <w:tc>
          <w:tcPr>
            <w:tcW w:type="dxa" w:w="1440"/>
          </w:tcPr>
          <w:p>
            <w:r>
              <w:rPr>
                <w:rFonts w:ascii="Times New Roman" w:hAnsi="Times New Roman"/>
                <w:sz w:val="21"/>
              </w:rPr>
              <w:t>6.505,7</w:t>
            </w:r>
          </w:p>
        </w:tc>
        <w:tc>
          <w:tcPr>
            <w:tcW w:type="dxa" w:w="1440"/>
          </w:tcPr>
          <w:p>
            <w:r>
              <w:rPr>
                <w:rFonts w:ascii="Times New Roman" w:hAnsi="Times New Roman"/>
                <w:sz w:val="21"/>
              </w:rPr>
              <w:t>81,3%</w:t>
            </w:r>
          </w:p>
        </w:tc>
        <w:tc>
          <w:tcPr>
            <w:tcW w:type="dxa" w:w="1440"/>
          </w:tcPr>
          <w:p>
            <w:r>
              <w:rPr>
                <w:rFonts w:ascii="Times New Roman" w:hAnsi="Times New Roman"/>
                <w:sz w:val="21"/>
              </w:rPr>
              <w:t>1.976,4</w:t>
            </w:r>
          </w:p>
        </w:tc>
        <w:tc>
          <w:tcPr>
            <w:tcW w:type="dxa" w:w="1440"/>
          </w:tcPr>
          <w:p>
            <w:r>
              <w:rPr>
                <w:rFonts w:ascii="Times New Roman" w:hAnsi="Times New Roman"/>
                <w:sz w:val="21"/>
              </w:rPr>
              <w:t>84,2%</w:t>
            </w:r>
          </w:p>
        </w:tc>
        <w:tc>
          <w:tcPr>
            <w:tcW w:type="dxa" w:w="1440"/>
          </w:tcPr>
          <w:p>
            <w:r>
              <w:rPr>
                <w:rFonts w:ascii="Times New Roman" w:hAnsi="Times New Roman"/>
                <w:sz w:val="21"/>
              </w:rPr>
              <w:t>▼ Đáy thấp điểm toàn năm do kỳ nghỉ Tết</w:t>
            </w:r>
          </w:p>
        </w:tc>
      </w:tr>
      <w:tr>
        <w:tc>
          <w:tcPr>
            <w:tcW w:type="dxa" w:w="1440"/>
          </w:tcPr>
          <w:p>
            <w:r>
              <w:rPr>
                <w:rFonts w:ascii="Times New Roman" w:hAnsi="Times New Roman"/>
                <w:sz w:val="21"/>
              </w:rPr>
              <w:t>Tháng 3</w:t>
            </w:r>
          </w:p>
        </w:tc>
        <w:tc>
          <w:tcPr>
            <w:tcW w:type="dxa" w:w="1440"/>
          </w:tcPr>
          <w:p>
            <w:r>
              <w:rPr>
                <w:rFonts w:ascii="Times New Roman" w:hAnsi="Times New Roman"/>
                <w:sz w:val="21"/>
              </w:rPr>
              <w:t>9.148,7</w:t>
            </w:r>
          </w:p>
        </w:tc>
        <w:tc>
          <w:tcPr>
            <w:tcW w:type="dxa" w:w="1440"/>
          </w:tcPr>
          <w:p>
            <w:r>
              <w:rPr>
                <w:rFonts w:ascii="Times New Roman" w:hAnsi="Times New Roman"/>
                <w:sz w:val="21"/>
              </w:rPr>
              <w:t>114,3%</w:t>
            </w:r>
          </w:p>
        </w:tc>
        <w:tc>
          <w:tcPr>
            <w:tcW w:type="dxa" w:w="1440"/>
          </w:tcPr>
          <w:p>
            <w:r>
              <w:rPr>
                <w:rFonts w:ascii="Times New Roman" w:hAnsi="Times New Roman"/>
                <w:sz w:val="21"/>
              </w:rPr>
              <w:t>2.324,6</w:t>
            </w:r>
          </w:p>
        </w:tc>
        <w:tc>
          <w:tcPr>
            <w:tcW w:type="dxa" w:w="1440"/>
          </w:tcPr>
          <w:p>
            <w:r>
              <w:rPr>
                <w:rFonts w:ascii="Times New Roman" w:hAnsi="Times New Roman"/>
                <w:sz w:val="21"/>
              </w:rPr>
              <w:t>99,1%</w:t>
            </w:r>
          </w:p>
        </w:tc>
        <w:tc>
          <w:tcPr>
            <w:tcW w:type="dxa" w:w="1440"/>
          </w:tcPr>
          <w:p>
            <w:r>
              <w:rPr>
                <w:rFonts w:ascii="Times New Roman" w:hAnsi="Times New Roman"/>
                <w:sz w:val="21"/>
              </w:rPr>
              <w:t>▲ Đỉnh phục hồi mạnh mẽ sau kỳ nghỉ Tết</w:t>
            </w:r>
          </w:p>
        </w:tc>
      </w:tr>
      <w:tr>
        <w:tc>
          <w:tcPr>
            <w:tcW w:type="dxa" w:w="1440"/>
          </w:tcPr>
          <w:p>
            <w:r>
              <w:rPr>
                <w:rFonts w:ascii="Times New Roman" w:hAnsi="Times New Roman"/>
                <w:sz w:val="21"/>
              </w:rPr>
              <w:t>Tháng 4</w:t>
            </w:r>
          </w:p>
        </w:tc>
        <w:tc>
          <w:tcPr>
            <w:tcW w:type="dxa" w:w="1440"/>
          </w:tcPr>
          <w:p>
            <w:r>
              <w:rPr>
                <w:rFonts w:ascii="Times New Roman" w:hAnsi="Times New Roman"/>
                <w:sz w:val="21"/>
              </w:rPr>
              <w:t>7.625,9</w:t>
            </w:r>
          </w:p>
        </w:tc>
        <w:tc>
          <w:tcPr>
            <w:tcW w:type="dxa" w:w="1440"/>
          </w:tcPr>
          <w:p>
            <w:r>
              <w:rPr>
                <w:rFonts w:ascii="Times New Roman" w:hAnsi="Times New Roman"/>
                <w:sz w:val="21"/>
              </w:rPr>
              <w:t>95,3%</w:t>
            </w:r>
          </w:p>
        </w:tc>
        <w:tc>
          <w:tcPr>
            <w:tcW w:type="dxa" w:w="1440"/>
          </w:tcPr>
          <w:p>
            <w:r>
              <w:rPr>
                <w:rFonts w:ascii="Times New Roman" w:hAnsi="Times New Roman"/>
                <w:sz w:val="21"/>
              </w:rPr>
              <w:t>2.190,9</w:t>
            </w:r>
          </w:p>
        </w:tc>
        <w:tc>
          <w:tcPr>
            <w:tcW w:type="dxa" w:w="1440"/>
          </w:tcPr>
          <w:p>
            <w:r>
              <w:rPr>
                <w:rFonts w:ascii="Times New Roman" w:hAnsi="Times New Roman"/>
                <w:sz w:val="21"/>
              </w:rPr>
              <w:t>93,4%</w:t>
            </w:r>
          </w:p>
        </w:tc>
        <w:tc>
          <w:tcPr>
            <w:tcW w:type="dxa" w:w="1440"/>
          </w:tcPr>
          <w:p>
            <w:r>
              <w:rPr>
                <w:rFonts w:ascii="Times New Roman" w:hAnsi="Times New Roman"/>
                <w:sz w:val="21"/>
              </w:rPr>
              <w:t>Sản xuất ổn định đầu Quý 2</w:t>
            </w:r>
          </w:p>
        </w:tc>
      </w:tr>
      <w:tr>
        <w:tc>
          <w:tcPr>
            <w:tcW w:type="dxa" w:w="1440"/>
          </w:tcPr>
          <w:p>
            <w:r>
              <w:rPr>
                <w:rFonts w:ascii="Times New Roman" w:hAnsi="Times New Roman"/>
                <w:sz w:val="21"/>
              </w:rPr>
              <w:t>Tháng 5</w:t>
            </w:r>
          </w:p>
        </w:tc>
        <w:tc>
          <w:tcPr>
            <w:tcW w:type="dxa" w:w="1440"/>
          </w:tcPr>
          <w:p>
            <w:r>
              <w:rPr>
                <w:rFonts w:ascii="Times New Roman" w:hAnsi="Times New Roman"/>
                <w:sz w:val="21"/>
              </w:rPr>
              <w:t>7.676,8</w:t>
            </w:r>
          </w:p>
        </w:tc>
        <w:tc>
          <w:tcPr>
            <w:tcW w:type="dxa" w:w="1440"/>
          </w:tcPr>
          <w:p>
            <w:r>
              <w:rPr>
                <w:rFonts w:ascii="Times New Roman" w:hAnsi="Times New Roman"/>
                <w:sz w:val="21"/>
              </w:rPr>
              <w:t>96,0%</w:t>
            </w:r>
          </w:p>
        </w:tc>
        <w:tc>
          <w:tcPr>
            <w:tcW w:type="dxa" w:w="1440"/>
          </w:tcPr>
          <w:p>
            <w:r>
              <w:rPr>
                <w:rFonts w:ascii="Times New Roman" w:hAnsi="Times New Roman"/>
                <w:sz w:val="21"/>
              </w:rPr>
              <w:t>2.242,2</w:t>
            </w:r>
          </w:p>
        </w:tc>
        <w:tc>
          <w:tcPr>
            <w:tcW w:type="dxa" w:w="1440"/>
          </w:tcPr>
          <w:p>
            <w:r>
              <w:rPr>
                <w:rFonts w:ascii="Times New Roman" w:hAnsi="Times New Roman"/>
                <w:sz w:val="21"/>
              </w:rPr>
              <w:t>95,5%</w:t>
            </w:r>
          </w:p>
        </w:tc>
        <w:tc>
          <w:tcPr>
            <w:tcW w:type="dxa" w:w="1440"/>
          </w:tcPr>
          <w:p>
            <w:r>
              <w:rPr>
                <w:rFonts w:ascii="Times New Roman" w:hAnsi="Times New Roman"/>
                <w:sz w:val="21"/>
              </w:rPr>
              <w:t>Duy trì đà sản xuất nguyên phụ liệu</w:t>
            </w:r>
          </w:p>
        </w:tc>
      </w:tr>
      <w:tr>
        <w:tc>
          <w:tcPr>
            <w:tcW w:type="dxa" w:w="1440"/>
          </w:tcPr>
          <w:p>
            <w:r>
              <w:rPr>
                <w:rFonts w:ascii="Times New Roman" w:hAnsi="Times New Roman"/>
                <w:sz w:val="21"/>
              </w:rPr>
              <w:t>Tháng 6</w:t>
            </w:r>
          </w:p>
        </w:tc>
        <w:tc>
          <w:tcPr>
            <w:tcW w:type="dxa" w:w="1440"/>
          </w:tcPr>
          <w:p>
            <w:r>
              <w:rPr>
                <w:rFonts w:ascii="Times New Roman" w:hAnsi="Times New Roman"/>
                <w:sz w:val="21"/>
              </w:rPr>
              <w:t>7.786,0</w:t>
            </w:r>
          </w:p>
        </w:tc>
        <w:tc>
          <w:tcPr>
            <w:tcW w:type="dxa" w:w="1440"/>
          </w:tcPr>
          <w:p>
            <w:r>
              <w:rPr>
                <w:rFonts w:ascii="Times New Roman" w:hAnsi="Times New Roman"/>
                <w:sz w:val="21"/>
              </w:rPr>
              <w:t>97,3%</w:t>
            </w:r>
          </w:p>
        </w:tc>
        <w:tc>
          <w:tcPr>
            <w:tcW w:type="dxa" w:w="1440"/>
          </w:tcPr>
          <w:p>
            <w:r>
              <w:rPr>
                <w:rFonts w:ascii="Times New Roman" w:hAnsi="Times New Roman"/>
                <w:sz w:val="21"/>
              </w:rPr>
              <w:t>2.289,2</w:t>
            </w:r>
          </w:p>
        </w:tc>
        <w:tc>
          <w:tcPr>
            <w:tcW w:type="dxa" w:w="1440"/>
          </w:tcPr>
          <w:p>
            <w:r>
              <w:rPr>
                <w:rFonts w:ascii="Times New Roman" w:hAnsi="Times New Roman"/>
                <w:sz w:val="21"/>
              </w:rPr>
              <w:t>97,5%</w:t>
            </w:r>
          </w:p>
        </w:tc>
        <w:tc>
          <w:tcPr>
            <w:tcW w:type="dxa" w:w="1440"/>
          </w:tcPr>
          <w:p>
            <w:r>
              <w:rPr>
                <w:rFonts w:ascii="Times New Roman" w:hAnsi="Times New Roman"/>
                <w:sz w:val="21"/>
              </w:rPr>
              <w:t>Kết thúc chu kỳ nửa đầu năm</w:t>
            </w:r>
          </w:p>
        </w:tc>
      </w:tr>
      <w:tr>
        <w:tc>
          <w:tcPr>
            <w:tcW w:type="dxa" w:w="1440"/>
          </w:tcPr>
          <w:p>
            <w:r>
              <w:rPr>
                <w:rFonts w:ascii="Times New Roman" w:hAnsi="Times New Roman"/>
                <w:sz w:val="21"/>
              </w:rPr>
              <w:t>Tháng 7</w:t>
            </w:r>
          </w:p>
        </w:tc>
        <w:tc>
          <w:tcPr>
            <w:tcW w:type="dxa" w:w="1440"/>
          </w:tcPr>
          <w:p>
            <w:r>
              <w:rPr>
                <w:rFonts w:ascii="Times New Roman" w:hAnsi="Times New Roman"/>
                <w:sz w:val="21"/>
              </w:rPr>
              <w:t>7.814,7</w:t>
            </w:r>
          </w:p>
        </w:tc>
        <w:tc>
          <w:tcPr>
            <w:tcW w:type="dxa" w:w="1440"/>
          </w:tcPr>
          <w:p>
            <w:r>
              <w:rPr>
                <w:rFonts w:ascii="Times New Roman" w:hAnsi="Times New Roman"/>
                <w:sz w:val="21"/>
              </w:rPr>
              <w:t>97,7%</w:t>
            </w:r>
          </w:p>
        </w:tc>
        <w:tc>
          <w:tcPr>
            <w:tcW w:type="dxa" w:w="1440"/>
          </w:tcPr>
          <w:p>
            <w:r>
              <w:rPr>
                <w:rFonts w:ascii="Times New Roman" w:hAnsi="Times New Roman"/>
                <w:sz w:val="21"/>
              </w:rPr>
              <w:t>2.250,4</w:t>
            </w:r>
          </w:p>
        </w:tc>
        <w:tc>
          <w:tcPr>
            <w:tcW w:type="dxa" w:w="1440"/>
          </w:tcPr>
          <w:p>
            <w:r>
              <w:rPr>
                <w:rFonts w:ascii="Times New Roman" w:hAnsi="Times New Roman"/>
                <w:sz w:val="21"/>
              </w:rPr>
              <w:t>95,9%</w:t>
            </w:r>
          </w:p>
        </w:tc>
        <w:tc>
          <w:tcPr>
            <w:tcW w:type="dxa" w:w="1440"/>
          </w:tcPr>
          <w:p>
            <w:r>
              <w:rPr>
                <w:rFonts w:ascii="Times New Roman" w:hAnsi="Times New Roman"/>
                <w:sz w:val="21"/>
              </w:rPr>
              <w:t>Bắt đầu nhận đơn hàng xuất khẩu cuối năm</w:t>
            </w:r>
          </w:p>
        </w:tc>
      </w:tr>
      <w:tr>
        <w:tc>
          <w:tcPr>
            <w:tcW w:type="dxa" w:w="1440"/>
          </w:tcPr>
          <w:p>
            <w:r>
              <w:rPr>
                <w:rFonts w:ascii="Times New Roman" w:hAnsi="Times New Roman"/>
                <w:sz w:val="21"/>
              </w:rPr>
              <w:t>Tháng 8</w:t>
            </w:r>
          </w:p>
        </w:tc>
        <w:tc>
          <w:tcPr>
            <w:tcW w:type="dxa" w:w="1440"/>
          </w:tcPr>
          <w:p>
            <w:r>
              <w:rPr>
                <w:rFonts w:ascii="Times New Roman" w:hAnsi="Times New Roman"/>
                <w:sz w:val="21"/>
              </w:rPr>
              <w:t>8.979,1</w:t>
            </w:r>
          </w:p>
        </w:tc>
        <w:tc>
          <w:tcPr>
            <w:tcW w:type="dxa" w:w="1440"/>
          </w:tcPr>
          <w:p>
            <w:r>
              <w:rPr>
                <w:rFonts w:ascii="Times New Roman" w:hAnsi="Times New Roman"/>
                <w:sz w:val="21"/>
              </w:rPr>
              <w:t>112,2%</w:t>
            </w:r>
          </w:p>
        </w:tc>
        <w:tc>
          <w:tcPr>
            <w:tcW w:type="dxa" w:w="1440"/>
          </w:tcPr>
          <w:p>
            <w:r>
              <w:rPr>
                <w:rFonts w:ascii="Times New Roman" w:hAnsi="Times New Roman"/>
                <w:sz w:val="21"/>
              </w:rPr>
              <w:t>2.506,2</w:t>
            </w:r>
          </w:p>
        </w:tc>
        <w:tc>
          <w:tcPr>
            <w:tcW w:type="dxa" w:w="1440"/>
          </w:tcPr>
          <w:p>
            <w:r>
              <w:rPr>
                <w:rFonts w:ascii="Times New Roman" w:hAnsi="Times New Roman"/>
                <w:sz w:val="21"/>
              </w:rPr>
              <w:t>106,8%</w:t>
            </w:r>
          </w:p>
        </w:tc>
        <w:tc>
          <w:tcPr>
            <w:tcW w:type="dxa" w:w="1440"/>
          </w:tcPr>
          <w:p>
            <w:r>
              <w:rPr>
                <w:rFonts w:ascii="Times New Roman" w:hAnsi="Times New Roman"/>
                <w:sz w:val="21"/>
              </w:rPr>
              <w:t>▲ Cao điểm xuất hàng điện tử và dệt may</w:t>
            </w:r>
          </w:p>
        </w:tc>
      </w:tr>
      <w:tr>
        <w:tc>
          <w:tcPr>
            <w:tcW w:type="dxa" w:w="1440"/>
          </w:tcPr>
          <w:p>
            <w:r>
              <w:rPr>
                <w:rFonts w:ascii="Times New Roman" w:hAnsi="Times New Roman"/>
                <w:sz w:val="21"/>
              </w:rPr>
              <w:t>Tháng 9</w:t>
            </w:r>
          </w:p>
        </w:tc>
        <w:tc>
          <w:tcPr>
            <w:tcW w:type="dxa" w:w="1440"/>
          </w:tcPr>
          <w:p>
            <w:r>
              <w:rPr>
                <w:rFonts w:ascii="Times New Roman" w:hAnsi="Times New Roman"/>
                <w:sz w:val="21"/>
              </w:rPr>
              <w:t>8.742,4</w:t>
            </w:r>
          </w:p>
        </w:tc>
        <w:tc>
          <w:tcPr>
            <w:tcW w:type="dxa" w:w="1440"/>
          </w:tcPr>
          <w:p>
            <w:r>
              <w:rPr>
                <w:rFonts w:ascii="Times New Roman" w:hAnsi="Times New Roman"/>
                <w:sz w:val="21"/>
              </w:rPr>
              <w:t>109,3%</w:t>
            </w:r>
          </w:p>
        </w:tc>
        <w:tc>
          <w:tcPr>
            <w:tcW w:type="dxa" w:w="1440"/>
          </w:tcPr>
          <w:p>
            <w:r>
              <w:rPr>
                <w:rFonts w:ascii="Times New Roman" w:hAnsi="Times New Roman"/>
                <w:sz w:val="21"/>
              </w:rPr>
              <w:t>2.399,3</w:t>
            </w:r>
          </w:p>
        </w:tc>
        <w:tc>
          <w:tcPr>
            <w:tcW w:type="dxa" w:w="1440"/>
          </w:tcPr>
          <w:p>
            <w:r>
              <w:rPr>
                <w:rFonts w:ascii="Times New Roman" w:hAnsi="Times New Roman"/>
                <w:sz w:val="21"/>
              </w:rPr>
              <w:t>102,2%</w:t>
            </w:r>
          </w:p>
        </w:tc>
        <w:tc>
          <w:tcPr>
            <w:tcW w:type="dxa" w:w="1440"/>
          </w:tcPr>
          <w:p>
            <w:r>
              <w:rPr>
                <w:rFonts w:ascii="Times New Roman" w:hAnsi="Times New Roman"/>
                <w:sz w:val="21"/>
              </w:rPr>
              <w:t>▲ Cao điểm giao hàng phục vụ thị trường Âu - Mỹ</w:t>
            </w:r>
          </w:p>
        </w:tc>
      </w:tr>
      <w:tr>
        <w:tc>
          <w:tcPr>
            <w:tcW w:type="dxa" w:w="1440"/>
          </w:tcPr>
          <w:p>
            <w:r>
              <w:rPr>
                <w:rFonts w:ascii="Times New Roman" w:hAnsi="Times New Roman"/>
                <w:sz w:val="21"/>
              </w:rPr>
              <w:t>Tháng 10</w:t>
            </w:r>
          </w:p>
        </w:tc>
        <w:tc>
          <w:tcPr>
            <w:tcW w:type="dxa" w:w="1440"/>
          </w:tcPr>
          <w:p>
            <w:r>
              <w:rPr>
                <w:rFonts w:ascii="Times New Roman" w:hAnsi="Times New Roman"/>
                <w:sz w:val="21"/>
              </w:rPr>
              <w:t>8.556,9</w:t>
            </w:r>
          </w:p>
        </w:tc>
        <w:tc>
          <w:tcPr>
            <w:tcW w:type="dxa" w:w="1440"/>
          </w:tcPr>
          <w:p>
            <w:r>
              <w:rPr>
                <w:rFonts w:ascii="Times New Roman" w:hAnsi="Times New Roman"/>
                <w:sz w:val="21"/>
              </w:rPr>
              <w:t>107,0%</w:t>
            </w:r>
          </w:p>
        </w:tc>
        <w:tc>
          <w:tcPr>
            <w:tcW w:type="dxa" w:w="1440"/>
          </w:tcPr>
          <w:p>
            <w:r>
              <w:rPr>
                <w:rFonts w:ascii="Times New Roman" w:hAnsi="Times New Roman"/>
                <w:sz w:val="21"/>
              </w:rPr>
              <w:t>2.477,9</w:t>
            </w:r>
          </w:p>
        </w:tc>
        <w:tc>
          <w:tcPr>
            <w:tcW w:type="dxa" w:w="1440"/>
          </w:tcPr>
          <w:p>
            <w:r>
              <w:rPr>
                <w:rFonts w:ascii="Times New Roman" w:hAnsi="Times New Roman"/>
                <w:sz w:val="21"/>
              </w:rPr>
              <w:t>105,6%</w:t>
            </w:r>
          </w:p>
        </w:tc>
        <w:tc>
          <w:tcPr>
            <w:tcW w:type="dxa" w:w="1440"/>
          </w:tcPr>
          <w:p>
            <w:r>
              <w:rPr>
                <w:rFonts w:ascii="Times New Roman" w:hAnsi="Times New Roman"/>
                <w:sz w:val="21"/>
              </w:rPr>
              <w:t>▲ Duy trì xuất khẩu đơn hàng mùa Giáng sinh</w:t>
            </w:r>
          </w:p>
        </w:tc>
      </w:tr>
      <w:tr>
        <w:tc>
          <w:tcPr>
            <w:tcW w:type="dxa" w:w="1440"/>
          </w:tcPr>
          <w:p>
            <w:r>
              <w:rPr>
                <w:rFonts w:ascii="Times New Roman" w:hAnsi="Times New Roman"/>
                <w:sz w:val="21"/>
              </w:rPr>
              <w:t>Tháng 11</w:t>
            </w:r>
          </w:p>
        </w:tc>
        <w:tc>
          <w:tcPr>
            <w:tcW w:type="dxa" w:w="1440"/>
          </w:tcPr>
          <w:p>
            <w:r>
              <w:rPr>
                <w:rFonts w:ascii="Times New Roman" w:hAnsi="Times New Roman"/>
                <w:sz w:val="21"/>
              </w:rPr>
              <w:t>8.204,7</w:t>
            </w:r>
          </w:p>
        </w:tc>
        <w:tc>
          <w:tcPr>
            <w:tcW w:type="dxa" w:w="1440"/>
          </w:tcPr>
          <w:p>
            <w:r>
              <w:rPr>
                <w:rFonts w:ascii="Times New Roman" w:hAnsi="Times New Roman"/>
                <w:sz w:val="21"/>
              </w:rPr>
              <w:t>102,5%</w:t>
            </w:r>
          </w:p>
        </w:tc>
        <w:tc>
          <w:tcPr>
            <w:tcW w:type="dxa" w:w="1440"/>
          </w:tcPr>
          <w:p>
            <w:r>
              <w:rPr>
                <w:rFonts w:ascii="Times New Roman" w:hAnsi="Times New Roman"/>
                <w:sz w:val="21"/>
              </w:rPr>
              <w:t>2.555,5</w:t>
            </w:r>
          </w:p>
        </w:tc>
        <w:tc>
          <w:tcPr>
            <w:tcW w:type="dxa" w:w="1440"/>
          </w:tcPr>
          <w:p>
            <w:r>
              <w:rPr>
                <w:rFonts w:ascii="Times New Roman" w:hAnsi="Times New Roman"/>
                <w:sz w:val="21"/>
              </w:rPr>
              <w:t>108,9%</w:t>
            </w:r>
          </w:p>
        </w:tc>
        <w:tc>
          <w:tcPr>
            <w:tcW w:type="dxa" w:w="1440"/>
          </w:tcPr>
          <w:p>
            <w:r>
              <w:rPr>
                <w:rFonts w:ascii="Times New Roman" w:hAnsi="Times New Roman"/>
                <w:sz w:val="21"/>
              </w:rPr>
              <w:t>Gia tăng nhập khẩu nguyên liệu cuối năm</w:t>
            </w:r>
          </w:p>
        </w:tc>
      </w:tr>
      <w:tr>
        <w:tc>
          <w:tcPr>
            <w:tcW w:type="dxa" w:w="1440"/>
          </w:tcPr>
          <w:p>
            <w:r>
              <w:rPr>
                <w:rFonts w:ascii="Times New Roman" w:hAnsi="Times New Roman"/>
                <w:sz w:val="21"/>
              </w:rPr>
              <w:t>Tháng 12</w:t>
            </w:r>
          </w:p>
        </w:tc>
        <w:tc>
          <w:tcPr>
            <w:tcW w:type="dxa" w:w="1440"/>
          </w:tcPr>
          <w:p>
            <w:r>
              <w:rPr>
                <w:rFonts w:ascii="Times New Roman" w:hAnsi="Times New Roman"/>
                <w:sz w:val="21"/>
              </w:rPr>
              <w:t>7.883,1</w:t>
            </w:r>
          </w:p>
        </w:tc>
        <w:tc>
          <w:tcPr>
            <w:tcW w:type="dxa" w:w="1440"/>
          </w:tcPr>
          <w:p>
            <w:r>
              <w:rPr>
                <w:rFonts w:ascii="Times New Roman" w:hAnsi="Times New Roman"/>
                <w:sz w:val="21"/>
              </w:rPr>
              <w:t>98,5%</w:t>
            </w:r>
          </w:p>
        </w:tc>
        <w:tc>
          <w:tcPr>
            <w:tcW w:type="dxa" w:w="1440"/>
          </w:tcPr>
          <w:p>
            <w:r>
              <w:rPr>
                <w:rFonts w:ascii="Times New Roman" w:hAnsi="Times New Roman"/>
                <w:sz w:val="21"/>
              </w:rPr>
              <w:t>2.702,2</w:t>
            </w:r>
          </w:p>
        </w:tc>
        <w:tc>
          <w:tcPr>
            <w:tcW w:type="dxa" w:w="1440"/>
          </w:tcPr>
          <w:p>
            <w:r>
              <w:rPr>
                <w:rFonts w:ascii="Times New Roman" w:hAnsi="Times New Roman"/>
                <w:sz w:val="21"/>
              </w:rPr>
              <w:t>115,1%</w:t>
            </w:r>
          </w:p>
        </w:tc>
        <w:tc>
          <w:tcPr>
            <w:tcW w:type="dxa" w:w="1440"/>
          </w:tcPr>
          <w:p>
            <w:r>
              <w:rPr>
                <w:rFonts w:ascii="Times New Roman" w:hAnsi="Times New Roman"/>
                <w:sz w:val="21"/>
              </w:rPr>
              <w:t>▲ Đỉnh điểm nhập khẩu phục vụ tiêu dùng Tết</w:t>
            </w:r>
          </w:p>
        </w:tc>
      </w:tr>
    </w:tbl>
    <w:p>
      <w:pPr>
        <w:spacing w:before="120"/>
      </w:pPr>
    </w:p>
    <w:p>
      <w:r>
        <w:rPr>
          <w:b/>
        </w:rPr>
        <w:t xml:space="preserve">Ý nghĩa thực tiễn: </w:t>
      </w:r>
      <w:r>
        <w:t xml:space="preserve">Doanh nghiệp logistics và hải quan cần bố trí năng lực thông quan cao nhất vào </w:t>
      </w:r>
      <w:r>
        <w:rPr>
          <w:b/>
        </w:rPr>
        <w:t>Quý 3 và đầu Quý 4 (Tháng 8 - 10 đối với xuất khẩu và Tháng 11 - 12 đối với nhập khẩu)</w:t>
      </w:r>
      <w:r>
        <w:t>, đồng thời chủ động điều phối kế hoạch vận chuyển tránh đứt gãy cục bộ vào Tháng 2 hàng năm.</w:t>
      </w:r>
    </w:p>
    <w:p>
      <w:pPr>
        <w:pStyle w:val="Heading2"/>
      </w:pPr>
      <w:r>
        <w:t>4.3. Báo cáo 3: Bức tranh cán cân thương mại song phương (2015–2023)</w:t>
      </w:r>
    </w:p>
    <w:p>
      <w:r>
        <w:tab/>
        <w:t xml:space="preserve">Dữ liệu từ bảng </w:t>
      </w:r>
      <w:r>
        <w:rPr>
          <w:b/>
        </w:rPr>
        <w:t>MART_TRADE_BALANCE</w:t>
      </w:r>
      <w:r>
        <w:t xml:space="preserve"> làm rõ sự tương phản sâu sắc trong cán cân thương mại của Việt Nam với các đối tác lớn trong 9 năm: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6EEF8"/>
          </w:tcPr>
          <w:p>
            <w:pPr>
              <w:jc w:val="center"/>
            </w:pPr>
            <w:r>
              <w:rPr>
                <w:rFonts w:ascii="Times New Roman" w:hAnsi="Times New Roman"/>
                <w:b/>
                <w:sz w:val="21"/>
              </w:rPr>
              <w:t>Đối tác thương mại</w:t>
            </w:r>
          </w:p>
        </w:tc>
        <w:tc>
          <w:tcPr>
            <w:tcW w:type="dxa" w:w="1728"/>
            <w:shd w:fill="E6EEF8"/>
          </w:tcPr>
          <w:p>
            <w:pPr>
              <w:jc w:val="center"/>
            </w:pPr>
            <w:r>
              <w:rPr>
                <w:rFonts w:ascii="Times New Roman" w:hAnsi="Times New Roman"/>
                <w:b/>
                <w:sz w:val="21"/>
              </w:rPr>
              <w:t>Tổng Xuất khẩu (Tỷ USD)</w:t>
            </w:r>
          </w:p>
        </w:tc>
        <w:tc>
          <w:tcPr>
            <w:tcW w:type="dxa" w:w="1728"/>
            <w:shd w:fill="E6EEF8"/>
          </w:tcPr>
          <w:p>
            <w:pPr>
              <w:jc w:val="center"/>
            </w:pPr>
            <w:r>
              <w:rPr>
                <w:rFonts w:ascii="Times New Roman" w:hAnsi="Times New Roman"/>
                <w:b/>
                <w:sz w:val="21"/>
              </w:rPr>
              <w:t>Tổng Nhập khẩu (Tỷ USD)</w:t>
            </w:r>
          </w:p>
        </w:tc>
        <w:tc>
          <w:tcPr>
            <w:tcW w:type="dxa" w:w="1728"/>
            <w:shd w:fill="E6EEF8"/>
          </w:tcPr>
          <w:p>
            <w:pPr>
              <w:jc w:val="center"/>
            </w:pPr>
            <w:r>
              <w:rPr>
                <w:rFonts w:ascii="Times New Roman" w:hAnsi="Times New Roman"/>
                <w:b/>
                <w:sz w:val="21"/>
              </w:rPr>
              <w:t>Cán cân ròng (Tỷ USD)</w:t>
            </w:r>
          </w:p>
        </w:tc>
        <w:tc>
          <w:tcPr>
            <w:tcW w:type="dxa" w:w="1728"/>
            <w:shd w:fill="E6EEF8"/>
          </w:tcPr>
          <w:p>
            <w:pPr>
              <w:jc w:val="center"/>
            </w:pPr>
            <w:r>
              <w:rPr>
                <w:rFonts w:ascii="Times New Roman" w:hAnsi="Times New Roman"/>
                <w:b/>
                <w:sz w:val="21"/>
              </w:rPr>
              <w:t>Trạng thái &amp; Vai trò chiến lược</w:t>
            </w:r>
          </w:p>
        </w:tc>
      </w:tr>
      <w:tr>
        <w:tc>
          <w:tcPr>
            <w:tcW w:type="dxa" w:w="1728"/>
          </w:tcPr>
          <w:p>
            <w:r>
              <w:rPr>
                <w:rFonts w:ascii="Times New Roman" w:hAnsi="Times New Roman"/>
                <w:sz w:val="21"/>
              </w:rPr>
              <w:t>Hoa Kỳ (USA)</w:t>
            </w:r>
          </w:p>
        </w:tc>
        <w:tc>
          <w:tcPr>
            <w:tcW w:type="dxa" w:w="1728"/>
          </w:tcPr>
          <w:p>
            <w:r>
              <w:rPr>
                <w:rFonts w:ascii="Times New Roman" w:hAnsi="Times New Roman"/>
                <w:sz w:val="21"/>
              </w:rPr>
              <w:t>145,46 tỷ USD</w:t>
            </w:r>
          </w:p>
        </w:tc>
        <w:tc>
          <w:tcPr>
            <w:tcW w:type="dxa" w:w="1728"/>
          </w:tcPr>
          <w:p>
            <w:r>
              <w:rPr>
                <w:rFonts w:ascii="Times New Roman" w:hAnsi="Times New Roman"/>
                <w:sz w:val="21"/>
              </w:rPr>
              <w:t>30,06 tỷ USD</w:t>
            </w:r>
          </w:p>
        </w:tc>
        <w:tc>
          <w:tcPr>
            <w:tcW w:type="dxa" w:w="1728"/>
          </w:tcPr>
          <w:p>
            <w:r>
              <w:rPr>
                <w:rFonts w:ascii="Times New Roman" w:hAnsi="Times New Roman"/>
                <w:sz w:val="21"/>
              </w:rPr>
              <w:t>+115,40 tỷ USD</w:t>
            </w:r>
          </w:p>
        </w:tc>
        <w:tc>
          <w:tcPr>
            <w:tcW w:type="dxa" w:w="1728"/>
          </w:tcPr>
          <w:p>
            <w:r>
              <w:rPr>
                <w:rFonts w:ascii="Times New Roman" w:hAnsi="Times New Roman"/>
                <w:sz w:val="21"/>
              </w:rPr>
              <w:t>🟢 Siêu thặng dư — Thị trường tiêu thụ xuất khẩu số 1</w:t>
            </w:r>
          </w:p>
        </w:tc>
      </w:tr>
      <w:tr>
        <w:tc>
          <w:tcPr>
            <w:tcW w:type="dxa" w:w="1728"/>
          </w:tcPr>
          <w:p>
            <w:r>
              <w:rPr>
                <w:rFonts w:ascii="Times New Roman" w:hAnsi="Times New Roman"/>
                <w:sz w:val="21"/>
              </w:rPr>
              <w:t>Trung Quốc (China)</w:t>
            </w:r>
          </w:p>
        </w:tc>
        <w:tc>
          <w:tcPr>
            <w:tcW w:type="dxa" w:w="1728"/>
          </w:tcPr>
          <w:p>
            <w:r>
              <w:rPr>
                <w:rFonts w:ascii="Times New Roman" w:hAnsi="Times New Roman"/>
                <w:sz w:val="21"/>
              </w:rPr>
              <w:t>70,83 tỷ USD</w:t>
            </w:r>
          </w:p>
        </w:tc>
        <w:tc>
          <w:tcPr>
            <w:tcW w:type="dxa" w:w="1728"/>
          </w:tcPr>
          <w:p>
            <w:r>
              <w:rPr>
                <w:rFonts w:ascii="Times New Roman" w:hAnsi="Times New Roman"/>
                <w:sz w:val="21"/>
              </w:rPr>
              <w:t>40,48 tỷ USD</w:t>
            </w:r>
          </w:p>
        </w:tc>
        <w:tc>
          <w:tcPr>
            <w:tcW w:type="dxa" w:w="1728"/>
          </w:tcPr>
          <w:p>
            <w:r>
              <w:rPr>
                <w:rFonts w:ascii="Times New Roman" w:hAnsi="Times New Roman"/>
                <w:sz w:val="21"/>
              </w:rPr>
              <w:t>+30,35 tỷ USD</w:t>
            </w:r>
          </w:p>
        </w:tc>
        <w:tc>
          <w:tcPr>
            <w:tcW w:type="dxa" w:w="1728"/>
          </w:tcPr>
          <w:p>
            <w:r>
              <w:rPr>
                <w:rFonts w:ascii="Times New Roman" w:hAnsi="Times New Roman"/>
                <w:sz w:val="21"/>
              </w:rPr>
              <w:t>🟢 Thặng dư theo danh mục HS trọng điểm khảo sát</w:t>
            </w:r>
          </w:p>
        </w:tc>
      </w:tr>
      <w:tr>
        <w:tc>
          <w:tcPr>
            <w:tcW w:type="dxa" w:w="1728"/>
          </w:tcPr>
          <w:p>
            <w:r>
              <w:rPr>
                <w:rFonts w:ascii="Times New Roman" w:hAnsi="Times New Roman"/>
                <w:sz w:val="21"/>
              </w:rPr>
              <w:t>Đức (Germany)</w:t>
            </w:r>
          </w:p>
        </w:tc>
        <w:tc>
          <w:tcPr>
            <w:tcW w:type="dxa" w:w="1728"/>
          </w:tcPr>
          <w:p>
            <w:r>
              <w:rPr>
                <w:rFonts w:ascii="Times New Roman" w:hAnsi="Times New Roman"/>
                <w:sz w:val="21"/>
              </w:rPr>
              <w:t>23,44 tỷ USD</w:t>
            </w:r>
          </w:p>
        </w:tc>
        <w:tc>
          <w:tcPr>
            <w:tcW w:type="dxa" w:w="1728"/>
          </w:tcPr>
          <w:p>
            <w:r>
              <w:rPr>
                <w:rFonts w:ascii="Times New Roman" w:hAnsi="Times New Roman"/>
                <w:sz w:val="21"/>
              </w:rPr>
              <w:t>0,34 tỷ USD</w:t>
            </w:r>
          </w:p>
        </w:tc>
        <w:tc>
          <w:tcPr>
            <w:tcW w:type="dxa" w:w="1728"/>
          </w:tcPr>
          <w:p>
            <w:r>
              <w:rPr>
                <w:rFonts w:ascii="Times New Roman" w:hAnsi="Times New Roman"/>
                <w:sz w:val="21"/>
              </w:rPr>
              <w:t>+23,10 tỷ USD</w:t>
            </w:r>
          </w:p>
        </w:tc>
        <w:tc>
          <w:tcPr>
            <w:tcW w:type="dxa" w:w="1728"/>
          </w:tcPr>
          <w:p>
            <w:r>
              <w:rPr>
                <w:rFonts w:ascii="Times New Roman" w:hAnsi="Times New Roman"/>
                <w:sz w:val="21"/>
              </w:rPr>
              <w:t>🟢 Thặng dư cao — Cửa ngõ thâm nhập thị trường EU qua EVFTA</w:t>
            </w:r>
          </w:p>
        </w:tc>
      </w:tr>
      <w:tr>
        <w:tc>
          <w:tcPr>
            <w:tcW w:type="dxa" w:w="1728"/>
          </w:tcPr>
          <w:p>
            <w:r>
              <w:rPr>
                <w:rFonts w:ascii="Times New Roman" w:hAnsi="Times New Roman"/>
                <w:sz w:val="21"/>
              </w:rPr>
              <w:t>Nhật Bản (Japan)</w:t>
            </w:r>
          </w:p>
        </w:tc>
        <w:tc>
          <w:tcPr>
            <w:tcW w:type="dxa" w:w="1728"/>
          </w:tcPr>
          <w:p>
            <w:r>
              <w:rPr>
                <w:rFonts w:ascii="Times New Roman" w:hAnsi="Times New Roman"/>
                <w:sz w:val="21"/>
              </w:rPr>
              <w:t>15,41 tỷ USD</w:t>
            </w:r>
          </w:p>
        </w:tc>
        <w:tc>
          <w:tcPr>
            <w:tcW w:type="dxa" w:w="1728"/>
          </w:tcPr>
          <w:p>
            <w:r>
              <w:rPr>
                <w:rFonts w:ascii="Times New Roman" w:hAnsi="Times New Roman"/>
                <w:sz w:val="21"/>
              </w:rPr>
              <w:t>6,51 tỷ USD</w:t>
            </w:r>
          </w:p>
        </w:tc>
        <w:tc>
          <w:tcPr>
            <w:tcW w:type="dxa" w:w="1728"/>
          </w:tcPr>
          <w:p>
            <w:r>
              <w:rPr>
                <w:rFonts w:ascii="Times New Roman" w:hAnsi="Times New Roman"/>
                <w:sz w:val="21"/>
              </w:rPr>
              <w:t>+8,90 tỷ USD</w:t>
            </w:r>
          </w:p>
        </w:tc>
        <w:tc>
          <w:tcPr>
            <w:tcW w:type="dxa" w:w="1728"/>
          </w:tcPr>
          <w:p>
            <w:r>
              <w:rPr>
                <w:rFonts w:ascii="Times New Roman" w:hAnsi="Times New Roman"/>
                <w:sz w:val="21"/>
              </w:rPr>
              <w:t>🟢 Thặng dư ổn định — Đối tác thương mại bền vững</w:t>
            </w:r>
          </w:p>
        </w:tc>
      </w:tr>
      <w:tr>
        <w:tc>
          <w:tcPr>
            <w:tcW w:type="dxa" w:w="1728"/>
          </w:tcPr>
          <w:p>
            <w:r>
              <w:rPr>
                <w:rFonts w:ascii="Times New Roman" w:hAnsi="Times New Roman"/>
                <w:sz w:val="21"/>
              </w:rPr>
              <w:t>Hàn Quốc (Korea)</w:t>
            </w:r>
          </w:p>
        </w:tc>
        <w:tc>
          <w:tcPr>
            <w:tcW w:type="dxa" w:w="1728"/>
          </w:tcPr>
          <w:p>
            <w:r>
              <w:rPr>
                <w:rFonts w:ascii="Times New Roman" w:hAnsi="Times New Roman"/>
                <w:sz w:val="21"/>
              </w:rPr>
              <w:t>18,14 tỷ USD</w:t>
            </w:r>
          </w:p>
        </w:tc>
        <w:tc>
          <w:tcPr>
            <w:tcW w:type="dxa" w:w="1728"/>
          </w:tcPr>
          <w:p>
            <w:r>
              <w:rPr>
                <w:rFonts w:ascii="Times New Roman" w:hAnsi="Times New Roman"/>
                <w:sz w:val="21"/>
              </w:rPr>
              <w:t>20,18 tỷ USD</w:t>
            </w:r>
          </w:p>
        </w:tc>
        <w:tc>
          <w:tcPr>
            <w:tcW w:type="dxa" w:w="1728"/>
          </w:tcPr>
          <w:p>
            <w:r>
              <w:rPr>
                <w:rFonts w:ascii="Times New Roman" w:hAnsi="Times New Roman"/>
                <w:sz w:val="21"/>
              </w:rPr>
              <w:t>-2,05 tỷ USD</w:t>
            </w:r>
          </w:p>
        </w:tc>
        <w:tc>
          <w:tcPr>
            <w:tcW w:type="dxa" w:w="1728"/>
          </w:tcPr>
          <w:p>
            <w:r>
              <w:rPr>
                <w:rFonts w:ascii="Times New Roman" w:hAnsi="Times New Roman"/>
                <w:sz w:val="21"/>
              </w:rPr>
              <w:t>🔴 Thâm hụt nhẹ — Nhập siêu lớn linh kiện điện tử bán dẫn</w:t>
            </w:r>
          </w:p>
        </w:tc>
      </w:tr>
    </w:tbl>
    <w:p>
      <w:pPr>
        <w:pStyle w:val="Heading1"/>
      </w:pPr>
      <w:r>
        <w:t>5. Tuân thủ Nội quy Quản trị Kho dữ liệu (DW_USAGE_RULE)</w:t>
      </w:r>
    </w:p>
    <w:p>
      <w:r>
        <w:tab/>
        <w:t xml:space="preserve">Toàn bộ 17 truy vấn trong script </w:t>
      </w:r>
      <w:r>
        <w:rPr>
          <w:b/>
        </w:rPr>
        <w:t>06_olap_queries.sql</w:t>
      </w:r>
      <w:r>
        <w:t xml:space="preserve"> và các Data Mart được lập trình tuân thủ nghiêm ngặt 5 điều luật quản trị kho lưu trữ trong bảng </w:t>
      </w:r>
      <w:r>
        <w:rPr>
          <w:b/>
        </w:rPr>
        <w:t>DW_USAGE_RULE</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6EEF8"/>
          </w:tcPr>
          <w:p>
            <w:pPr>
              <w:jc w:val="center"/>
            </w:pPr>
            <w:r>
              <w:rPr>
                <w:rFonts w:ascii="Times New Roman" w:hAnsi="Times New Roman"/>
                <w:b/>
                <w:sz w:val="21"/>
              </w:rPr>
              <w:t>Mã Luật</w:t>
            </w:r>
          </w:p>
        </w:tc>
        <w:tc>
          <w:tcPr>
            <w:tcW w:type="dxa" w:w="2160"/>
            <w:shd w:fill="E6EEF8"/>
          </w:tcPr>
          <w:p>
            <w:pPr>
              <w:jc w:val="center"/>
            </w:pPr>
            <w:r>
              <w:rPr>
                <w:rFonts w:ascii="Times New Roman" w:hAnsi="Times New Roman"/>
                <w:b/>
                <w:sz w:val="21"/>
              </w:rPr>
              <w:t>Đối tượng áp dụng</w:t>
            </w:r>
          </w:p>
        </w:tc>
        <w:tc>
          <w:tcPr>
            <w:tcW w:type="dxa" w:w="2160"/>
            <w:shd w:fill="E6EEF8"/>
          </w:tcPr>
          <w:p>
            <w:pPr>
              <w:jc w:val="center"/>
            </w:pPr>
            <w:r>
              <w:rPr>
                <w:rFonts w:ascii="Times New Roman" w:hAnsi="Times New Roman"/>
                <w:b/>
                <w:sz w:val="21"/>
              </w:rPr>
              <w:t>Quy định quản trị (Enforcement)</w:t>
            </w:r>
          </w:p>
        </w:tc>
        <w:tc>
          <w:tcPr>
            <w:tcW w:type="dxa" w:w="2160"/>
            <w:shd w:fill="E6EEF8"/>
          </w:tcPr>
          <w:p>
            <w:pPr>
              <w:jc w:val="center"/>
            </w:pPr>
            <w:r>
              <w:rPr>
                <w:rFonts w:ascii="Times New Roman" w:hAnsi="Times New Roman"/>
                <w:b/>
                <w:sz w:val="21"/>
              </w:rPr>
              <w:t>Trạng thái tuân thủ trong Tuần 8</w:t>
            </w:r>
          </w:p>
        </w:tc>
      </w:tr>
      <w:tr>
        <w:tc>
          <w:tcPr>
            <w:tcW w:type="dxa" w:w="2160"/>
          </w:tcPr>
          <w:p>
            <w:r>
              <w:rPr>
                <w:rFonts w:ascii="Times New Roman" w:hAnsi="Times New Roman"/>
                <w:sz w:val="21"/>
              </w:rPr>
              <w:t>R1</w:t>
            </w:r>
          </w:p>
        </w:tc>
        <w:tc>
          <w:tcPr>
            <w:tcW w:type="dxa" w:w="2160"/>
          </w:tcPr>
          <w:p>
            <w:r>
              <w:rPr>
                <w:rFonts w:ascii="Times New Roman" w:hAnsi="Times New Roman"/>
                <w:sz w:val="21"/>
              </w:rPr>
              <w:t>FACT_TRADE.qty</w:t>
            </w:r>
          </w:p>
        </w:tc>
        <w:tc>
          <w:tcPr>
            <w:tcW w:type="dxa" w:w="2160"/>
          </w:tcPr>
          <w:p>
            <w:r>
              <w:rPr>
                <w:rFonts w:ascii="Times New Roman" w:hAnsi="Times New Roman"/>
                <w:sz w:val="21"/>
              </w:rPr>
              <w:t>Tuyệt đối cấm SUM(qty) do khác biệt đơn vị đo giữa các mã HS6 (cái, kg, mét, tấn).</w:t>
            </w:r>
          </w:p>
        </w:tc>
        <w:tc>
          <w:tcPr>
            <w:tcW w:type="dxa" w:w="2160"/>
          </w:tcPr>
          <w:p>
            <w:r>
              <w:rPr>
                <w:rFonts w:ascii="Times New Roman" w:hAnsi="Times New Roman"/>
                <w:sz w:val="21"/>
              </w:rPr>
              <w:t>✅ TUÂN THỦ 100%: Bộ truy vấn chỉ SUM primary_value_usd hoặc net_wgt_kg.</w:t>
            </w:r>
          </w:p>
        </w:tc>
      </w:tr>
      <w:tr>
        <w:tc>
          <w:tcPr>
            <w:tcW w:type="dxa" w:w="2160"/>
          </w:tcPr>
          <w:p>
            <w:r>
              <w:rPr>
                <w:rFonts w:ascii="Times New Roman" w:hAnsi="Times New Roman"/>
                <w:sz w:val="21"/>
              </w:rPr>
              <w:t>R2</w:t>
            </w:r>
          </w:p>
        </w:tc>
        <w:tc>
          <w:tcPr>
            <w:tcW w:type="dxa" w:w="2160"/>
          </w:tcPr>
          <w:p>
            <w:r>
              <w:rPr>
                <w:rFonts w:ascii="Times New Roman" w:hAnsi="Times New Roman"/>
                <w:sz w:val="21"/>
              </w:rPr>
              <w:t>FACT_TARIFF_RATE</w:t>
            </w:r>
          </w:p>
        </w:tc>
        <w:tc>
          <w:tcPr>
            <w:tcW w:type="dxa" w:w="2160"/>
          </w:tcPr>
          <w:p>
            <w:r>
              <w:rPr>
                <w:rFonts w:ascii="Times New Roman" w:hAnsi="Times New Roman"/>
                <w:sz w:val="21"/>
              </w:rPr>
              <w:t>Thuế suất là measure không cộng được; bắt buộc tính bình quân gia quyền theo total_lines.</w:t>
            </w:r>
          </w:p>
        </w:tc>
        <w:tc>
          <w:tcPr>
            <w:tcW w:type="dxa" w:w="2160"/>
          </w:tcPr>
          <w:p>
            <w:r>
              <w:rPr>
                <w:rFonts w:ascii="Times New Roman" w:hAnsi="Times New Roman"/>
                <w:sz w:val="21"/>
              </w:rPr>
              <w:t>✅ TUÂN THỦ 100%: Query 13 tính SUM(ad_valorem_pct * total_lines) / SUM(total_lines).</w:t>
            </w:r>
          </w:p>
        </w:tc>
      </w:tr>
      <w:tr>
        <w:tc>
          <w:tcPr>
            <w:tcW w:type="dxa" w:w="2160"/>
          </w:tcPr>
          <w:p>
            <w:r>
              <w:rPr>
                <w:rFonts w:ascii="Times New Roman" w:hAnsi="Times New Roman"/>
                <w:sz w:val="21"/>
              </w:rPr>
              <w:t>R3</w:t>
            </w:r>
          </w:p>
        </w:tc>
        <w:tc>
          <w:tcPr>
            <w:tcW w:type="dxa" w:w="2160"/>
          </w:tcPr>
          <w:p>
            <w:r>
              <w:rPr>
                <w:rFonts w:ascii="Times New Roman" w:hAnsi="Times New Roman"/>
                <w:sz w:val="21"/>
              </w:rPr>
              <w:t>FACT_TRADE (World)</w:t>
            </w:r>
          </w:p>
        </w:tc>
        <w:tc>
          <w:tcPr>
            <w:tcW w:type="dxa" w:w="2160"/>
          </w:tcPr>
          <w:p>
            <w:r>
              <w:rPr>
                <w:rFonts w:ascii="Times New Roman" w:hAnsi="Times New Roman"/>
                <w:sz w:val="21"/>
              </w:rPr>
              <w:t>Dòng World (code = 0) chỉ dùng kiểm tra chéo, cấm đưa vào xếp hạng thị trường.</w:t>
            </w:r>
          </w:p>
        </w:tc>
        <w:tc>
          <w:tcPr>
            <w:tcW w:type="dxa" w:w="2160"/>
          </w:tcPr>
          <w:p>
            <w:r>
              <w:rPr>
                <w:rFonts w:ascii="Times New Roman" w:hAnsi="Times New Roman"/>
                <w:sz w:val="21"/>
              </w:rPr>
              <w:t>✅ TUÂN THỦ 100%: Toàn bộ 17 truy vấn đều có điều kiện WHERE dp.is_aggregate = 0.</w:t>
            </w:r>
          </w:p>
        </w:tc>
      </w:tr>
      <w:tr>
        <w:tc>
          <w:tcPr>
            <w:tcW w:type="dxa" w:w="2160"/>
          </w:tcPr>
          <w:p>
            <w:r>
              <w:rPr>
                <w:rFonts w:ascii="Times New Roman" w:hAnsi="Times New Roman"/>
                <w:sz w:val="21"/>
              </w:rPr>
              <w:t>R4</w:t>
            </w:r>
          </w:p>
        </w:tc>
        <w:tc>
          <w:tcPr>
            <w:tcW w:type="dxa" w:w="2160"/>
          </w:tcPr>
          <w:p>
            <w:r>
              <w:rPr>
                <w:rFonts w:ascii="Times New Roman" w:hAnsi="Times New Roman"/>
                <w:sz w:val="21"/>
              </w:rPr>
              <w:t>FACT_TRADE (Perspective)</w:t>
            </w:r>
          </w:p>
        </w:tc>
        <w:tc>
          <w:tcPr>
            <w:tcW w:type="dxa" w:w="2160"/>
          </w:tcPr>
          <w:p>
            <w:r>
              <w:rPr>
                <w:rFonts w:ascii="Times New Roman" w:hAnsi="Times New Roman"/>
                <w:sz w:val="21"/>
              </w:rPr>
              <w:t>Cấm cộng gộp số liệu Việt Nam (persp=1) với số liệu Mirror (persp=2).</w:t>
            </w:r>
          </w:p>
        </w:tc>
        <w:tc>
          <w:tcPr>
            <w:tcW w:type="dxa" w:w="2160"/>
          </w:tcPr>
          <w:p>
            <w:r>
              <w:rPr>
                <w:rFonts w:ascii="Times New Roman" w:hAnsi="Times New Roman"/>
                <w:sz w:val="21"/>
              </w:rPr>
              <w:t>✅ TUÂN THỦ 100%: Tách bạch rõ ràng; phân tích chính thống dùng perspective_key = 1.</w:t>
            </w:r>
          </w:p>
        </w:tc>
      </w:tr>
      <w:tr>
        <w:tc>
          <w:tcPr>
            <w:tcW w:type="dxa" w:w="2160"/>
          </w:tcPr>
          <w:p>
            <w:r>
              <w:rPr>
                <w:rFonts w:ascii="Times New Roman" w:hAnsi="Times New Roman"/>
                <w:sz w:val="21"/>
              </w:rPr>
              <w:t>R5</w:t>
            </w:r>
          </w:p>
        </w:tc>
        <w:tc>
          <w:tcPr>
            <w:tcW w:type="dxa" w:w="2160"/>
          </w:tcPr>
          <w:p>
            <w:r>
              <w:rPr>
                <w:rFonts w:ascii="Times New Roman" w:hAnsi="Times New Roman"/>
                <w:sz w:val="21"/>
              </w:rPr>
              <w:t>DIM_DATE.granularity</w:t>
            </w:r>
          </w:p>
        </w:tc>
        <w:tc>
          <w:tcPr>
            <w:tcW w:type="dxa" w:w="2160"/>
          </w:tcPr>
          <w:p>
            <w:r>
              <w:rPr>
                <w:rFonts w:ascii="Times New Roman" w:hAnsi="Times New Roman"/>
                <w:sz w:val="21"/>
              </w:rPr>
              <w:t>Không trộn lẫn dòng ngày tháng (MONTH) với dòng sentinel năm (YEAR YYYY00).</w:t>
            </w:r>
          </w:p>
        </w:tc>
        <w:tc>
          <w:tcPr>
            <w:tcW w:type="dxa" w:w="2160"/>
          </w:tcPr>
          <w:p>
            <w:r>
              <w:rPr>
                <w:rFonts w:ascii="Times New Roman" w:hAnsi="Times New Roman"/>
                <w:sz w:val="21"/>
              </w:rPr>
              <w:t>✅ TUÂN THỦ 100%: Các truy vấn phân tích tháng đều lọc dd.[month] BETWEEN 1 AND 12.</w:t>
            </w:r>
          </w:p>
        </w:tc>
      </w:tr>
    </w:tbl>
    <w:p>
      <w:pPr>
        <w:pStyle w:val="Heading1"/>
      </w:pPr>
      <w:r>
        <w:t>6. Kế hoạch triển khai tuần tiếp theo: Xây dựng khối đa chiều SSAS OLAP</w:t>
      </w:r>
    </w:p>
    <w:p>
      <w:r>
        <w:tab/>
        <w:t>Sau khi hoàn thiện Tầng truy vấn SQL OLAP và các Data Mart vật chất hóa, nhóm sẽ tiếp tục thực hiện Phần 2 của Tuần 10 trong tuần kế tiếp:</w:t>
      </w:r>
    </w:p>
    <w:p>
      <w:pPr>
        <w:pStyle w:val="ListParagraph"/>
      </w:pPr>
      <w:r>
        <w:rPr>
          <w:b/>
        </w:rPr>
        <w:t xml:space="preserve">Thiết lập dự án SSAS Multidimensional trên Visual Studio Community (SSDT): </w:t>
      </w:r>
      <w:r>
        <w:t>Khởi tạo dự án Analysis Services kết nối trực tiếp vào CSDL TLCN_XNK trên SQLEXPRESS1.</w:t>
      </w:r>
    </w:p>
    <w:p>
      <w:pPr>
        <w:pStyle w:val="ListParagraph"/>
      </w:pPr>
      <w:r>
        <w:rPr>
          <w:b/>
        </w:rPr>
        <w:t xml:space="preserve">Xây dựng Data Source View (DSV): </w:t>
      </w:r>
      <w:r>
        <w:t>Tích hợp các bảng Dimension (DIM_DATE, DIM_PARTNER, DIM_COMMODITY, DIM_FLOW) và bảng Fact/Mart vào mô hình trực quan.</w:t>
      </w:r>
    </w:p>
    <w:p>
      <w:pPr>
        <w:pStyle w:val="ListParagraph"/>
      </w:pPr>
      <w:r>
        <w:rPr>
          <w:b/>
        </w:rPr>
        <w:t xml:space="preserve">Định nghĩa các Cây phân cấp (Hierarchies): </w:t>
      </w:r>
      <w:r>
        <w:t>Thiết lập phân cấp Thời gian (Year → Month), phân cấp Địa lý (Region → Sub-region → Partner), và phân cấp Hàng hóa (HS2 → HS4 → HS6).</w:t>
      </w:r>
    </w:p>
    <w:p>
      <w:pPr>
        <w:pStyle w:val="ListParagraph"/>
      </w:pPr>
      <w:r>
        <w:rPr>
          <w:b/>
        </w:rPr>
        <w:t xml:space="preserve">Cấu hình Measure Groups và Khóa cộng gộp cột qty: </w:t>
      </w:r>
      <w:r>
        <w:t>Tạo các Measure tính tổng kim ngạch primary_value_usd, trọng lượng net_wgt_kg; khóa tính năng SUM của cột qty theo đúng quy định luật R1.</w:t>
      </w:r>
    </w:p>
    <w:p>
      <w:pPr>
        <w:pStyle w:val="ListParagraph"/>
      </w:pPr>
      <w:r>
        <w:rPr>
          <w:b/>
        </w:rPr>
        <w:t xml:space="preserve">Triển khai (Deploy) và Xử lý (Process) Cube lên SSAS: </w:t>
      </w:r>
      <w:r>
        <w:t>Deploy mô hình lên instance SSAS localhost\MSSQLSERVER1 đang hoạt động sẵn trên máy, kiểm thử duyệt khối (Browse Cube) trên Visual Studio và SSMS.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