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Pil strongerm the American astronut, is talking to a reporter about his journey to the moon.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Well, pil welcome home.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Did you have any problems on the journey?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Well, we didn’t have any serious problems, but it certainly wasn’t a holiday!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Of course not.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We didn’t have a wash or a shave for two weeks!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Really?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Yes, it wasn’t very comfortable.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What about food? Was that a problems.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Well, we didn’t have any normal food.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What did you have?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Well, we had some food tablets.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Are you going to the moon again?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 hope so, it was wonderful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6A9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66A9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66A9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6A9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6A9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6A9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66A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6A9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6A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6A9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6A9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6A9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6A9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6A9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6A9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1hsKTfojAkfgfbvqEHFoZTqGQ==">CgMxLjA4AHIhMU5aNUdRMTRKWGoxb01GVG05N28xRzJERW1ZNjBsS0pv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2024-12-08T09:07:00Z</dcterms:created>
  <dc:creator>Tai Luu The</dc:creator>
</cp:coreProperties>
</file>