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Supervisor Feedback</w:t>
      </w:r>
    </w:p>
    <w:p>
      <w:r>
        <w:t>The supervisor, Senior Lecturer A. K. Makatov, reviewed the Pre-Defense 1 materials on 23 October 2026: the GitHub repository (README, docs/, frontend/, backend/), the YouTrack project SSP and the presentation. He gave 12 comments. The team accepted all of them, and each comment has a decision, an owner and a deadline. The full log is kept in docs/supervisor-feedback.md in the repository.</w:t>
      </w:r>
    </w:p>
    <w:p>
      <w:pPr>
        <w:pStyle w:val="Heading2"/>
      </w:pPr>
      <w:r>
        <w:t>11.1 Overall assessment</w:t>
      </w:r>
    </w:p>
    <w:p>
      <w:r>
        <w:t>According to the supervisor, the topic is socially significant and has enough engineering depth. The problem is clearly defined and the MVP scope is realistic for a diploma project. The analysis and design stage is at a good level: the proposal, SRS with acceptance criteria, traceability matrix, comparisons of existing systems and technologies, diagrams, threat model, verification plan with a baseline, and a clickable prototype in three languages are in place. The project is recommended for Pre-Defense 1.</w:t>
      </w:r>
    </w:p>
    <w:p>
      <w:pPr>
        <w:pStyle w:val="Heading2"/>
      </w:pPr>
      <w:r>
        <w:t>11.2 Comments and decisions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ID</w:t>
            </w:r>
          </w:p>
        </w:tc>
        <w:tc>
          <w:tcPr>
            <w:tcW w:type="dxa" w:w="1440"/>
          </w:tcPr>
          <w:p>
            <w:r/>
            <w:r>
              <w:rPr>
                <w:b/>
                <w:sz w:val="18"/>
              </w:rPr>
              <w:t>Deliverable</w:t>
            </w:r>
          </w:p>
        </w:tc>
        <w:tc>
          <w:tcPr>
            <w:tcW w:type="dxa" w:w="1440"/>
          </w:tcPr>
          <w:p>
            <w:r/>
            <w:r>
              <w:rPr>
                <w:b/>
                <w:sz w:val="18"/>
              </w:rPr>
              <w:t>Supervisor's comment</w:t>
            </w:r>
          </w:p>
        </w:tc>
        <w:tc>
          <w:tcPr>
            <w:tcW w:type="dxa" w:w="1440"/>
          </w:tcPr>
          <w:p>
            <w:r/>
            <w:r>
              <w:rPr>
                <w:b/>
                <w:sz w:val="18"/>
              </w:rPr>
              <w:t>Decision and change</w:t>
            </w:r>
          </w:p>
        </w:tc>
        <w:tc>
          <w:tcPr>
            <w:tcW w:type="dxa" w:w="1440"/>
          </w:tcPr>
          <w:p>
            <w:r/>
            <w:r>
              <w:rPr>
                <w:b/>
                <w:sz w:val="18"/>
              </w:rPr>
              <w:t>Owner / due</w:t>
            </w:r>
          </w:p>
        </w:tc>
        <w:tc>
          <w:tcPr>
            <w:tcW w:type="dxa" w:w="1440"/>
          </w:tcPr>
          <w:p>
            <w:r/>
            <w:r>
              <w:rPr>
                <w:b/>
                <w:sz w:val="18"/>
              </w:rPr>
              <w:t>Status</w:t>
            </w:r>
          </w:p>
        </w:tc>
      </w:tr>
      <w:tr>
        <w:tc>
          <w:tcPr>
            <w:tcW w:type="dxa" w:w="1440"/>
          </w:tcPr>
          <w:p>
            <w:r/>
            <w:r>
              <w:rPr>
                <w:sz w:val="18"/>
              </w:rPr>
              <w:t>SF-01</w:t>
            </w:r>
          </w:p>
        </w:tc>
        <w:tc>
          <w:tcPr>
            <w:tcW w:type="dxa" w:w="1440"/>
          </w:tcPr>
          <w:p>
            <w:r/>
            <w:r>
              <w:rPr>
                <w:sz w:val="18"/>
              </w:rPr>
              <w:t>Proposal and scope</w:t>
            </w:r>
          </w:p>
        </w:tc>
        <w:tc>
          <w:tcPr>
            <w:tcW w:type="dxa" w:w="1440"/>
          </w:tcPr>
          <w:p>
            <w:r/>
            <w:r>
              <w:rPr>
                <w:sz w:val="18"/>
              </w:rPr>
              <w:t>Scope is realistic. Keep the MVP to access/roles, profiles and links, sessions, a visibility-controlled diary, and audit. Exclude video calls, billing and school/clinic integrations.</w:t>
            </w:r>
          </w:p>
        </w:tc>
        <w:tc>
          <w:tcPr>
            <w:tcW w:type="dxa" w:w="1440"/>
          </w:tcPr>
          <w:p>
            <w:r/>
            <w:r>
              <w:rPr>
                <w:sz w:val="18"/>
              </w:rPr>
              <w:t>Accepted. Out-of-scope list confirmed in proposal and README</w:t>
            </w:r>
          </w:p>
        </w:tc>
        <w:tc>
          <w:tcPr>
            <w:tcW w:type="dxa" w:w="1440"/>
          </w:tcPr>
          <w:p>
            <w:r/>
            <w:r>
              <w:rPr>
                <w:sz w:val="18"/>
              </w:rPr>
              <w:t>Beibarys; 24 Oct</w:t>
            </w:r>
          </w:p>
        </w:tc>
        <w:tc>
          <w:tcPr>
            <w:tcW w:type="dxa" w:w="1440"/>
          </w:tcPr>
          <w:p>
            <w:r/>
            <w:r>
              <w:rPr>
                <w:sz w:val="18"/>
              </w:rPr>
              <w:t>Done</w:t>
            </w:r>
          </w:p>
        </w:tc>
      </w:tr>
      <w:tr>
        <w:tc>
          <w:tcPr>
            <w:tcW w:type="dxa" w:w="1440"/>
          </w:tcPr>
          <w:p>
            <w:r/>
            <w:r>
              <w:rPr>
                <w:sz w:val="18"/>
              </w:rPr>
              <w:t>SF-02</w:t>
            </w:r>
          </w:p>
        </w:tc>
        <w:tc>
          <w:tcPr>
            <w:tcW w:type="dxa" w:w="1440"/>
          </w:tcPr>
          <w:p>
            <w:r/>
            <w:r>
              <w:rPr>
                <w:sz w:val="18"/>
              </w:rPr>
              <w:t>Evidence of relevance</w:t>
            </w:r>
          </w:p>
        </w:tc>
        <w:tc>
          <w:tcPr>
            <w:tcW w:type="dxa" w:w="1440"/>
          </w:tcPr>
          <w:p>
            <w:r/>
            <w:r>
              <w:rPr>
                <w:sz w:val="18"/>
              </w:rPr>
              <w:t>Seven survey answers are exploratory, not proof. Conduct 3–5 semi-structured interviews with parents and specialists. Keep single-source requirements marked as hypotheses.</w:t>
            </w:r>
          </w:p>
        </w:tc>
        <w:tc>
          <w:tcPr>
            <w:tcW w:type="dxa" w:w="1440"/>
          </w:tcPr>
          <w:p>
            <w:r/>
            <w:r>
              <w:rPr>
                <w:sz w:val="18"/>
              </w:rPr>
              <w:t>Accepted. Interview round (2 parents, 2–3 specialists) added to the plan. Hypothesis labels kept in evidence-to-requirements</w:t>
            </w:r>
          </w:p>
        </w:tc>
        <w:tc>
          <w:tcPr>
            <w:tcW w:type="dxa" w:w="1440"/>
          </w:tcPr>
          <w:p>
            <w:r/>
            <w:r>
              <w:rPr>
                <w:sz w:val="18"/>
              </w:rPr>
              <w:t>Yerkebulan, Aknur; Pre-defense 2</w:t>
            </w:r>
          </w:p>
        </w:tc>
        <w:tc>
          <w:tcPr>
            <w:tcW w:type="dxa" w:w="1440"/>
          </w:tcPr>
          <w:p>
            <w:r/>
            <w:r>
              <w:rPr>
                <w:sz w:val="18"/>
              </w:rPr>
              <w:t>Planned</w:t>
            </w:r>
          </w:p>
        </w:tc>
      </w:tr>
      <w:tr>
        <w:tc>
          <w:tcPr>
            <w:tcW w:type="dxa" w:w="1440"/>
          </w:tcPr>
          <w:p>
            <w:r/>
            <w:r>
              <w:rPr>
                <w:sz w:val="18"/>
              </w:rPr>
              <w:t>SF-03</w:t>
            </w:r>
          </w:p>
        </w:tc>
        <w:tc>
          <w:tcPr>
            <w:tcW w:type="dxa" w:w="1440"/>
          </w:tcPr>
          <w:p>
            <w:r/>
            <w:r>
              <w:rPr>
                <w:sz w:val="18"/>
              </w:rPr>
              <w:t>Literature review</w:t>
            </w:r>
          </w:p>
        </w:tc>
        <w:tc>
          <w:tcPr>
            <w:tcW w:type="dxa" w:w="1440"/>
          </w:tcPr>
          <w:p>
            <w:r/>
            <w:r>
              <w:rPr>
                <w:sz w:val="18"/>
              </w:rPr>
              <w:t>14 sources are a sufficient base. Ensure at least 8 peer-reviewed publications, add 2–3 sources on access control (RBAC/ABAC) for health or personal data, and use one citation style.</w:t>
            </w:r>
          </w:p>
        </w:tc>
        <w:tc>
          <w:tcPr>
            <w:tcW w:type="dxa" w:w="1440"/>
          </w:tcPr>
          <w:p>
            <w:r/>
            <w:r>
              <w:rPr>
                <w:sz w:val="18"/>
              </w:rPr>
              <w:t>Accepted. literature-review to be extended and reformatted</w:t>
            </w:r>
          </w:p>
        </w:tc>
        <w:tc>
          <w:tcPr>
            <w:tcW w:type="dxa" w:w="1440"/>
          </w:tcPr>
          <w:p>
            <w:r/>
            <w:r>
              <w:rPr>
                <w:sz w:val="18"/>
              </w:rPr>
              <w:t>Aknur; 7 Nov</w:t>
            </w:r>
          </w:p>
        </w:tc>
        <w:tc>
          <w:tcPr>
            <w:tcW w:type="dxa" w:w="1440"/>
          </w:tcPr>
          <w:p>
            <w:r/>
            <w:r>
              <w:rPr>
                <w:sz w:val="18"/>
              </w:rPr>
              <w:t>Planned</w:t>
            </w:r>
          </w:p>
        </w:tc>
      </w:tr>
      <w:tr>
        <w:tc>
          <w:tcPr>
            <w:tcW w:type="dxa" w:w="1440"/>
          </w:tcPr>
          <w:p>
            <w:r/>
            <w:r>
              <w:rPr>
                <w:sz w:val="18"/>
              </w:rPr>
              <w:t>SF-04</w:t>
            </w:r>
          </w:p>
        </w:tc>
        <w:tc>
          <w:tcPr>
            <w:tcW w:type="dxa" w:w="1440"/>
          </w:tcPr>
          <w:p>
            <w:r/>
            <w:r>
              <w:rPr>
                <w:sz w:val="18"/>
              </w:rPr>
              <w:t>Existing system comparison</w:t>
            </w:r>
          </w:p>
        </w:tc>
        <w:tc>
          <w:tcPr>
            <w:tcW w:type="dxa" w:w="1440"/>
          </w:tcPr>
          <w:p>
            <w:r/>
            <w:r>
              <w:rPr>
                <w:sz w:val="18"/>
              </w:rPr>
              <w:t>Each "?" cell must cite a source or be stated as "not found in public sources".</w:t>
            </w:r>
          </w:p>
        </w:tc>
        <w:tc>
          <w:tcPr>
            <w:tcW w:type="dxa" w:w="1440"/>
          </w:tcPr>
          <w:p>
            <w:r/>
            <w:r>
              <w:rPr>
                <w:sz w:val="18"/>
              </w:rPr>
              <w:t>Accepted. Legend and sources clarified in existing-systems-comparison</w:t>
            </w:r>
          </w:p>
        </w:tc>
        <w:tc>
          <w:tcPr>
            <w:tcW w:type="dxa" w:w="1440"/>
          </w:tcPr>
          <w:p>
            <w:r/>
            <w:r>
              <w:rPr>
                <w:sz w:val="18"/>
              </w:rPr>
              <w:t>Yerkebulan; 7 Nov</w:t>
            </w:r>
          </w:p>
        </w:tc>
        <w:tc>
          <w:tcPr>
            <w:tcW w:type="dxa" w:w="1440"/>
          </w:tcPr>
          <w:p>
            <w:r/>
            <w:r>
              <w:rPr>
                <w:sz w:val="18"/>
              </w:rPr>
              <w:t>In progress</w:t>
            </w:r>
          </w:p>
        </w:tc>
      </w:tr>
      <w:tr>
        <w:tc>
          <w:tcPr>
            <w:tcW w:type="dxa" w:w="1440"/>
          </w:tcPr>
          <w:p>
            <w:r/>
            <w:r>
              <w:rPr>
                <w:sz w:val="18"/>
              </w:rPr>
              <w:t>SF-05</w:t>
            </w:r>
          </w:p>
        </w:tc>
        <w:tc>
          <w:tcPr>
            <w:tcW w:type="dxa" w:w="1440"/>
          </w:tcPr>
          <w:p>
            <w:r/>
            <w:r>
              <w:rPr>
                <w:sz w:val="18"/>
              </w:rPr>
              <w:t>Technology comparison</w:t>
            </w:r>
          </w:p>
        </w:tc>
        <w:tc>
          <w:tcPr>
            <w:tcW w:type="dxa" w:w="1440"/>
          </w:tcPr>
          <w:p>
            <w:r/>
            <w:r>
              <w:rPr>
                <w:sz w:val="18"/>
              </w:rPr>
              <w:t>React + TypeScript, Go (net/http) and PostgreSQL are justified by the requirements. Decide hosting with Kazakhstan data-localisation requirements in mind before deployment.</w:t>
            </w:r>
          </w:p>
        </w:tc>
        <w:tc>
          <w:tcPr>
            <w:tcW w:type="dxa" w:w="1440"/>
          </w:tcPr>
          <w:p>
            <w:r/>
            <w:r>
              <w:rPr>
                <w:sz w:val="18"/>
              </w:rPr>
              <w:t>Accepted. Hosting decision added as an open item in the legal checklist</w:t>
            </w:r>
          </w:p>
        </w:tc>
        <w:tc>
          <w:tcPr>
            <w:tcW w:type="dxa" w:w="1440"/>
          </w:tcPr>
          <w:p>
            <w:r/>
            <w:r>
              <w:rPr>
                <w:sz w:val="18"/>
              </w:rPr>
              <w:t>Beibarys, Aknur; Before deployment</w:t>
            </w:r>
          </w:p>
        </w:tc>
        <w:tc>
          <w:tcPr>
            <w:tcW w:type="dxa" w:w="1440"/>
          </w:tcPr>
          <w:p>
            <w:r/>
            <w:r>
              <w:rPr>
                <w:sz w:val="18"/>
              </w:rPr>
              <w:t>Planned</w:t>
            </w:r>
          </w:p>
        </w:tc>
      </w:tr>
      <w:tr>
        <w:tc>
          <w:tcPr>
            <w:tcW w:type="dxa" w:w="1440"/>
          </w:tcPr>
          <w:p>
            <w:r/>
            <w:r>
              <w:rPr>
                <w:sz w:val="18"/>
              </w:rPr>
              <w:t>SF-06</w:t>
            </w:r>
          </w:p>
        </w:tc>
        <w:tc>
          <w:tcPr>
            <w:tcW w:type="dxa" w:w="1440"/>
          </w:tcPr>
          <w:p>
            <w:r/>
            <w:r>
              <w:rPr>
                <w:sz w:val="18"/>
              </w:rPr>
              <w:t>Requirements</w:t>
            </w:r>
          </w:p>
        </w:tc>
        <w:tc>
          <w:tcPr>
            <w:tcW w:type="dxa" w:w="1440"/>
          </w:tcPr>
          <w:p>
            <w:r/>
            <w:r>
              <w:rPr>
                <w:sz w:val="18"/>
              </w:rPr>
              <w:t>Every Must requirement needs a measurable acceptance criterion and a linked test in the traceability matrix.</w:t>
            </w:r>
          </w:p>
        </w:tc>
        <w:tc>
          <w:tcPr>
            <w:tcW w:type="dxa" w:w="1440"/>
          </w:tcPr>
          <w:p>
            <w:r/>
            <w:r>
              <w:rPr>
                <w:sz w:val="18"/>
              </w:rPr>
              <w:t>Accepted. Must requirements reviewed against traceability matrix</w:t>
            </w:r>
          </w:p>
        </w:tc>
        <w:tc>
          <w:tcPr>
            <w:tcW w:type="dxa" w:w="1440"/>
          </w:tcPr>
          <w:p>
            <w:r/>
            <w:r>
              <w:rPr>
                <w:sz w:val="18"/>
              </w:rPr>
              <w:t>Aknur; 7 Nov</w:t>
            </w:r>
          </w:p>
        </w:tc>
        <w:tc>
          <w:tcPr>
            <w:tcW w:type="dxa" w:w="1440"/>
          </w:tcPr>
          <w:p>
            <w:r/>
            <w:r>
              <w:rPr>
                <w:sz w:val="18"/>
              </w:rPr>
              <w:t>In progress</w:t>
            </w:r>
          </w:p>
        </w:tc>
      </w:tr>
      <w:tr>
        <w:tc>
          <w:tcPr>
            <w:tcW w:type="dxa" w:w="1440"/>
          </w:tcPr>
          <w:p>
            <w:r/>
            <w:r>
              <w:rPr>
                <w:sz w:val="18"/>
              </w:rPr>
              <w:t>SF-07</w:t>
            </w:r>
          </w:p>
        </w:tc>
        <w:tc>
          <w:tcPr>
            <w:tcW w:type="dxa" w:w="1440"/>
          </w:tcPr>
          <w:p>
            <w:r/>
            <w:r>
              <w:rPr>
                <w:sz w:val="18"/>
              </w:rPr>
              <w:t>Architecture and diagrams</w:t>
            </w:r>
          </w:p>
        </w:tc>
        <w:tc>
          <w:tcPr>
            <w:tcW w:type="dxa" w:w="1440"/>
          </w:tcPr>
          <w:p>
            <w:r/>
            <w:r>
              <w:rPr>
                <w:sz w:val="18"/>
              </w:rPr>
              <w:t>Diagrams are consistent, but only the client is implemented and backend domain models are not yet connected to the UI. Mark built vs planned components. Start transport/http from docs/openapi.yaml.</w:t>
            </w:r>
          </w:p>
        </w:tc>
        <w:tc>
          <w:tcPr>
            <w:tcW w:type="dxa" w:w="1440"/>
          </w:tcPr>
          <w:p>
            <w:r/>
            <w:r>
              <w:rPr>
                <w:sz w:val="18"/>
              </w:rPr>
              <w:t>Accepted. Component diagram to distinguish implemented/planned. Backend starts from the OpenAPI contract</w:t>
            </w:r>
          </w:p>
        </w:tc>
        <w:tc>
          <w:tcPr>
            <w:tcW w:type="dxa" w:w="1440"/>
          </w:tcPr>
          <w:p>
            <w:r/>
            <w:r>
              <w:rPr>
                <w:sz w:val="18"/>
              </w:rPr>
              <w:t>Beibarys; Stage 2</w:t>
            </w:r>
          </w:p>
        </w:tc>
        <w:tc>
          <w:tcPr>
            <w:tcW w:type="dxa" w:w="1440"/>
          </w:tcPr>
          <w:p>
            <w:r/>
            <w:r>
              <w:rPr>
                <w:sz w:val="18"/>
              </w:rPr>
              <w:t>Planned</w:t>
            </w:r>
          </w:p>
        </w:tc>
      </w:tr>
      <w:tr>
        <w:tc>
          <w:tcPr>
            <w:tcW w:type="dxa" w:w="1440"/>
          </w:tcPr>
          <w:p>
            <w:r/>
            <w:r>
              <w:rPr>
                <w:sz w:val="18"/>
              </w:rPr>
              <w:t>SF-08</w:t>
            </w:r>
          </w:p>
        </w:tc>
        <w:tc>
          <w:tcPr>
            <w:tcW w:type="dxa" w:w="1440"/>
          </w:tcPr>
          <w:p>
            <w:r/>
            <w:r>
              <w:rPr>
                <w:sz w:val="18"/>
              </w:rPr>
              <w:t>UX / prototype</w:t>
            </w:r>
          </w:p>
        </w:tc>
        <w:tc>
          <w:tcPr>
            <w:tcW w:type="dxa" w:w="1440"/>
          </w:tcPr>
          <w:p>
            <w:r/>
            <w:r>
              <w:rPr>
                <w:sz w:val="18"/>
              </w:rPr>
              <w:t>The prototype shows the key scenarios for all three roles. Run a usability test with 5 users: task success, time on task, SUS.</w:t>
            </w:r>
          </w:p>
        </w:tc>
        <w:tc>
          <w:tcPr>
            <w:tcW w:type="dxa" w:w="1440"/>
          </w:tcPr>
          <w:p>
            <w:r/>
            <w:r>
              <w:rPr>
                <w:sz w:val="18"/>
              </w:rPr>
              <w:t>Accepted. usability-plan scheduled after interviews</w:t>
            </w:r>
          </w:p>
        </w:tc>
        <w:tc>
          <w:tcPr>
            <w:tcW w:type="dxa" w:w="1440"/>
          </w:tcPr>
          <w:p>
            <w:r/>
            <w:r>
              <w:rPr>
                <w:sz w:val="18"/>
              </w:rPr>
              <w:t>Yerkebulan; Pre-defense 2</w:t>
            </w:r>
          </w:p>
        </w:tc>
        <w:tc>
          <w:tcPr>
            <w:tcW w:type="dxa" w:w="1440"/>
          </w:tcPr>
          <w:p>
            <w:r/>
            <w:r>
              <w:rPr>
                <w:sz w:val="18"/>
              </w:rPr>
              <w:t>Planned</w:t>
            </w:r>
          </w:p>
        </w:tc>
      </w:tr>
      <w:tr>
        <w:tc>
          <w:tcPr>
            <w:tcW w:type="dxa" w:w="1440"/>
          </w:tcPr>
          <w:p>
            <w:r/>
            <w:r>
              <w:rPr>
                <w:sz w:val="18"/>
              </w:rPr>
              <w:t>SF-09</w:t>
            </w:r>
          </w:p>
        </w:tc>
        <w:tc>
          <w:tcPr>
            <w:tcW w:type="dxa" w:w="1440"/>
          </w:tcPr>
          <w:p>
            <w:r/>
            <w:r>
              <w:rPr>
                <w:sz w:val="18"/>
              </w:rPr>
              <w:t>Verification plan</w:t>
            </w:r>
          </w:p>
        </w:tc>
        <w:tc>
          <w:tcPr>
            <w:tcW w:type="dxa" w:w="1440"/>
          </w:tcPr>
          <w:p>
            <w:r/>
            <w:r>
              <w:rPr>
                <w:sz w:val="18"/>
              </w:rPr>
              <w:t>The naive baseline is a strong idea and should be kept. The pilot-size assumption (~200 families, 20 specialists) is accepted but must be labelled as an assumption. RBAC/IDOR tests should be the first tests in CI.</w:t>
            </w:r>
          </w:p>
        </w:tc>
        <w:tc>
          <w:tcPr>
            <w:tcW w:type="dxa" w:w="1440"/>
          </w:tcPr>
          <w:p>
            <w:r/>
            <w:r>
              <w:rPr>
                <w:sz w:val="18"/>
              </w:rPr>
              <w:t>Accepted. Assumption retained and labelled in verification-plan. RBAC/IDOR tests first in Stage 2</w:t>
            </w:r>
          </w:p>
        </w:tc>
        <w:tc>
          <w:tcPr>
            <w:tcW w:type="dxa" w:w="1440"/>
          </w:tcPr>
          <w:p>
            <w:r/>
            <w:r>
              <w:rPr>
                <w:sz w:val="18"/>
              </w:rPr>
              <w:t>Aknur; Stage 2</w:t>
            </w:r>
          </w:p>
        </w:tc>
        <w:tc>
          <w:tcPr>
            <w:tcW w:type="dxa" w:w="1440"/>
          </w:tcPr>
          <w:p>
            <w:r/>
            <w:r>
              <w:rPr>
                <w:sz w:val="18"/>
              </w:rPr>
              <w:t>Done (plan)</w:t>
            </w:r>
          </w:p>
        </w:tc>
      </w:tr>
      <w:tr>
        <w:tc>
          <w:tcPr>
            <w:tcW w:type="dxa" w:w="1440"/>
          </w:tcPr>
          <w:p>
            <w:r/>
            <w:r>
              <w:rPr>
                <w:sz w:val="18"/>
              </w:rPr>
              <w:t>SF-10</w:t>
            </w:r>
          </w:p>
        </w:tc>
        <w:tc>
          <w:tcPr>
            <w:tcW w:type="dxa" w:w="1440"/>
          </w:tcPr>
          <w:p>
            <w:r/>
            <w:r>
              <w:rPr>
                <w:sz w:val="18"/>
              </w:rPr>
              <w:t>Project management and Git</w:t>
            </w:r>
          </w:p>
        </w:tc>
        <w:tc>
          <w:tcPr>
            <w:tcW w:type="dxa" w:w="1440"/>
          </w:tcPr>
          <w:p>
            <w:r/>
            <w:r>
              <w:rPr>
                <w:sz w:val="18"/>
              </w:rPr>
              <w:t>Most commits were made on 22–23 October, and PRs #11 and #12 were merged without review. This does not show progressive work.</w:t>
            </w:r>
          </w:p>
        </w:tc>
        <w:tc>
          <w:tcPr>
            <w:tcW w:type="dxa" w:w="1440"/>
          </w:tcPr>
          <w:p>
            <w:r/>
            <w:r>
              <w:rPr>
                <w:sz w:val="18"/>
              </w:rPr>
              <w:t>Accepted. Rules: commits from every member at least weekly; every PR reviewed by another member; YouTrack ID in the branch and PR; PR link in the YouTrack task; tag pre-defense-1. Recorded in project-management</w:t>
            </w:r>
          </w:p>
        </w:tc>
        <w:tc>
          <w:tcPr>
            <w:tcW w:type="dxa" w:w="1440"/>
          </w:tcPr>
          <w:p>
            <w:r/>
            <w:r>
              <w:rPr>
                <w:sz w:val="18"/>
              </w:rPr>
              <w:t>All (Aknur: tags); From 24 Oct</w:t>
            </w:r>
          </w:p>
        </w:tc>
        <w:tc>
          <w:tcPr>
            <w:tcW w:type="dxa" w:w="1440"/>
          </w:tcPr>
          <w:p>
            <w:r/>
            <w:r>
              <w:rPr>
                <w:sz w:val="18"/>
              </w:rPr>
              <w:t>In progress</w:t>
            </w:r>
          </w:p>
        </w:tc>
      </w:tr>
      <w:tr>
        <w:tc>
          <w:tcPr>
            <w:tcW w:type="dxa" w:w="1440"/>
          </w:tcPr>
          <w:p>
            <w:r/>
            <w:r>
              <w:rPr>
                <w:sz w:val="18"/>
              </w:rPr>
              <w:t>SF-11</w:t>
            </w:r>
          </w:p>
        </w:tc>
        <w:tc>
          <w:tcPr>
            <w:tcW w:type="dxa" w:w="1440"/>
          </w:tcPr>
          <w:p>
            <w:r/>
            <w:r>
              <w:rPr>
                <w:sz w:val="18"/>
              </w:rPr>
              <w:t>Child data, legal assumptions</w:t>
            </w:r>
          </w:p>
        </w:tc>
        <w:tc>
          <w:tcPr>
            <w:tcW w:type="dxa" w:w="1440"/>
          </w:tcPr>
          <w:p>
            <w:r/>
            <w:r>
              <w:rPr>
                <w:sz w:val="18"/>
              </w:rPr>
              <w:t>The diary may contain health information. Check the RK Law "On Personal Data and Their Protection" (legal-representative consent, retention, database localisation), consult the university lawyer, and use synthetic data only.</w:t>
            </w:r>
          </w:p>
        </w:tc>
        <w:tc>
          <w:tcPr>
            <w:tcW w:type="dxa" w:w="1440"/>
          </w:tcPr>
          <w:p>
            <w:r/>
            <w:r>
              <w:rPr>
                <w:sz w:val="18"/>
              </w:rPr>
              <w:t>Accepted. Items added to the legal checklist. Synthetic-data rule kept</w:t>
            </w:r>
          </w:p>
        </w:tc>
        <w:tc>
          <w:tcPr>
            <w:tcW w:type="dxa" w:w="1440"/>
          </w:tcPr>
          <w:p>
            <w:r/>
            <w:r>
              <w:rPr>
                <w:sz w:val="18"/>
              </w:rPr>
              <w:t>Aknur; Before real data</w:t>
            </w:r>
          </w:p>
        </w:tc>
        <w:tc>
          <w:tcPr>
            <w:tcW w:type="dxa" w:w="1440"/>
          </w:tcPr>
          <w:p>
            <w:r/>
            <w:r>
              <w:rPr>
                <w:sz w:val="18"/>
              </w:rPr>
              <w:t>Planned</w:t>
            </w:r>
          </w:p>
        </w:tc>
      </w:tr>
      <w:tr>
        <w:tc>
          <w:tcPr>
            <w:tcW w:type="dxa" w:w="1440"/>
          </w:tcPr>
          <w:p>
            <w:r/>
            <w:r>
              <w:rPr>
                <w:sz w:val="18"/>
              </w:rPr>
              <w:t>SF-12</w:t>
            </w:r>
          </w:p>
        </w:tc>
        <w:tc>
          <w:tcPr>
            <w:tcW w:type="dxa" w:w="1440"/>
          </w:tcPr>
          <w:p>
            <w:r/>
            <w:r>
              <w:rPr>
                <w:sz w:val="18"/>
              </w:rPr>
              <w:t>Next-stage priority</w:t>
            </w:r>
          </w:p>
        </w:tc>
        <w:tc>
          <w:tcPr>
            <w:tcW w:type="dxa" w:w="1440"/>
          </w:tcPr>
          <w:p>
            <w:r/>
            <w:r>
              <w:rPr>
                <w:sz w:val="18"/>
              </w:rPr>
              <w:t>Start development with Access and Profiles (sign-up/login, tokens, RBAC, parent–child–specialist links) together with automated access tests.</w:t>
            </w:r>
          </w:p>
        </w:tc>
        <w:tc>
          <w:tcPr>
            <w:tcW w:type="dxa" w:w="1440"/>
          </w:tcPr>
          <w:p>
            <w:r/>
            <w:r>
              <w:rPr>
                <w:sz w:val="18"/>
              </w:rPr>
              <w:t>Accepted. Milestone order confirmed in project-management</w:t>
            </w:r>
          </w:p>
        </w:tc>
        <w:tc>
          <w:tcPr>
            <w:tcW w:type="dxa" w:w="1440"/>
          </w:tcPr>
          <w:p>
            <w:r/>
            <w:r>
              <w:rPr>
                <w:sz w:val="18"/>
              </w:rPr>
              <w:t>Beibarys, Aknur; Stage 2</w:t>
            </w:r>
          </w:p>
        </w:tc>
        <w:tc>
          <w:tcPr>
            <w:tcW w:type="dxa" w:w="1440"/>
          </w:tcPr>
          <w:p>
            <w:r/>
            <w:r>
              <w:rPr>
                <w:sz w:val="18"/>
              </w:rPr>
              <w:t>Planned</w:t>
            </w:r>
          </w:p>
        </w:tc>
      </w:tr>
    </w:tbl>
    <w:p>
      <w:pPr>
        <w:pStyle w:val="Heading2"/>
      </w:pPr>
      <w:r>
        <w:t>11.3 Main changes resulting from the review</w:t>
      </w:r>
    </w:p>
    <w:p>
      <w:pPr>
        <w:pStyle w:val="ListBullet"/>
      </w:pPr>
      <w:r>
        <w:t>Evidence: 3–5 semi-structured interviews with parents and specialists are planned before Pre-Defense 2. Requirements supported by a single source stay marked as hypotheses (SF-02).</w:t>
      </w:r>
    </w:p>
    <w:p>
      <w:pPr>
        <w:pStyle w:val="ListBullet"/>
      </w:pPr>
      <w:r>
        <w:t>Git process: every member commits at least weekly, every pull request is reviewed by another member before merge, the YouTrack task ID is used in branch and PR names, and the submitted version is tagged pre-defense-1 (SF-10).</w:t>
      </w:r>
    </w:p>
    <w:p>
      <w:pPr>
        <w:pStyle w:val="ListBullet"/>
      </w:pPr>
      <w:r>
        <w:t>Child data: legal-representative consent, retention and database localisation under the RK Law "On Personal Data and Their Protection" were added to the legal checklist. The team will consult the university lawyer and use synthetic data only (SF-11).</w:t>
      </w:r>
    </w:p>
    <w:p>
      <w:pPr>
        <w:pStyle w:val="ListBullet"/>
      </w:pPr>
      <w:r>
        <w:t>Architecture and next stage: the component diagram will mark built and planned components. The backend starts with Access and Profiles, built from the OpenAPI contract, with RBAC/IDOR tests first in CI (SF-07, SF-09, SF-12).</w:t>
      </w:r>
    </w:p>
    <w:p>
      <w:pPr>
        <w:pStyle w:val="Heading2"/>
      </w:pPr>
      <w:r>
        <w:t>11.4 Conclusion of the supervisor</w:t>
      </w:r>
    </w:p>
    <w:p>
      <w:r>
        <w:t>“The materials meet the Pre-Defense 1 requirements for the analysis and design stage. The project is recommended for Pre-Defense 1. Key tasks before Pre-Defense 2: implement the backend (Access and Profiles), collect additional user evidence, and maintain a regular commit history with reviewed pull requests.” — A. K. Makatov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