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40"/>
          <w:szCs w:val="40"/>
        </w:rPr>
        <w:t xml:space="preserve">Human–AI procurement decision support</w:t>
      </w:r>
    </w:p>
    <w:p>
      <w:pPr>
        <w:spacing w:after="150"/>
      </w:pPr>
      <w:r>
        <w:rPr>
          <w:color w:val="555555"/>
          <w:sz w:val="24"/>
          <w:szCs w:val="24"/>
        </w:rPr>
        <w:t xml:space="preserve">Comparing LLM providers, measuring appropriate reliance, and simulating realized procurement performance at Hytech-Pommec</w:t>
      </w:r>
    </w:p>
    <w:p>
      <w:pPr>
        <w:spacing w:after="120"/>
      </w:pPr>
      <w:r>
        <w:rPr>
          <w:b/>
          <w:bCs/>
        </w:rPr>
        <w:t xml:space="preserve">Student: </w:t>
      </w:r>
      <w:r>
        <w:t xml:space="preserve">Yijie Wang  •  </w:t>
      </w:r>
      <w:r>
        <w:rPr>
          <w:b/>
          <w:bCs/>
        </w:rPr>
        <w:t xml:space="preserve">Supervisor: </w:t>
      </w:r>
      <w:r>
        <w:t xml:space="preserve">[supervisor name]  •  </w:t>
      </w:r>
      <w:r>
        <w:rPr>
          <w:b/>
          <w:bCs/>
        </w:rPr>
        <w:t xml:space="preserve">Group: </w:t>
      </w:r>
      <w:r>
        <w:t xml:space="preserve">TU/e [OPAC, TBC]</w:t>
      </w:r>
    </w:p>
    <w:p>
      <w:pPr>
        <w:spacing w:after="120"/>
      </w:pPr>
      <w:r>
        <w:rPr>
          <w:b/>
          <w:bCs/>
        </w:rPr>
        <w:t xml:space="preserve">Company: </w:t>
      </w:r>
      <w:r>
        <w:t xml:space="preserve">Hytech-Pommec, Raamsdonksveer — internship "AI &amp; Procesoptimalisatie Inkoop"  •  </w:t>
      </w:r>
      <w:r>
        <w:rPr>
          <w:b/>
          <w:bCs/>
        </w:rPr>
        <w:t xml:space="preserve">Status: </w:t>
      </w:r>
      <w:r>
        <w:t xml:space="preserve">draft v0.3, 16 June 2026 (supersedes v0.2). Items marked [TBC] need confirmation.</w:t>
      </w:r>
    </w:p>
    <w:p>
      <w:pPr>
        <w:pStyle w:val="Heading1"/>
      </w:pPr>
      <w:r>
        <w:t xml:space="preserve">1. Summary</w:t>
      </w:r>
    </w:p>
    <w:p>
      <w:pPr>
        <w:spacing w:after="120"/>
      </w:pPr>
      <w:r>
        <w:t xml:space="preserve">This project develops and quantitatively evaluates an AI decision-support system for Hytech-Pommec's purchasing process. A single multi-agent configuration generates structured purchasing proposals, run identically across three LLM providers. Proposal quality is evaluated against a deterministic optimization benchmark, expert-buyer judgement and historical outcomes. A buyer study then measures when buyers accept, modify or reject proposals, and a Monte-Carlo simulation quantifies how those deviations affect realized procurement performance. The unifying lens is human–AI complementarity: AI should improve decisions, but the improvement depends on whether buyers rely on it appropriately.</w:t>
      </w:r>
    </w:p>
    <w:p>
      <w:pPr>
        <w:spacing w:after="120"/>
      </w:pPr>
      <w:r>
        <w:rPr>
          <w:b/>
          <w:bCs/>
        </w:rPr>
        <w:t xml:space="preserve">Main research question. </w:t>
      </w:r>
      <w:r>
        <w:rPr>
          <w:i/>
          <w:iCs/>
        </w:rPr>
        <w:t xml:space="preserve">How does the choice of LLM provider, under an identical multi-agent procurement-advice configuration, affect the quality and reliability of purchasing proposals, and how do buyer deviations from these proposals affect realized procurement performance at Hytech-Pommec?</w:t>
      </w:r>
    </w:p>
    <w:p>
      <w:pPr>
        <w:pStyle w:val="Heading1"/>
      </w:pPr>
      <w:r>
        <w:t xml:space="preserve">2. Background and problem statement</w:t>
      </w:r>
    </w:p>
    <w:p>
      <w:pPr>
        <w:spacing w:after="120"/>
      </w:pPr>
      <w:r>
        <w:t xml:space="preserve">Hytech-Pommec develops, produces and maintains hyperbaric and life-support systems for diving, medical, defence, offshore and tunneling applications. Its purchasing department wants to organise processes more efficiently with AI; the internship asks for a process analysis, an AI-application scan, a concrete optimisation proposal and implementation advice.</w:t>
      </w:r>
    </w:p>
    <w:p>
      <w:pPr>
        <w:spacing w:after="120"/>
      </w:pPr>
      <w:r>
        <w:rPr>
          <w:b/>
          <w:bCs/>
        </w:rPr>
        <w:t xml:space="preserve">Interview signal [TBC]. </w:t>
      </w:r>
      <w:r>
        <w:t xml:space="preserve">Stakeholders appeared to prefer a tool that assists buyers rather than one that decides for them: buyers keep making purchasing decisions, while the AI supports them (e.g. tracking order ETAs, flagging late-risk orders, helping contact suppliers or find alternatives). This 'advisory, human-in-control' stance is exactly what the appropriate-reliance framing below assumes, so the design fits the company's preference. The specific decision studied is fixed in Phase 1 with the company; the default is supplier/quotation selection, but an expediting decision is an equally valid choice if that is what they will deploy.</w:t>
      </w:r>
    </w:p>
    <w:p>
      <w:pPr>
        <w:spacing w:after="120"/>
      </w:pPr>
      <w:r>
        <w:t xml:space="preserve">Two open questions make 'just adopt an AI agent' premature. First, LLM providers are not interchangeable — their decisions vary across models and context — so provider choice is itself a decision variable with cost consequences. Second, buyers do not simply execute AI advice: reliance depends on the advice and on the buyer, and following AI is not automatically good (over-reliance) nor is rejecting it automatically bad (appropriate self-reliance). There is little quantitative evidence comparing LLM providers on realistic operational purchasing tasks while accounting for human reliance, especially in a technical SME.</w:t>
      </w:r>
    </w:p>
    <w:p>
      <w:pPr>
        <w:pStyle w:val="Heading1"/>
      </w:pPr>
      <w:r>
        <w:t xml:space="preserve">3. Literature foundation and conceptual framework</w:t>
      </w:r>
    </w:p>
    <w:p>
      <w:pPr>
        <w:spacing w:after="120"/>
      </w:pPr>
      <w:r>
        <w:t xml:space="preserve">Multi-agent AI, buyer behaviour and optimization are not three separate topics here; they connect through one idea — human–AI complementary decision-making. The framework below organises the study and its variables.</w:t>
      </w:r>
    </w:p>
    <w:p>
      <w:pPr>
        <w:spacing w:after="60" w:before="60"/>
        <w:jc w:val="center"/>
      </w:pPr>
      <w:r>
        <w:drawing>
          <wp:inline distT="0" distB="0" distL="0" distR="0">
            <wp:extent cx="5715000" cy="2952750"/>
            <wp:effectExtent t="0" r="0" b="0" l="0"/>
            <wp:docPr id="1" name="framework" descr="AI advisor, buyer and task characteristics shape buyer reliance, which with the optimization benchmark determines decision performance and human-AI complementarity." title="Conceptual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52750"/>
                    </a:xfrm>
                    <a:prstGeom prst="rect">
                      <a:avLst/>
                    </a:prstGeom>
                  </pic:spPr>
                </pic:pic>
              </a:graphicData>
            </a:graphic>
          </wp:inline>
        </w:drawing>
      </w:r>
    </w:p>
    <w:p>
      <w:pPr>
        <w:spacing w:after="140"/>
        <w:jc w:val="center"/>
      </w:pPr>
      <w:r>
        <w:rPr>
          <w:i/>
          <w:iCs/>
          <w:color w:val="777777"/>
          <w:sz w:val="18"/>
          <w:szCs w:val="18"/>
        </w:rPr>
        <w:t xml:space="preserve">Figure 1. Conceptual framework linking advisor/buyer/task characteristics, reliance behaviour, the optimization benchmark, and complementarity.</w:t>
      </w:r>
    </w:p>
    <w:p>
      <w:pPr>
        <w:pStyle w:val="Heading2"/>
      </w:pPr>
      <w:r>
        <w:t xml:space="preserve">3.1 Judge–Advisor System (JAS)</w:t>
      </w:r>
    </w:p>
    <w:p>
      <w:pPr>
        <w:spacing w:after="120"/>
      </w:pPr>
      <w:r>
        <w:t xml:space="preserve">The buyer is the judge with final responsibility; the AI is the advisor. The buyer decides independently, receives advice, then accepts/modifies/rejects it — directly matching the Phase 4 procedure (initial decision → AI proposal → final decision). Classic JAS measures advice uptake with Weight of Advice (WoA), where 0 = ignores advice and 1 = fully follows it (Bonaccio &amp; Dalal 2006).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FF4E5" w:val="clear"/>
            <w:tcMar>
              <w:top w:type="dxa" w:w="120"/>
              <w:left w:type="dxa" w:w="160"/>
              <w:bottom w:type="dxa" w:w="120"/>
              <w:right w:type="dxa" w:w="160"/>
            </w:tcMar>
          </w:tcPr>
          <w:p>
            <w:pPr>
              <w:spacing w:after="80"/>
            </w:pPr>
            <w:r>
              <w:rPr>
                <w:b/>
                <w:bCs/>
                <w:color w:val="1F3864"/>
              </w:rPr>
              <w:t xml:space="preserve">Methodological decision to lock before Phase 4 (open item)</w:t>
            </w:r>
          </w:p>
          <w:p>
            <w:pPr>
              <w:spacing w:after="120"/>
            </w:pPr>
            <w:r>
              <w:t xml:space="preserve">WoA is defined for a single numeric estimate. A purchasing proposal is multi-attribute (supplier, quantity, timing). Reliance must therefore be operationalised explicitly — candidates: per-attribute WoA, a performance-based reliance measure (change in optimality gap from initial → final), or proposal similarity (initial vs AI vs final). Decide and pre-register this with the supervisor before data collection.</w:t>
            </w:r>
          </w:p>
        </w:tc>
      </w:tr>
    </w:tbl>
    <w:p>
      <w:pPr>
        <w:pStyle w:val="Heading2"/>
      </w:pPr>
      <w:r>
        <w:t xml:space="preserve">3.2 Appropriate reliance (central concept)</w:t>
      </w:r>
    </w:p>
    <w:p>
      <w:pPr>
        <w:spacing w:after="120"/>
      </w:pPr>
      <w:r>
        <w:t xml:space="preserve">Reliance should be judged against whether it improves the outcome, not against raw acceptance or 'trust' (Schemmer et al. 2023; Guo et al. 2024):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26"/>
      </w:tblGrid>
      <w:tr>
        <w:tc>
          <w:tcPr>
            <w:tcW w:type="dxa" w:w="3000"/>
            <w:tcBorders>
              <w:top w:val="single" w:color="BBBBBB" w:sz="1"/>
              <w:left w:val="single" w:color="BBBBBB" w:sz="1"/>
              <w:bottom w:val="single" w:color="BBBBBB" w:sz="1"/>
              <w:right w:val="single" w:color="BBBBBB" w:sz="1"/>
            </w:tcBorders>
            <w:shd w:fill="DCE9F5" w:val="clear"/>
            <w:tcMar>
              <w:top w:type="dxa" w:w="70"/>
              <w:left w:type="dxa" w:w="110"/>
              <w:bottom w:type="dxa" w:w="70"/>
              <w:right w:type="dxa" w:w="110"/>
            </w:tcMar>
          </w:tcPr>
          <w:p>
            <w:pPr>
              <w:spacing w:after="0"/>
            </w:pPr>
            <w:r>
              <w:rPr>
                <w:b/>
                <w:bCs/>
              </w:rPr>
              <w:t xml:space="preserve">AI proposal</w:t>
            </w:r>
          </w:p>
        </w:tc>
        <w:tc>
          <w:tcPr>
            <w:tcW w:type="dxa" w:w="2400"/>
            <w:tcBorders>
              <w:top w:val="single" w:color="BBBBBB" w:sz="1"/>
              <w:left w:val="single" w:color="BBBBBB" w:sz="1"/>
              <w:bottom w:val="single" w:color="BBBBBB" w:sz="1"/>
              <w:right w:val="single" w:color="BBBBBB" w:sz="1"/>
            </w:tcBorders>
            <w:shd w:fill="DCE9F5" w:val="clear"/>
            <w:tcMar>
              <w:top w:type="dxa" w:w="70"/>
              <w:left w:type="dxa" w:w="110"/>
              <w:bottom w:type="dxa" w:w="70"/>
              <w:right w:type="dxa" w:w="110"/>
            </w:tcMar>
          </w:tcPr>
          <w:p>
            <w:pPr>
              <w:spacing w:after="0"/>
            </w:pPr>
            <w:r>
              <w:rPr>
                <w:b/>
                <w:bCs/>
              </w:rPr>
              <w:t xml:space="preserve">Buyer response</w:t>
            </w:r>
          </w:p>
        </w:tc>
        <w:tc>
          <w:tcPr>
            <w:tcW w:type="dxa" w:w="3626"/>
            <w:tcBorders>
              <w:top w:val="single" w:color="BBBBBB" w:sz="1"/>
              <w:left w:val="single" w:color="BBBBBB" w:sz="1"/>
              <w:bottom w:val="single" w:color="BBBBBB" w:sz="1"/>
              <w:right w:val="single" w:color="BBBBBB" w:sz="1"/>
            </w:tcBorders>
            <w:shd w:fill="DCE9F5" w:val="clear"/>
            <w:tcMar>
              <w:top w:type="dxa" w:w="70"/>
              <w:left w:type="dxa" w:w="110"/>
              <w:bottom w:type="dxa" w:w="70"/>
              <w:right w:type="dxa" w:w="110"/>
            </w:tcMar>
          </w:tcPr>
          <w:p>
            <w:pPr>
              <w:spacing w:after="0"/>
            </w:pPr>
            <w:r>
              <w:rPr>
                <w:b/>
                <w:bCs/>
              </w:rPr>
              <w:t xml:space="preserve">Interpretation</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t xml:space="preserve">Good</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t xml:space="preserve">Accepts</w:t>
            </w:r>
          </w:p>
        </w:tc>
        <w:tc>
          <w:tcPr>
            <w:tcW w:type="dxa" w:w="36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t xml:space="preserve">Appropriate reliance</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t xml:space="preserve">Good</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t xml:space="preserve">Rejects</w:t>
            </w:r>
          </w:p>
        </w:tc>
        <w:tc>
          <w:tcPr>
            <w:tcW w:type="dxa" w:w="36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t xml:space="preserve">Under-reliance</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t xml:space="preserve">Bad</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t xml:space="preserve">Rejects or improves</w:t>
            </w:r>
          </w:p>
        </w:tc>
        <w:tc>
          <w:tcPr>
            <w:tcW w:type="dxa" w:w="36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t xml:space="preserve">Appropriate self-reliance</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t xml:space="preserve">Bad</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t xml:space="preserve">Accepts</w:t>
            </w:r>
          </w:p>
        </w:tc>
        <w:tc>
          <w:tcPr>
            <w:tcW w:type="dxa" w:w="36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t xml:space="preserve">Over-reliance</w:t>
            </w:r>
          </w:p>
        </w:tc>
      </w:tr>
    </w:tbl>
    <w:p>
      <w:pPr>
        <w:pStyle w:val="Heading2"/>
      </w:pPr>
      <w:r>
        <w:t xml:space="preserve">3.3 Human–AI complementarity (the objective)</w:t>
      </w:r>
    </w:p>
    <w:p>
      <w:pPr>
        <w:spacing w:after="120"/>
      </w:pPr>
      <w:r>
        <w:t xml:space="preserve">The end goal is complementary team performance: the buyer+AI decision should beat both buyer-only and AI-only. This is the theoretical purpose of the simulation, which compares human-only, AI-followed-automatically, observed human–AI behaviour, alternative compliance levels, and the optimization benchmark.</w:t>
      </w:r>
    </w:p>
    <w:p>
      <w:pPr>
        <w:pStyle w:val="Heading2"/>
      </w:pPr>
      <w:r>
        <w:t xml:space="preserve">3.4 Algorithm aversion and appreciation (why buyers deviate)</w:t>
      </w:r>
    </w:p>
    <w:p>
      <w:pPr>
        <w:spacing w:after="120"/>
      </w:pPr>
      <w:r>
        <w:t xml:space="preserve">Aversion (Dietvorst et al. 2015) and appreciation (Logg et al. 2019), plus advice discounting and automation bias, explain cases where buyer behaviour diverges from objective proposal quality — connecting to maverick buying in the purchasing literature.</w:t>
      </w:r>
    </w:p>
    <w:p>
      <w:pPr>
        <w:pStyle w:val="Heading2"/>
      </w:pPr>
      <w:r>
        <w:t xml:space="preserve">3.5 Design Science Research (overall methodology)</w:t>
      </w:r>
    </w:p>
    <w:p>
      <w:pPr>
        <w:spacing w:after="120"/>
      </w:pPr>
      <w:r>
        <w:t xml:space="preserve">Because the project both builds an artifact and evaluates it scientifically, DSRM (Peffers et al.) structures the whole: identify problem → define objectives → design artifact (multi-agent advisor) → demonstrate (historical + synthetic scenarios) → evaluate (LLMs, benchmark, buyers) → communicate (thesis + roadmap). The Technology Acceptance Model is deliberately not the main frame, and TOE is reserved for the implementation-advice section.</w:t>
      </w:r>
    </w:p>
    <w:p>
      <w:pPr>
        <w:pStyle w:val="Heading1"/>
      </w:pPr>
      <w:r>
        <w:t xml:space="preserve">4. Research questions</w:t>
      </w:r>
    </w:p>
    <w:p>
      <w:pPr>
        <w:spacing w:after="120"/>
      </w:pPr>
      <w:r>
        <w:t xml:space="preserve">Main RQ as above. Sub-questions:</w:t>
      </w:r>
    </w:p>
    <w:p>
      <w:pPr>
        <w:pStyle w:val="ListParagraph"/>
        <w:numPr>
          <w:ilvl w:val="0"/>
          <w:numId w:val="2"/>
        </w:numPr>
        <w:spacing w:after="70"/>
      </w:pPr>
      <w:r>
        <w:t xml:space="preserve">Which purchasing decision at Hytech-Pommec offers the best opportunity for quantitative AI-supported optimization?</w:t>
      </w:r>
    </w:p>
    <w:p>
      <w:pPr>
        <w:pStyle w:val="ListParagraph"/>
        <w:numPr>
          <w:ilvl w:val="0"/>
          <w:numId w:val="2"/>
        </w:numPr>
        <w:spacing w:after="70"/>
      </w:pPr>
      <w:r>
        <w:t xml:space="preserve">How do proposals from different LLM providers differ in feasibility, quality, consistency and cost?</w:t>
      </w:r>
    </w:p>
    <w:p>
      <w:pPr>
        <w:pStyle w:val="ListParagraph"/>
        <w:numPr>
          <w:ilvl w:val="0"/>
          <w:numId w:val="2"/>
        </w:numPr>
        <w:spacing w:after="70"/>
      </w:pPr>
      <w:r>
        <w:t xml:space="preserve">How closely do AI proposals approach a deterministic optimization benchmark?</w:t>
      </w:r>
    </w:p>
    <w:p>
      <w:pPr>
        <w:pStyle w:val="ListParagraph"/>
        <w:numPr>
          <w:ilvl w:val="0"/>
          <w:numId w:val="2"/>
        </w:numPr>
        <w:spacing w:after="70"/>
      </w:pPr>
      <w:r>
        <w:t xml:space="preserve">When do buyers accept, modify or reject AI-generated proposals?</w:t>
      </w:r>
    </w:p>
    <w:p>
      <w:pPr>
        <w:pStyle w:val="ListParagraph"/>
        <w:numPr>
          <w:ilvl w:val="0"/>
          <w:numId w:val="2"/>
        </w:numPr>
        <w:spacing w:after="70"/>
      </w:pPr>
      <w:r>
        <w:t xml:space="preserve">How do those buyer behaviours affect total procurement performance?</w:t>
      </w:r>
    </w:p>
    <w:p>
      <w:pPr>
        <w:pStyle w:val="ListParagraph"/>
        <w:numPr>
          <w:ilvl w:val="0"/>
          <w:numId w:val="2"/>
        </w:numPr>
        <w:spacing w:after="70"/>
      </w:pPr>
      <w:r>
        <w:t xml:space="preserve">How should Hytech-Pommec implement AI-supported purchasing while retaining appropriate human control?</w:t>
      </w:r>
    </w:p>
    <w:p>
      <w:pPr>
        <w:pStyle w:val="Heading1"/>
      </w:pPr>
      <w:r>
        <w:t xml:space="preserve">5. Variables and hypotheses</w:t>
      </w:r>
    </w:p>
    <w:p>
      <w:pPr>
        <w:spacing w:after="120"/>
      </w:pPr>
      <w:r>
        <w:rPr>
          <w:b/>
          <w:bCs/>
        </w:rPr>
        <w:t xml:space="preserve">Independent: </w:t>
      </w:r>
      <w:r>
        <w:t xml:space="preserve">LLM provider; AI-proposal quality; scenario complexity; urgency; information availability.  </w:t>
      </w:r>
      <w:r>
        <w:rPr>
          <w:b/>
          <w:bCs/>
        </w:rPr>
        <w:t xml:space="preserve">Mediator: </w:t>
      </w:r>
      <w:r>
        <w:t xml:space="preserve">buyer reliance (accept / modify / reject).  </w:t>
      </w:r>
      <w:r>
        <w:rPr>
          <w:b/>
          <w:bCs/>
        </w:rPr>
        <w:t xml:space="preserve">Dependent: </w:t>
      </w:r>
      <w:r>
        <w:t xml:space="preserve">final optimality gap; constraint-violation rate; cost / lead-time / quality / risk; human–AI complementary performance.  </w:t>
      </w:r>
      <w:r>
        <w:rPr>
          <w:b/>
          <w:bCs/>
        </w:rPr>
        <w:t xml:space="preserve">Controls: </w:t>
      </w:r>
      <w:r>
        <w:t xml:space="preserve">buyer experience; AI familiarity; purchase category; scenario type; initial-decision quality.</w:t>
      </w:r>
    </w:p>
    <w:p>
      <w:pPr>
        <w:pStyle w:val="ListParagraph"/>
        <w:numPr>
          <w:ilvl w:val="0"/>
          <w:numId w:val="3"/>
        </w:numPr>
        <w:spacing w:after="70"/>
      </w:pPr>
      <w:r>
        <w:rPr>
          <w:b/>
          <w:bCs/>
        </w:rPr>
        <w:t xml:space="preserve">H1. </w:t>
      </w:r>
      <w:r>
        <w:t xml:space="preserve">LLM providers differ significantly in proposal quality and constraint-violation rates.</w:t>
      </w:r>
    </w:p>
    <w:p>
      <w:pPr>
        <w:pStyle w:val="ListParagraph"/>
        <w:numPr>
          <w:ilvl w:val="0"/>
          <w:numId w:val="3"/>
        </w:numPr>
        <w:spacing w:after="70"/>
      </w:pPr>
      <w:r>
        <w:rPr>
          <w:b/>
          <w:bCs/>
        </w:rPr>
        <w:t xml:space="preserve">H2. </w:t>
      </w:r>
      <w:r>
        <w:t xml:space="preserve">Buyers rely more strongly on proposals of higher objective quality.</w:t>
      </w:r>
    </w:p>
    <w:p>
      <w:pPr>
        <w:pStyle w:val="ListParagraph"/>
        <w:numPr>
          <w:ilvl w:val="0"/>
          <w:numId w:val="3"/>
        </w:numPr>
        <w:spacing w:after="70"/>
      </w:pPr>
      <w:r>
        <w:rPr>
          <w:b/>
          <w:bCs/>
        </w:rPr>
        <w:t xml:space="preserve">H3. </w:t>
      </w:r>
      <w:r>
        <w:t xml:space="preserve">Buyer modifications improve low-quality proposals but reduce the benefit of high-quality ones.</w:t>
      </w:r>
    </w:p>
    <w:p>
      <w:pPr>
        <w:pStyle w:val="ListParagraph"/>
        <w:numPr>
          <w:ilvl w:val="0"/>
          <w:numId w:val="3"/>
        </w:numPr>
        <w:spacing w:after="70"/>
      </w:pPr>
      <w:r>
        <w:rPr>
          <w:b/>
          <w:bCs/>
        </w:rPr>
        <w:t xml:space="preserve">H4. </w:t>
      </w:r>
      <w:r>
        <w:t xml:space="preserve">Appropriate reliance yields better final decisions than automatically following AI advice.</w:t>
      </w:r>
    </w:p>
    <w:p>
      <w:pPr>
        <w:pStyle w:val="ListParagraph"/>
        <w:numPr>
          <w:ilvl w:val="0"/>
          <w:numId w:val="3"/>
        </w:numPr>
        <w:spacing w:after="70"/>
      </w:pPr>
      <w:r>
        <w:rPr>
          <w:b/>
          <w:bCs/>
        </w:rPr>
        <w:t xml:space="preserve">H5. </w:t>
      </w:r>
      <w:r>
        <w:t xml:space="preserve">Human–AI collaboration beats human-only, but not necessarily the optimization benchmark.</w:t>
      </w:r>
    </w:p>
    <w:p>
      <w:r>
        <w:br w:type="page"/>
      </w:r>
    </w:p>
    <w:p>
      <w:pPr>
        <w:pStyle w:val="Heading1"/>
      </w:pPr>
      <w:r>
        <w:t xml:space="preserve">6. Research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E6F0EA" w:val="clear"/>
            <w:tcMar>
              <w:top w:type="dxa" w:w="120"/>
              <w:left w:type="dxa" w:w="160"/>
              <w:bottom w:type="dxa" w:w="120"/>
              <w:right w:type="dxa" w:w="160"/>
            </w:tcMar>
          </w:tcPr>
          <w:p>
            <w:pPr>
              <w:spacing w:after="80"/>
            </w:pPr>
            <w:r>
              <w:rPr>
                <w:b/>
                <w:bCs/>
                <w:color w:val="1F3864"/>
              </w:rPr>
              <w:t xml:space="preserve">Scope discipline — core vs extension</w:t>
            </w:r>
          </w:p>
          <w:p>
            <w:pPr>
              <w:spacing w:after="120"/>
            </w:pPr>
            <w:r>
              <w:rPr>
                <w:b/>
                <w:bCs/>
              </w:rPr>
              <w:t xml:space="preserve">Core thesis (must finish, stands alone): </w:t>
            </w:r>
            <w:r>
              <w:t xml:space="preserve">Phases 1–3 + the optimization benchmark + the simulation parameterised from literature/historical compliance levels. This answers the main RQ and the provider comparison without any human-subjects data.</w:t>
            </w:r>
          </w:p>
          <w:p>
            <w:pPr>
              <w:spacing w:after="120"/>
            </w:pPr>
            <w:r>
              <w:rPr>
                <w:b/>
                <w:bCs/>
              </w:rPr>
              <w:t xml:space="preserve">High-value extension (Phase 4 buyer study): </w:t>
            </w:r>
            <w:r>
              <w:t xml:space="preserve">the live accept/modify/reject experiment. It is the most fragile element (ethics approval + recruiting &lt;10 buyers) and runs partly while the supervisor is away, so it is explicitly a go/no-go: if ethics or recruitment slips, the simulation uses literature-based compliance profiles and the thesis still stands. Start the TU/e ethics application in September, in parallel.</w:t>
            </w:r>
          </w:p>
        </w:tc>
      </w:tr>
    </w:tbl>
    <w:p>
      <w:pPr>
        <w:pStyle w:val="Heading2"/>
      </w:pPr>
      <w:r>
        <w:t xml:space="preserve">6.1 Phase 1 — Process mapping and case selection (Sept)</w:t>
      </w:r>
    </w:p>
    <w:p>
      <w:pPr>
        <w:spacing w:after="120"/>
      </w:pPr>
      <w:r>
        <w:t xml:space="preserve">Map the purchasing process from company documents, data and buyer interviews. Score candidate decisions (supplier selection, order quantity, order timing, integrated proposals) on a rubric: data availability, decision frequency, measurable performance, business value, ability to build a benchmark, suitability for repeated scenarios. Select the highest-scoring decision; default to supplier/quotation selection on a tie. Deliverable: process model + data inventory + motivated case choice.</w:t>
      </w:r>
    </w:p>
    <w:p>
      <w:pPr>
        <w:pStyle w:val="Heading2"/>
      </w:pPr>
      <w:r>
        <w:t xml:space="preserve">6.2 Phase 2 — Quantitative benchmark (Oct–Nov)</w:t>
      </w:r>
    </w:p>
    <w:p>
      <w:pPr>
        <w:spacing w:after="120"/>
      </w:pPr>
      <w:r>
        <w:t xml:space="preserve">Build a deterministic optimization model of the selected decision, balancing purchase cost, lead time, quality/supplier risk, inventory/delivery risk and constraints. Buyers define hard constraints and objective weights; historical outcomes validate that the model produces realistic proposals.</w:t>
      </w:r>
    </w:p>
    <w:p>
      <w:pPr>
        <w:pStyle w:val="Heading2"/>
      </w:pPr>
      <w:r>
        <w:t xml:space="preserve">6.3 Phase 3 — LLM comparison (Nov–Dec)</w:t>
      </w:r>
    </w:p>
    <w:p>
      <w:pPr>
        <w:spacing w:after="120"/>
      </w:pPr>
      <w:r>
        <w:t xml:space="preserve">One fixed multi-agent configuration: (1) requirements agent, (2) commercial agent, (3) risk agent, (4) integration agent producing the final proposal. Run it on three providers with identical prompts, inputs, tools, output format and call counts. Each proposal contains: recommended supplier/allocation; quantities and timing; expected cost and lead time; risk/quality assessment; constraint checks; assumptions and rationale; and uncertainty information. Evaluate on ≥30 held-out scenarios with 10 repeated runs each.</w:t>
      </w:r>
    </w:p>
    <w:p>
      <w:pPr>
        <w:spacing w:after="120"/>
      </w:pPr>
      <w:r>
        <w:rPr>
          <w:b/>
          <w:bCs/>
        </w:rPr>
        <w:t xml:space="preserve">Primary metrics: </w:t>
      </w:r>
      <w:r>
        <w:t xml:space="preserve">optimality gap vs benchmark; constraint-violation rate; expert-rated practicality; consistency across repeated runs; robustness under incomplete/changed information; processing time and API cost.</w:t>
      </w:r>
    </w:p>
    <w:p>
      <w:pPr>
        <w:pStyle w:val="Heading2"/>
      </w:pPr>
      <w:r>
        <w:t xml:space="preserve">6.4 Phase 4 — Buyer decision study (Dec) — extension</w:t>
      </w:r>
    </w:p>
    <w:p>
      <w:pPr>
        <w:spacing w:after="120"/>
      </w:pPr>
      <w:r>
        <w:t xml:space="preserve">Target 6–9 buyers, ~12 randomized scenarios each: (1) decide without AI, (2) receive one blinded proposal, (3) accept/modify/reject, (4) give a final decision and short reason. Measure accept/modify/reject rates; appropriate reliance on correct vs incorrect advice; initial-vs-final change; objective-performance change; override reasons. Small-n, so treated as exploratory: within-person comparisons and buyer-clustered confidence intervals.</w:t>
      </w:r>
    </w:p>
    <w:p>
      <w:pPr>
        <w:spacing w:after="120"/>
      </w:pPr>
      <w:r>
        <w:rPr>
          <w:b/>
          <w:bCs/>
        </w:rPr>
        <w:t xml:space="preserve">Confidence handling: </w:t>
      </w:r>
      <w:r>
        <w:t xml:space="preserve">self-reported statements such as "95% confident" are not treated as reliable confidence in the primary analysis (calibration gap). Confidence is estimated from repeated-run consistency and historical validation.</w:t>
      </w:r>
    </w:p>
    <w:p>
      <w:pPr>
        <w:pStyle w:val="Heading2"/>
      </w:pPr>
      <w:r>
        <w:t xml:space="preserve">6.5 Phase 5 — Simulation (Dec)</w:t>
      </w:r>
    </w:p>
    <w:p>
      <w:pPr>
        <w:spacing w:after="120"/>
      </w:pPr>
      <w:r>
        <w:t xml:space="preserve">Monte-Carlo simulation combining historical scenarios, each provider's proposals, benchmark proposals and buyer behaviour; ≥1,000 runs per model and behaviour profile. Compare human-only, AI-followed-automatically, AI-with-observed-behaviour, AI under alternative compliance levels, and benchmark — revealing whether buyer deviations improve feasibility, catch AI errors, or erode optimization gains.</w:t>
      </w:r>
    </w:p>
    <w:p>
      <w:pPr>
        <w:pStyle w:val="Heading1"/>
      </w:pPr>
      <w:r>
        <w:t xml:space="preserve">7. Analysis and validation</w:t>
      </w:r>
    </w:p>
    <w:p>
      <w:pPr>
        <w:spacing w:after="120"/>
      </w:pPr>
      <w:r>
        <w:t xml:space="preserve">Paired scenario-level comparisons (every model sees the same cases): Friedman tests with corrected pairwise Wilcoxon for model differences; bootstrap confidence intervals; inter-rater agreement for expert feasibility scores; sensitivity analysis on objective weights and buyer compliance; historical and synthetic scenarios reported separately. Scenario set spans normal, urgent, supplier-disruption, conflicting-objective, quality-risk and incomplete-data cases.</w:t>
      </w:r>
    </w:p>
    <w:p>
      <w:pPr>
        <w:pStyle w:val="Heading1"/>
      </w:pPr>
      <w:r>
        <w:t xml:space="preserve">8. Timeline (Sept 2026 – Jan 2027)</w:t>
      </w:r>
    </w:p>
    <w:p>
      <w:pPr>
        <w:spacing w:after="120"/>
      </w:pPr>
      <w:r>
        <w:rPr>
          <w:i/>
          <w:iCs/>
        </w:rPr>
        <w:t xml:space="preserve">Front-loaded so design-critical decisions happen before the supervisor's possible Paris exchange (Sept–Oct); freeze the design and evaluation protocol by end of October; remote supervisor meetings scheduled for Sept–Oct.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c>
          <w:tcPr>
            <w:tcW w:type="dxa" w:w="2100"/>
            <w:tcBorders>
              <w:top w:val="single" w:color="BBBBBB" w:sz="1"/>
              <w:left w:val="single" w:color="BBBBBB" w:sz="1"/>
              <w:bottom w:val="single" w:color="BBBBBB" w:sz="1"/>
              <w:right w:val="single" w:color="BBBBBB" w:sz="1"/>
            </w:tcBorders>
            <w:shd w:fill="DCE9F5" w:val="clear"/>
            <w:tcMar>
              <w:top w:type="dxa" w:w="70"/>
              <w:left w:type="dxa" w:w="110"/>
              <w:bottom w:type="dxa" w:w="70"/>
              <w:right w:type="dxa" w:w="110"/>
            </w:tcMar>
          </w:tcPr>
          <w:p>
            <w:pPr>
              <w:spacing w:after="0"/>
            </w:pPr>
            <w:r>
              <w:rPr>
                <w:b/>
                <w:bCs/>
              </w:rPr>
              <w:t xml:space="preserve">Month</w:t>
            </w:r>
          </w:p>
        </w:tc>
        <w:tc>
          <w:tcPr>
            <w:tcW w:type="dxa" w:w="6926"/>
            <w:tcBorders>
              <w:top w:val="single" w:color="BBBBBB" w:sz="1"/>
              <w:left w:val="single" w:color="BBBBBB" w:sz="1"/>
              <w:bottom w:val="single" w:color="BBBBBB" w:sz="1"/>
              <w:right w:val="single" w:color="BBBBBB" w:sz="1"/>
            </w:tcBorders>
            <w:shd w:fill="DCE9F5" w:val="clear"/>
            <w:tcMar>
              <w:top w:type="dxa" w:w="70"/>
              <w:left w:type="dxa" w:w="110"/>
              <w:bottom w:type="dxa" w:w="70"/>
              <w:right w:type="dxa" w:w="110"/>
            </w:tcMar>
          </w:tcPr>
          <w:p>
            <w:pPr>
              <w:spacing w:after="0"/>
            </w:pPr>
            <w:r>
              <w:rPr>
                <w:b/>
                <w:bCs/>
              </w:rPr>
              <w:t xml:space="preserve">Work</w:t>
            </w:r>
          </w:p>
        </w:tc>
      </w:tr>
      <w:tr>
        <w:tc>
          <w:tcPr>
            <w:tcW w:type="dxa" w:w="21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t xml:space="preserve">September</w:t>
            </w:r>
          </w:p>
        </w:tc>
        <w:tc>
          <w:tcPr>
            <w:tcW w:type="dxa" w:w="69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t xml:space="preserve">Literature review; process mapping; privacy/data agreement; initial data collection; start TU/e ethics application (gates Phase 4).</w:t>
            </w:r>
          </w:p>
        </w:tc>
      </w:tr>
      <w:tr>
        <w:tc>
          <w:tcPr>
            <w:tcW w:type="dxa" w:w="21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t xml:space="preserve">October</w:t>
            </w:r>
          </w:p>
        </w:tc>
        <w:tc>
          <w:tcPr>
            <w:tcW w:type="dxa" w:w="69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t xml:space="preserve">Decision-selection rubric; research-design approval; historical-data preparation; freeze design &amp; evaluation protocol; lock reliance metric (§3.1).</w:t>
            </w:r>
          </w:p>
        </w:tc>
      </w:tr>
      <w:tr>
        <w:tc>
          <w:tcPr>
            <w:tcW w:type="dxa" w:w="21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t xml:space="preserve">November</w:t>
            </w:r>
          </w:p>
        </w:tc>
        <w:tc>
          <w:tcPr>
            <w:tcW w:type="dxa" w:w="69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t xml:space="preserve">Optimization benchmark; multi-agent configuration; scenario development; pilot testing.</w:t>
            </w:r>
          </w:p>
        </w:tc>
      </w:tr>
      <w:tr>
        <w:tc>
          <w:tcPr>
            <w:tcW w:type="dxa" w:w="21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t xml:space="preserve">December</w:t>
            </w:r>
          </w:p>
        </w:tc>
        <w:tc>
          <w:tcPr>
            <w:tcW w:type="dxa" w:w="69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t xml:space="preserve">LLM experiments; buyer study (if ethics/recruitment ready); simulation; go/no-go on Phase 4.</w:t>
            </w:r>
          </w:p>
        </w:tc>
      </w:tr>
      <w:tr>
        <w:tc>
          <w:tcPr>
            <w:tcW w:type="dxa" w:w="21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t xml:space="preserve">January</w:t>
            </w:r>
          </w:p>
        </w:tc>
        <w:tc>
          <w:tcPr>
            <w:tcW w:type="dxa" w:w="69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t xml:space="preserve">Statistical analysis; implementation advice; final thesis; management presentation.</w:t>
            </w:r>
          </w:p>
        </w:tc>
      </w:tr>
    </w:tbl>
    <w:p>
      <w:pPr>
        <w:pStyle w:val="Heading1"/>
      </w:pPr>
      <w:r>
        <w:t xml:space="preserve">9. Deliverables</w:t>
      </w:r>
    </w:p>
    <w:p>
      <w:pPr>
        <w:pStyle w:val="ListParagraph"/>
        <w:numPr>
          <w:ilvl w:val="0"/>
          <w:numId w:val="4"/>
        </w:numPr>
        <w:spacing w:after="70"/>
      </w:pPr>
      <w:r>
        <w:t xml:space="preserve">Current purchasing-process analysis.</w:t>
      </w:r>
    </w:p>
    <w:p>
      <w:pPr>
        <w:pStyle w:val="ListParagraph"/>
        <w:numPr>
          <w:ilvl w:val="0"/>
          <w:numId w:val="4"/>
        </w:numPr>
        <w:spacing w:after="70"/>
      </w:pPr>
      <w:r>
        <w:t xml:space="preserve">Literature review on AI decision support, appropriate reliance and procurement optimization.</w:t>
      </w:r>
    </w:p>
    <w:p>
      <w:pPr>
        <w:pStyle w:val="ListParagraph"/>
        <w:numPr>
          <w:ilvl w:val="0"/>
          <w:numId w:val="4"/>
        </w:numPr>
        <w:spacing w:after="70"/>
      </w:pPr>
      <w:r>
        <w:t xml:space="preserve">Quantitative optimization benchmark.</w:t>
      </w:r>
    </w:p>
    <w:p>
      <w:pPr>
        <w:pStyle w:val="ListParagraph"/>
        <w:numPr>
          <w:ilvl w:val="0"/>
          <w:numId w:val="4"/>
        </w:numPr>
        <w:spacing w:after="70"/>
      </w:pPr>
      <w:r>
        <w:t xml:space="preserve">Comparison of three LLM providers.</w:t>
      </w:r>
    </w:p>
    <w:p>
      <w:pPr>
        <w:pStyle w:val="ListParagraph"/>
        <w:numPr>
          <w:ilvl w:val="0"/>
          <w:numId w:val="4"/>
        </w:numPr>
        <w:spacing w:after="70"/>
      </w:pPr>
      <w:r>
        <w:t xml:space="preserve">Buyer-behaviour dataset and analysis (extension).</w:t>
      </w:r>
    </w:p>
    <w:p>
      <w:pPr>
        <w:pStyle w:val="ListParagraph"/>
        <w:numPr>
          <w:ilvl w:val="0"/>
          <w:numId w:val="4"/>
        </w:numPr>
        <w:spacing w:after="70"/>
      </w:pPr>
      <w:r>
        <w:t xml:space="preserve">Human-in-the-loop procurement simulation.</w:t>
      </w:r>
    </w:p>
    <w:p>
      <w:pPr>
        <w:pStyle w:val="ListParagraph"/>
        <w:numPr>
          <w:ilvl w:val="0"/>
          <w:numId w:val="4"/>
        </w:numPr>
        <w:spacing w:after="70"/>
      </w:pPr>
      <w:r>
        <w:t xml:space="preserve">Concrete process-optimization proposal.</w:t>
      </w:r>
    </w:p>
    <w:p>
      <w:pPr>
        <w:pStyle w:val="ListParagraph"/>
        <w:numPr>
          <w:ilvl w:val="0"/>
          <w:numId w:val="4"/>
        </w:numPr>
        <w:spacing w:after="70"/>
      </w:pPr>
      <w:r>
        <w:t xml:space="preserve">Implementation roadmap (governance, privacy, costs, human responsibilities).</w:t>
      </w:r>
    </w:p>
    <w:p>
      <w:pPr>
        <w:pStyle w:val="ListParagraph"/>
        <w:numPr>
          <w:ilvl w:val="0"/>
          <w:numId w:val="4"/>
        </w:numPr>
        <w:spacing w:after="70"/>
      </w:pPr>
      <w:r>
        <w:t xml:space="preserve">Final bachelor thesis and management presentation.</w:t>
      </w:r>
    </w:p>
    <w:p>
      <w:pPr>
        <w:pStyle w:val="Heading1"/>
      </w:pPr>
      <w:r>
        <w:t xml:space="preserve">10. Risks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BBBBB" w:sz="1"/>
              <w:left w:val="single" w:color="BBBBBB" w:sz="1"/>
              <w:bottom w:val="single" w:color="BBBBBB" w:sz="1"/>
              <w:right w:val="single" w:color="BBBBBB" w:sz="1"/>
            </w:tcBorders>
            <w:shd w:fill="DCE9F5" w:val="clear"/>
            <w:tcMar>
              <w:top w:type="dxa" w:w="70"/>
              <w:left w:type="dxa" w:w="110"/>
              <w:bottom w:type="dxa" w:w="70"/>
              <w:right w:type="dxa" w:w="110"/>
            </w:tcMar>
          </w:tcPr>
          <w:p>
            <w:pPr>
              <w:spacing w:after="0"/>
            </w:pPr>
            <w:r>
              <w:rPr>
                <w:b/>
                <w:bCs/>
              </w:rPr>
              <w:t xml:space="preserve">Risk</w:t>
            </w:r>
          </w:p>
        </w:tc>
        <w:tc>
          <w:tcPr>
            <w:tcW w:type="dxa" w:w="6026"/>
            <w:tcBorders>
              <w:top w:val="single" w:color="BBBBBB" w:sz="1"/>
              <w:left w:val="single" w:color="BBBBBB" w:sz="1"/>
              <w:bottom w:val="single" w:color="BBBBBB" w:sz="1"/>
              <w:right w:val="single" w:color="BBBBBB" w:sz="1"/>
            </w:tcBorders>
            <w:shd w:fill="DCE9F5" w:val="clear"/>
            <w:tcMar>
              <w:top w:type="dxa" w:w="70"/>
              <w:left w:type="dxa" w:w="110"/>
              <w:bottom w:type="dxa" w:w="70"/>
              <w:right w:type="dxa" w:w="110"/>
            </w:tcMar>
          </w:tcPr>
          <w:p>
            <w:pPr>
              <w:spacing w:after="0"/>
            </w:pPr>
            <w:r>
              <w:rPr>
                <w:b/>
                <w:bCs/>
              </w:rPr>
              <w:t xml:space="preserve">Mitigation</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t xml:space="preserve">Overscope (5 phases, one student, 5 months)</w:t>
            </w:r>
          </w:p>
        </w:tc>
        <w:tc>
          <w:tcPr>
            <w:tcW w:type="dxa" w:w="60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t xml:space="preserve">Core-vs-extension split (§6); Phase 4 is a go/no-go; core thesis answerable from Phases 1–3 + simulation alone.</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t xml:space="preserve">Ethics approval / buyer recruitment for Phase 4</w:t>
            </w:r>
          </w:p>
        </w:tc>
        <w:tc>
          <w:tcPr>
            <w:tcW w:type="dxa" w:w="60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t xml:space="preserve">Apply to TU/e ERB in September, in parallel; fall back to literature-based compliance profiles in the simulation if it slips.</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t xml:space="preserve">Supervisor abroad Sept–Oct</w:t>
            </w:r>
          </w:p>
        </w:tc>
        <w:tc>
          <w:tcPr>
            <w:tcW w:type="dxa" w:w="60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t xml:space="preserve">Front-load design decisions; scheduled remote meetings; freeze protocol by end Oct; second group contact [TBC].</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t xml:space="preserve">Reliance metric ill-defined for multi-attribute proposals</w:t>
            </w:r>
          </w:p>
        </w:tc>
        <w:tc>
          <w:tcPr>
            <w:tcW w:type="dxa" w:w="60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t xml:space="preserve">Lock operationalization (§3.1) before data collection; pre-register.</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t xml:space="preserve">Company data confidentiality</w:t>
            </w:r>
          </w:p>
        </w:tc>
        <w:tc>
          <w:tcPr>
            <w:tcW w:type="dxa" w:w="60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t xml:space="preserve">Anonymise / synthetically mirror data; no external-API data without approval; open-weights model as fallback; report synthetic separately.</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t xml:space="preserve">LLM nondeterminism &amp; version drift</w:t>
            </w:r>
          </w:p>
        </w:tc>
        <w:tc>
          <w:tcPr>
            <w:tcW w:type="dxa" w:w="60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t xml:space="preserve">Pin model versions; fixed decoding; 10 replications; log all prompts/outputs.</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t xml:space="preserve">API access and cost</w:t>
            </w:r>
          </w:p>
        </w:tc>
        <w:tc>
          <w:tcPr>
            <w:tcW w:type="dxa" w:w="6026"/>
            <w:tcBorders>
              <w:top w:val="single" w:color="BBBBBB" w:sz="1"/>
              <w:left w:val="single" w:color="BBBBBB" w:sz="1"/>
              <w:bottom w:val="single" w:color="BBBBBB" w:sz="1"/>
              <w:right w:val="single" w:color="BBBBBB" w:sz="1"/>
            </w:tcBorders>
            <w:tcMar>
              <w:top w:type="dxa" w:w="70"/>
              <w:left w:type="dxa" w:w="110"/>
              <w:bottom w:type="dxa" w:w="70"/>
              <w:right w:type="dxa" w:w="110"/>
            </w:tcMar>
          </w:tcPr>
          <w:p>
            <w:pPr>
              <w:spacing w:after="0"/>
            </w:pPr>
            <w:r>
              <w:t xml:space="preserve">Per-1,000-call estimate before committing; smaller tiers; caching; budget [TBC].</w:t>
            </w:r>
          </w:p>
        </w:tc>
      </w:tr>
    </w:tbl>
    <w:p>
      <w:pPr>
        <w:pStyle w:val="Heading1"/>
      </w:pPr>
      <w:r>
        <w:t xml:space="preserve">11. Assumptions and controls</w:t>
      </w:r>
    </w:p>
    <w:p>
      <w:pPr>
        <w:pStyle w:val="ListParagraph"/>
        <w:numPr>
          <w:ilvl w:val="0"/>
          <w:numId w:val="4"/>
        </w:numPr>
        <w:spacing w:after="70"/>
      </w:pPr>
      <w:r>
        <w:t xml:space="preserve">Hytech-Pommec provides anonymized purchasing data and access to fewer than ten buyers.</w:t>
      </w:r>
    </w:p>
    <w:p>
      <w:pPr>
        <w:pStyle w:val="ListParagraph"/>
        <w:numPr>
          <w:ilvl w:val="0"/>
          <w:numId w:val="4"/>
        </w:numPr>
        <w:spacing w:after="70"/>
      </w:pPr>
      <w:r>
        <w:t xml:space="preserve">Three LLM APIs available; model names/versions frozen and documented when evaluation begins.</w:t>
      </w:r>
    </w:p>
    <w:p>
      <w:pPr>
        <w:pStyle w:val="ListParagraph"/>
        <w:numPr>
          <w:ilvl w:val="0"/>
          <w:numId w:val="4"/>
        </w:numPr>
        <w:spacing w:after="70"/>
      </w:pPr>
      <w:r>
        <w:t xml:space="preserve">Company data only sent to externally hosted models after company approval.</w:t>
      </w:r>
    </w:p>
    <w:p>
      <w:pPr>
        <w:pStyle w:val="ListParagraph"/>
        <w:numPr>
          <w:ilvl w:val="0"/>
          <w:numId w:val="4"/>
        </w:numPr>
        <w:spacing w:after="70"/>
      </w:pPr>
      <w:r>
        <w:t xml:space="preserve">AI remains advisory and does not autonomously place orders.</w:t>
      </w:r>
    </w:p>
    <w:p>
      <w:pPr>
        <w:pStyle w:val="ListParagraph"/>
        <w:numPr>
          <w:ilvl w:val="0"/>
          <w:numId w:val="4"/>
        </w:numPr>
        <w:spacing w:after="70"/>
      </w:pPr>
      <w:r>
        <w:t xml:space="preserve">If fewer than 30 usable historical cases exist, calibrated synthetic scenarios supplement them and are reported separately.</w:t>
      </w:r>
    </w:p>
    <w:p>
      <w:pPr>
        <w:pStyle w:val="ListParagraph"/>
        <w:numPr>
          <w:ilvl w:val="0"/>
          <w:numId w:val="4"/>
        </w:numPr>
        <w:spacing w:after="70"/>
      </w:pPr>
      <w:r>
        <w:t xml:space="preserve">Conclusions concern the evaluated model versions and the selected decision, not all AI systems or all procurement activity.</w:t>
      </w:r>
    </w:p>
    <w:p>
      <w:pPr>
        <w:pStyle w:val="Heading1"/>
      </w:pPr>
      <w:r>
        <w:t xml:space="preserve">12. Reading list (annotated)</w:t>
      </w:r>
    </w:p>
    <w:p>
      <w:pPr>
        <w:spacing w:after="120"/>
      </w:pPr>
      <w:r>
        <w:rPr>
          <w:i/>
          <w:iCs/>
          <w:color w:val="777777"/>
          <w:sz w:val="18"/>
          <w:szCs w:val="18"/>
        </w:rPr>
        <w:t xml:space="preserve">Links verified 16 June 2026. Author lists abbreviated; complete citation details before submission.</w:t>
      </w:r>
    </w:p>
    <w:p>
      <w:pPr>
        <w:pStyle w:val="Heading2"/>
      </w:pPr>
      <w:r>
        <w:t xml:space="preserve">Framework: reliance, complementarity, methodology</w:t>
      </w:r>
    </w:p>
    <w:p>
      <w:pPr>
        <w:spacing w:after="90"/>
        <w:ind w:left="270" w:hanging="270"/>
      </w:pPr>
      <w:r>
        <w:t xml:space="preserve">Bonaccio, S., &amp; Dalal, R. S. (2006). Advice taking and decision-making: An integrative literature review. Organizational Behavior and Human Decision Processes, 101(2). Foundational review of the Judge–Advisor System and Weight-of-Advice. </w:t>
      </w:r>
      <w:hyperlink w:history="1" r:id="rIdaslsey87mebdykve7e0vm">
        <w:r>
          <w:rPr>
            <w:rStyle w:val="Hyperlink"/>
          </w:rPr>
          <w:t xml:space="preserve">[link]</w:t>
        </w:r>
      </w:hyperlink>
    </w:p>
    <w:p>
      <w:pPr>
        <w:spacing w:after="90"/>
        <w:ind w:left="270" w:hanging="270"/>
      </w:pPr>
      <w:r>
        <w:t xml:space="preserve">Schemmer, M., Kühl, N., Benz, C., Bartos, A., &amp; Satzger, G. (2023). Appropriate Reliance on AI Advice: Conceptualization and the Effect of Explanations. ACM IUI 2023 (arXiv:2302.02187). Defines Appropriateness of Reliance (AoR) as a two-dimensional, measurable concept — your central theoretical anchor. </w:t>
      </w:r>
      <w:hyperlink w:history="1" r:id="rId8-zdeufw6glz4gmk1pxqi">
        <w:r>
          <w:rPr>
            <w:rStyle w:val="Hyperlink"/>
          </w:rPr>
          <w:t xml:space="preserve">[link]</w:t>
        </w:r>
      </w:hyperlink>
    </w:p>
    <w:p>
      <w:pPr>
        <w:spacing w:after="90"/>
        <w:ind w:left="270" w:hanging="270"/>
      </w:pPr>
      <w:r>
        <w:t xml:space="preserve">Guo, Z., Wu, Y., Hartline, J., &amp; Hullman, J. (2024). A Decision-Theoretic Framework for Measuring AI Reliance (arXiv:2401.15356). Statistical grounding for reliance; useful to define your reliance metric rigorously. </w:t>
      </w:r>
      <w:hyperlink w:history="1" r:id="rIdrg0ymbmr10v1kksnojutc">
        <w:r>
          <w:rPr>
            <w:rStyle w:val="Hyperlink"/>
          </w:rPr>
          <w:t xml:space="preserve">[link]</w:t>
        </w:r>
      </w:hyperlink>
    </w:p>
    <w:p>
      <w:pPr>
        <w:spacing w:after="90"/>
        <w:ind w:left="270" w:hanging="270"/>
      </w:pPr>
      <w:r>
        <w:t xml:space="preserve">Schemmer, M., et al. (2023). Towards Effective Human-AI Decision-Making: The Role of Human Learning in Appropriate Reliance (arXiv:2310.02108). Reliance and complementarity over time. </w:t>
      </w:r>
      <w:hyperlink w:history="1" r:id="rIdr615bow21rcykbuq8ekte">
        <w:r>
          <w:rPr>
            <w:rStyle w:val="Hyperlink"/>
          </w:rPr>
          <w:t xml:space="preserve">[link]</w:t>
        </w:r>
      </w:hyperlink>
    </w:p>
    <w:p>
      <w:pPr>
        <w:spacing w:after="90"/>
        <w:ind w:left="270" w:hanging="270"/>
      </w:pPr>
      <w:r>
        <w:t xml:space="preserve">Fine-Grained Appropriate Reliance in Multi-Step Workflows (arXiv:2501.10909). Reliance when advice spans several linked decisions — relevant to multi-attribute purchasing proposals. </w:t>
      </w:r>
      <w:hyperlink w:history="1" r:id="rIdahj9x3svivtjxncssuwyo">
        <w:r>
          <w:rPr>
            <w:rStyle w:val="Hyperlink"/>
          </w:rPr>
          <w:t xml:space="preserve">[link]</w:t>
        </w:r>
      </w:hyperlink>
    </w:p>
    <w:p>
      <w:pPr>
        <w:spacing w:after="90"/>
        <w:ind w:left="270" w:hanging="270"/>
      </w:pPr>
      <w:r>
        <w:t xml:space="preserve">Dietvorst, B. J., Simmons, J. P., &amp; Massey, C. (2015). Algorithm aversion: People erroneously avoid algorithms after seeing them err. Journal of Experimental Psychology: General, 144(1). Explains rejection of AI advice after observed errors. </w:t>
      </w:r>
      <w:hyperlink w:history="1" r:id="rId7f8gy010el5bz4yfgqriu">
        <w:r>
          <w:rPr>
            <w:rStyle w:val="Hyperlink"/>
          </w:rPr>
          <w:t xml:space="preserve">[link]</w:t>
        </w:r>
      </w:hyperlink>
    </w:p>
    <w:p>
      <w:pPr>
        <w:spacing w:after="90"/>
        <w:ind w:left="270" w:hanging="270"/>
      </w:pPr>
      <w:r>
        <w:t xml:space="preserve">Logg, J. M., Minson, J. A., &amp; Moore, D. A. (2019). Algorithm appreciation: People prefer algorithmic to human judgment. Organizational Behavior and Human Decision Processes, 151. The counterweight to aversion. </w:t>
      </w:r>
      <w:hyperlink w:history="1" r:id="rIdj5hvadxwdq-aezb4h1gmi">
        <w:r>
          <w:rPr>
            <w:rStyle w:val="Hyperlink"/>
          </w:rPr>
          <w:t xml:space="preserve">[link]</w:t>
        </w:r>
      </w:hyperlink>
    </w:p>
    <w:p>
      <w:pPr>
        <w:spacing w:after="90"/>
        <w:ind w:left="270" w:hanging="270"/>
      </w:pPr>
      <w:r>
        <w:t xml:space="preserve">Peffers, K., Tuunanen, T., Rothenberger, M. A., &amp; Chatterjee, S. (2007/08). A Design Science Research Methodology for Information Systems Research. Journal of Management Information Systems, 24(3). The overall project methodology (DSRM). </w:t>
      </w:r>
      <w:hyperlink w:history="1" r:id="rId5tof-zvd3k-2t8iq4dldn">
        <w:r>
          <w:rPr>
            <w:rStyle w:val="Hyperlink"/>
          </w:rPr>
          <w:t xml:space="preserve">[link]</w:t>
        </w:r>
      </w:hyperlink>
    </w:p>
    <w:p>
      <w:pPr>
        <w:spacing w:after="90"/>
        <w:ind w:left="270" w:hanging="270"/>
      </w:pPr>
      <w:r>
        <w:t xml:space="preserve">ProcureGym: A Multi-Agent Markov Game Framework for Modeling National Volume-based Drug Procurement (arXiv:2603.23880). Multi-agent procurement simulation — note: models competitive bidding as a Markov game, not buyer–advisor, so cite as related work rather than method. </w:t>
      </w:r>
      <w:hyperlink w:history="1" r:id="rId99ajpzjgayprnymgt_ftd">
        <w:r>
          <w:rPr>
            <w:rStyle w:val="Hyperlink"/>
          </w:rPr>
          <w:t xml:space="preserve">[link]</w:t>
        </w:r>
      </w:hyperlink>
    </w:p>
    <w:p>
      <w:pPr>
        <w:pStyle w:val="Heading2"/>
      </w:pPr>
      <w:r>
        <w:t xml:space="preserve">Procurement, LLMs and supply-chain context</w:t>
      </w:r>
    </w:p>
    <w:p>
      <w:pPr>
        <w:spacing w:after="90"/>
        <w:ind w:left="270" w:hanging="270"/>
      </w:pPr>
      <w:r>
        <w:t xml:space="preserve">Van Weele, A. J. — Purchasing and Supply Chain Management (Cengage, latest ed.). The purchasing-process model (specify → select → contract → order → expedite/evaluate → follow-up) used to structure the process analysis.</w:t>
      </w:r>
    </w:p>
    <w:p>
      <w:pPr>
        <w:spacing w:after="90"/>
        <w:ind w:left="270" w:hanging="270"/>
      </w:pPr>
      <w:r>
        <w:t xml:space="preserve">Steyvers, M., et al. (2025). What large language models know and what people think they know. Nature Machine Intelligence. The calibration gap — basis for not trusting self-reported '95% confident'. </w:t>
      </w:r>
      <w:hyperlink w:history="1" r:id="rIdnclrtdkxpz3enmcff1fm5">
        <w:r>
          <w:rPr>
            <w:rStyle w:val="Hyperlink"/>
          </w:rPr>
          <w:t xml:space="preserve">[link]</w:t>
        </w:r>
      </w:hyperlink>
    </w:p>
    <w:p>
      <w:pPr>
        <w:spacing w:after="90"/>
        <w:ind w:left="270" w:hanging="270"/>
      </w:pPr>
      <w:r>
        <w:t xml:space="preserve">Kim, S. S. Y., et al. (2024). "I'm Not Sure, But...": Uncertainty Expression and User Reliance and Trust. ACM FAccT 2024. </w:t>
      </w:r>
      <w:hyperlink w:history="1" r:id="rIdzjoohrcrfyt7_hk6qu5ih">
        <w:r>
          <w:rPr>
            <w:rStyle w:val="Hyperlink"/>
          </w:rPr>
          <w:t xml:space="preserve">[link]</w:t>
        </w:r>
      </w:hyperlink>
    </w:p>
    <w:p>
      <w:pPr>
        <w:spacing w:after="90"/>
        <w:ind w:left="270" w:hanging="270"/>
      </w:pPr>
      <w:r>
        <w:t xml:space="preserve">LLMs for Supply Chain Management (2025; arXiv:2505.18597). Survey of LLM applications and supply-chain simulation. </w:t>
      </w:r>
      <w:hyperlink w:history="1" r:id="rIdhws3cpjo8uapx_0eklim-">
        <w:r>
          <w:rPr>
            <w:rStyle w:val="Hyperlink"/>
          </w:rPr>
          <w:t xml:space="preserve">[link]</w:t>
        </w:r>
      </w:hyperlink>
    </w:p>
    <w:p>
      <w:pPr>
        <w:spacing w:after="90"/>
        <w:ind w:left="270" w:hanging="270"/>
      </w:pPr>
      <w:r>
        <w:t xml:space="preserve">Agentic LLMs in the supply chain: towards autonomous multi-agent consensus-seeking. International Journal of Production Research (2025). </w:t>
      </w:r>
      <w:hyperlink w:history="1" r:id="rIdlzzmrqrtcoztfqnctr0ee">
        <w:r>
          <w:rPr>
            <w:rStyle w:val="Hyperlink"/>
          </w:rPr>
          <w:t xml:space="preserve">[link]</w:t>
        </w:r>
      </w:hyperlink>
    </w:p>
    <w:p>
      <w:pPr>
        <w:spacing w:after="90"/>
        <w:ind w:left="270" w:hanging="270"/>
      </w:pPr>
      <w:r>
        <w:t xml:space="preserve">LLM Consistency: Stated vs. Revealed Preferences (2025; arXiv:2506.00751). Decisions differ across platforms — motivates provider as a factor. </w:t>
      </w:r>
      <w:hyperlink w:history="1" r:id="rId20uf8yb-6eijhwiijkfpg">
        <w:r>
          <w:rPr>
            <w:rStyle w:val="Hyperlink"/>
          </w:rPr>
          <w:t xml:space="preserve">[link]</w:t>
        </w:r>
      </w:hyperlink>
    </w:p>
    <w:p>
      <w:pPr>
        <w:spacing w:after="90"/>
        <w:ind w:left="270" w:hanging="270"/>
      </w:pPr>
      <w:r>
        <w:t xml:space="preserve">Karjalainen, K., Kemppainen, K., &amp; van Raaij, E. M. (2009). Non-compliant work behaviour in purchasing: maverick buying. Journal of Business Ethics. Purchasing-domain deviation from prescribed optima. </w:t>
      </w:r>
      <w:hyperlink w:history="1" r:id="rIdkoj9uz0s7jzdqfdqsz36y">
        <w:r>
          <w:rPr>
            <w:rStyle w:val="Hyperlink"/>
          </w:rPr>
          <w:t xml:space="preserve">[link]</w:t>
        </w:r>
      </w:hyperlink>
    </w:p>
    <w:p>
      <w:pPr>
        <w:spacing w:after="90"/>
        <w:ind w:left="270" w:hanging="270"/>
      </w:pPr>
      <w:r>
        <w:t xml:space="preserve">Elbert, R., Franzke, T., Glock, C. H., &amp; Grosse, E. H. (2017). The effects of human behavior on the efficiency of routing policies in order picking: route deviations. Computers &amp; Industrial Engineering. </w:t>
      </w:r>
      <w:hyperlink w:history="1" r:id="rIdyc-jtp_ogdjyi8jgt-1ho">
        <w:r>
          <w:rPr>
            <w:rStyle w:val="Hyperlink"/>
          </w:rPr>
          <w:t xml:space="preserve">[link]</w:t>
        </w:r>
      </w:hyperlink>
    </w:p>
    <w:p>
      <w:pPr>
        <w:spacing w:after="90"/>
        <w:ind w:left="270" w:hanging="270"/>
      </w:pPr>
      <w:r>
        <w:t xml:space="preserve">Learning from Drivers to Tackle the Amazon Last Mile Routing Research Challenge (2022; arXiv:2205.04001). Learning a behaviour-aware optimum from observed deviations. </w:t>
      </w:r>
      <w:hyperlink w:history="1" r:id="rIducthze7scuoqam4wbd5kn">
        <w:r>
          <w:rPr>
            <w:rStyle w:val="Hyperlink"/>
          </w:rPr>
          <w:t xml:space="preserve">[link]</w:t>
        </w:r>
      </w:hyperlink>
    </w:p>
    <w:p>
      <w:pPr>
        <w:spacing w:after="90"/>
        <w:ind w:left="270" w:hanging="270"/>
      </w:pPr>
      <w:r>
        <w:t xml:space="preserve">McKinsey — Making the leap with generative AI in procurement. Practitioner view for the AI application scan. </w:t>
      </w:r>
      <w:hyperlink w:history="1" r:id="rIdql1k9mtfmxku25ysixng1">
        <w:r>
          <w:rPr>
            <w:rStyle w:val="Hyperlink"/>
          </w:rPr>
          <w:t xml:space="preserve">[link]</w:t>
        </w:r>
      </w:hyperlink>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tabs>
        <w:tab w:val="right" w:pos="9026"/>
      </w:tabs>
    </w:pPr>
    <w:r>
      <w:rPr>
        <w:color w:val="888888"/>
        <w:sz w:val="18"/>
        <w:szCs w:val="18"/>
      </w:rPr>
      <w:t xml:space="preserve">BEP proposal — draft v0.3 — 16 June 2026</w:t>
    </w:r>
    <w:r>
      <w:rPr>
        <w:color w:val="888888"/>
        <w:sz w:val="18"/>
        <w:szCs w:val="18"/>
      </w:rPr>
      <w:t xml:space="preserve">	Yijie Wang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260"/>
      </w:pPr>
    </w:lvl>
  </w:abstractNum>
  <w:abstractNum w:abstractNumId="4" w15:restartNumberingAfterBreak="0">
    <w:multiLevelType w:val="hybridMultilevel"/>
    <w:lvl w:ilvl="0" w15:tentative="1">
      <w:start w:val="1"/>
      <w:numFmt w:val="decimal"/>
      <w:lvlText w:val="%1."/>
      <w:lvlJc w:val="left"/>
      <w:pPr>
        <w:ind w:left="500" w:hanging="260"/>
      </w:pPr>
    </w:lvl>
  </w:abstractNum>
  <w:abstractNum w:abstractNumId="5" w15:restartNumberingAfterBreak="0">
    <w:multiLevelType w:val="hybridMultilevel"/>
    <w:lvl w:ilvl="0" w15:tentative="1">
      <w:start w:val="1"/>
      <w:numFmt w:val="decimal"/>
      <w:lvlText w:val="%1."/>
      <w:lvlJc w:val="left"/>
      <w:pPr>
        <w:ind w:left="500" w:hanging="2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2E539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aslsey87mebdykve7e0vm" Type="http://schemas.openxmlformats.org/officeDocument/2006/relationships/hyperlink" Target="https://doi.org/10.1016/j.obhdp.2006.07.001" TargetMode="External"/><Relationship Id="rId8-zdeufw6glz4gmk1pxqi" Type="http://schemas.openxmlformats.org/officeDocument/2006/relationships/hyperlink" Target="https://arxiv.org/abs/2302.02187" TargetMode="External"/><Relationship Id="rIdrg0ymbmr10v1kksnojutc" Type="http://schemas.openxmlformats.org/officeDocument/2006/relationships/hyperlink" Target="https://arxiv.org/abs/2401.15356" TargetMode="External"/><Relationship Id="rIdr615bow21rcykbuq8ekte" Type="http://schemas.openxmlformats.org/officeDocument/2006/relationships/hyperlink" Target="https://arxiv.org/abs/2310.02108" TargetMode="External"/><Relationship Id="rIdahj9x3svivtjxncssuwyo" Type="http://schemas.openxmlformats.org/officeDocument/2006/relationships/hyperlink" Target="https://arxiv.org/abs/2501.10909" TargetMode="External"/><Relationship Id="rId7f8gy010el5bz4yfgqriu" Type="http://schemas.openxmlformats.org/officeDocument/2006/relationships/hyperlink" Target="https://doi.org/10.1037/xge0000033" TargetMode="External"/><Relationship Id="rIdj5hvadxwdq-aezb4h1gmi" Type="http://schemas.openxmlformats.org/officeDocument/2006/relationships/hyperlink" Target="https://doi.org/10.1016/j.obhdp.2018.12.005" TargetMode="External"/><Relationship Id="rId5tof-zvd3k-2t8iq4dldn" Type="http://schemas.openxmlformats.org/officeDocument/2006/relationships/hyperlink" Target="https://doi.org/10.2753/MIS0742-1222240302" TargetMode="External"/><Relationship Id="rId99ajpzjgayprnymgt_ftd" Type="http://schemas.openxmlformats.org/officeDocument/2006/relationships/hyperlink" Target="https://arxiv.org/abs/2603.23880" TargetMode="External"/><Relationship Id="rIdnclrtdkxpz3enmcff1fm5" Type="http://schemas.openxmlformats.org/officeDocument/2006/relationships/hyperlink" Target="https://www.nature.com/articles/s42256-024-00976-7" TargetMode="External"/><Relationship Id="rIdzjoohrcrfyt7_hk6qu5ih" Type="http://schemas.openxmlformats.org/officeDocument/2006/relationships/hyperlink" Target="https://dl.acm.org/doi/10.1145/3630106.3658941" TargetMode="External"/><Relationship Id="rIdhws3cpjo8uapx_0eklim-" Type="http://schemas.openxmlformats.org/officeDocument/2006/relationships/hyperlink" Target="https://arxiv.org/abs/2505.18597" TargetMode="External"/><Relationship Id="rIdlzzmrqrtcoztfqnctr0ee" Type="http://schemas.openxmlformats.org/officeDocument/2006/relationships/hyperlink" Target="https://www.tandfonline.com/doi/full/10.1080/00207543.2025.2604311" TargetMode="External"/><Relationship Id="rId20uf8yb-6eijhwiijkfpg" Type="http://schemas.openxmlformats.org/officeDocument/2006/relationships/hyperlink" Target="https://arxiv.org/abs/2506.00751" TargetMode="External"/><Relationship Id="rIdkoj9uz0s7jzdqfdqsz36y" Type="http://schemas.openxmlformats.org/officeDocument/2006/relationships/hyperlink" Target="https://research.manchester.ac.uk/en/publications/non-compliant-work-behaviour-in-purchasing-an-exploration-of-reas/" TargetMode="External"/><Relationship Id="rIdyc-jtp_ogdjyi8jgt-1ho" Type="http://schemas.openxmlformats.org/officeDocument/2006/relationships/hyperlink" Target="https://www.sciencedirect.com/science/article/abs/pii/S036083521630465X" TargetMode="External"/><Relationship Id="rIducthze7scuoqam4wbd5kn" Type="http://schemas.openxmlformats.org/officeDocument/2006/relationships/hyperlink" Target="https://arxiv.org/abs/2205.04001" TargetMode="External"/><Relationship Id="rIdql1k9mtfmxku25ysixng1" Type="http://schemas.openxmlformats.org/officeDocument/2006/relationships/hyperlink" Target="https://www.mckinsey.com/capabilities/operations/our-insights/operations-blog/making-the-leap-with-generative-ai-in-procurement" TargetMode="External"/><Relationship Id="rId9" Type="http://schemas.openxmlformats.org/officeDocument/2006/relationships/image" Target="media/736391eaf5f1503fbc465b7b0ee17cabffae0233.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2026-06-16T18:31:03.069Z</dcterms:created>
  <dcterms:modified xsi:type="dcterms:W3CDTF">2026-06-16T18:31:03.069Z</dcterms:modified>
</cp:coreProperties>
</file>

<file path=docProps/custom.xml><?xml version="1.0" encoding="utf-8"?>
<Properties xmlns="http://schemas.openxmlformats.org/officeDocument/2006/custom-properties" xmlns:vt="http://schemas.openxmlformats.org/officeDocument/2006/docPropsVTypes"/>
</file>