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sz w:val="40"/>
          <w:szCs w:val="40"/>
        </w:rPr>
        <w:t xml:space="preserve">Critical review — BEP proposal draft v0.3</w:t>
      </w:r>
    </w:p>
    <w:p>
      <w:pPr>
        <w:spacing w:after="120"/>
      </w:pPr>
      <w:r>
        <w:rPr>
          <w:i/>
          <w:iCs/>
          <w:sz w:val="20"/>
          <w:szCs w:val="20"/>
        </w:rPr>
        <w:t xml:space="preserve">“Human–AI procurement decision support” (16 June 2026), incl. conceptual framework figure and reading list • Review date: 10 July 2026 • Cross-checked against supervisor meeting notes of 10 June 2026. Section references (§) point to v0.3.</w:t>
      </w:r>
    </w:p>
    <w:p>
      <w:pPr>
        <w:pStyle w:val="Heading1"/>
      </w:pPr>
      <w:r>
        <w:t xml:space="preserve">1. Verdict</w:t>
      </w:r>
    </w:p>
    <w:p>
      <w:pPr>
        <w:spacing w:after="120"/>
      </w:pPr>
      <w:r>
        <w:t xml:space="preserve">v0.3 is a strong draft — the scope discipline (core vs. extension with a go/no-go), the risk register, the pre-registration instinct, and the fidelity to the supervisor’s design idea (provider as decision variable) are well above what is typical at proposal stage. In my judgment it currently sits around an 8. What separates it from “flawless” is not polish but </w:t>
      </w:r>
      <w:r>
        <w:rPr>
          <w:b/>
          <w:bCs/>
        </w:rPr>
        <w:t xml:space="preserve">five structural problems</w:t>
      </w:r>
      <w:r>
        <w:t xml:space="preserve">: (1) the declared theoretical centre lives in an optional extension; (2) the main RQ is two questions; (3) the simulation that answers half the RQ has no specified stochastic model; (4) the benchmark carries the entire evaluation without its validity being defended; (5) the design-freeze schedule contradicts the supervisor’s constraint and the proposal itself. All are fixable, but several require company or supervisor input — and the supervisor needs the agreed design </w:t>
      </w:r>
      <w:r>
        <w:rPr>
          <w:b/>
          <w:bCs/>
        </w:rPr>
        <w:t xml:space="preserve">before September</w:t>
      </w:r>
      <w:r>
        <w:t xml:space="preserve">. It is 10 July: the real deadline for v1.0 is early August, one iteration, frozen by end of August.</w:t>
      </w:r>
    </w:p>
    <w:p>
      <w:pPr>
        <w:pStyle w:val="Heading1"/>
      </w:pPr>
      <w:r>
        <w:t xml:space="preserve">2. Five structural issues</w:t>
      </w:r>
    </w:p>
    <w:p>
      <w:pPr>
        <w:pStyle w:val="Heading2"/>
      </w:pPr>
      <w:r>
        <w:t xml:space="preserve">2.1 The theoretical centre sits in an optional extension</w:t>
      </w:r>
    </w:p>
    <w:p>
      <w:pPr>
        <w:spacing w:after="120"/>
      </w:pPr>
      <w:r>
        <w:t xml:space="preserve">§3.2 names appropriate reliance “the central concept”, §3.3 makes complementarity “the objective”, and the summary calls it “the unifying lens”. But the only phase that observes real reliance (Phase 4) is a go/no-go extension, and H2–H3 are untestable without it. If Phase 4 is dropped, the central concept is exercised only through assumed compliance profiles — simulated behaviour cannot confirm behavioural hypotheses, so every reliance conclusion becomes conditional (“if buyers behaved like profile X …”). Expect the examiner question: “your framework’s core construct — where is it measured?” The supervisor’s notes treat the behavioural themes as “an optional extension layer”; the proposal’s rhetoric promotes them to the centre. Pick one of three fixes:</w:t>
      </w:r>
    </w:p>
    <w:p>
      <w:pPr>
        <w:pStyle w:val="ListParagraph"/>
        <w:numPr>
          <w:ilvl w:val="0"/>
          <w:numId w:val="2"/>
        </w:numPr>
        <w:spacing w:after="80"/>
      </w:pPr>
      <w:r>
        <w:rPr>
          <w:b/>
          <w:bCs/>
        </w:rPr>
        <w:t xml:space="preserve">(a) Reframe — recommended. </w:t>
      </w:r>
      <w:r>
        <w:t xml:space="preserve">Make the provider-vs-benchmark comparison the core contribution; present appropriate reliance as the evaluative lens applied in the simulation. Matches the supervisor’s framing; smallest edit — mostly §1 and §3 wording.</w:t>
      </w:r>
    </w:p>
    <w:p>
      <w:pPr>
        <w:pStyle w:val="ListParagraph"/>
        <w:numPr>
          <w:ilvl w:val="0"/>
          <w:numId w:val="2"/>
        </w:numPr>
        <w:spacing w:after="80"/>
      </w:pPr>
      <w:r>
        <w:rPr>
          <w:b/>
          <w:bCs/>
        </w:rPr>
        <w:t xml:space="preserve">(b) Give the core an empirical reliance anchor. </w:t>
      </w:r>
      <w:r>
        <w:t xml:space="preserve">Mine historical ERP traces for deviations from prescribed suppliers/contracts (the maverick-buying signal already cited) so reliance is always measured on real behaviour, even without Phase 4.</w:t>
      </w:r>
    </w:p>
    <w:p>
      <w:pPr>
        <w:pStyle w:val="ListParagraph"/>
        <w:numPr>
          <w:ilvl w:val="0"/>
          <w:numId w:val="2"/>
        </w:numPr>
        <w:spacing w:after="80"/>
      </w:pPr>
      <w:r>
        <w:rPr>
          <w:b/>
          <w:bCs/>
        </w:rPr>
        <w:t xml:space="preserve">(c) Tag everything. </w:t>
      </w:r>
      <w:r>
        <w:t xml:space="preserve">Mark every hypothesis, claim and deliverable as core or extension and phrase the summary conditionally.</w:t>
      </w:r>
    </w:p>
    <w:p>
      <w:pPr>
        <w:spacing w:after="120"/>
      </w:pPr>
      <w:r>
        <w:t xml:space="preserve">Whichever you choose, add a hypothesis ↔ phase ↔ data table (see §5) so the dependency is explicit rather than discovered by the reader.</w:t>
      </w:r>
    </w:p>
    <w:p>
      <w:pPr>
        <w:pStyle w:val="Heading2"/>
      </w:pPr>
      <w:r>
        <w:t xml:space="preserve">2.2 The main RQ is double-barrelled</w:t>
      </w:r>
    </w:p>
    <w:p>
      <w:pPr>
        <w:spacing w:after="120"/>
      </w:pPr>
      <w:r>
        <w:t xml:space="preserve">The main RQ joins two studies with “and”: provider effects on proposal quality, and buyer-deviation effects on realized performance. The six sub-questions do not decompose one question; they enumerate two. Replace with a single umbrella, e.g.: </w:t>
      </w:r>
      <w:r>
        <w:rPr>
          <w:i/>
          <w:iCs/>
        </w:rPr>
        <w:t xml:space="preserve">“Under an advisory multi-agent AI configuration, how much of the attainable optimization gain in [the selected purchasing decision] at Hytech-Pommec is realized once (a) the choice of LLM provider and (b) buyer reliance behaviour are accounted for?”</w:t>
      </w:r>
      <w:r>
        <w:t xml:space="preserve"> The existing SQ1–SQ6 then become genuine decompositions. Also: “quality and reliability” — “reliability” is never defined; map it to the metric list (consistency across repeated runs; robustness under changed information) or delete the word.</w:t>
      </w:r>
    </w:p>
    <w:p>
      <w:pPr>
        <w:pStyle w:val="Heading2"/>
      </w:pPr>
      <w:r>
        <w:t xml:space="preserve">2.3 Phase 5 simulation is under-specified to the point of being unreviewable</w:t>
      </w:r>
    </w:p>
    <w:p>
      <w:pPr>
        <w:spacing w:after="120"/>
      </w:pPr>
      <w:r>
        <w:t xml:space="preserve">§6.5 says only: Monte-Carlo, ≥1,000 runs per model and behaviour profile, comparing five policies. Missing, and required before anyone can approve the design:</w:t>
      </w:r>
    </w:p>
    <w:p>
      <w:pPr>
        <w:pStyle w:val="ListParagraph"/>
        <w:numPr>
          <w:ilvl w:val="0"/>
          <w:numId w:val="2"/>
        </w:numPr>
        <w:spacing w:after="80"/>
      </w:pPr>
      <w:r>
        <w:rPr>
          <w:b/>
          <w:bCs/>
        </w:rPr>
        <w:t xml:space="preserve">What is random across runs. </w:t>
      </w:r>
      <w:r>
        <w:t xml:space="preserve">Demand? Lead-time realizations? Price movements? Supplier failure events? Draws from the behaviour profile? If scenarios, proposals and behaviour are all fixed, 1,000 runs are 1,000 repetitions of the same arithmetic.</w:t>
      </w:r>
    </w:p>
    <w:p>
      <w:pPr>
        <w:pStyle w:val="ListParagraph"/>
        <w:numPr>
          <w:ilvl w:val="0"/>
          <w:numId w:val="2"/>
        </w:numPr>
        <w:spacing w:after="80"/>
      </w:pPr>
      <w:r>
        <w:rPr>
          <w:b/>
          <w:bCs/>
        </w:rPr>
        <w:t xml:space="preserve">The outcome model. </w:t>
      </w:r>
      <w:r>
        <w:t xml:space="preserve">How a purchasing decision maps to realized cost / lead time / quality is an outcome-generating model — an artifact of its own, needing calibration on historical data and its own validation. It is currently invisible.</w:t>
      </w:r>
    </w:p>
    <w:p>
      <w:pPr>
        <w:pStyle w:val="ListParagraph"/>
        <w:numPr>
          <w:ilvl w:val="0"/>
          <w:numId w:val="2"/>
        </w:numPr>
        <w:spacing w:after="80"/>
      </w:pPr>
      <w:r>
        <w:rPr>
          <w:b/>
          <w:bCs/>
        </w:rPr>
        <w:t xml:space="preserve">Behaviour-profile parameterization. </w:t>
      </w:r>
      <w:r>
        <w:t xml:space="preserve">Accept/modify/reject probabilities conditioned on what (proposal quality? urgency?), and taken from where (Phase 4 data vs. literature — which papers, which numbers)?</w:t>
      </w:r>
    </w:p>
    <w:p>
      <w:pPr>
        <w:pStyle w:val="ListParagraph"/>
        <w:numPr>
          <w:ilvl w:val="0"/>
          <w:numId w:val="2"/>
        </w:numPr>
        <w:spacing w:after="80"/>
      </w:pPr>
      <w:r>
        <w:rPr>
          <w:b/>
          <w:bCs/>
        </w:rPr>
        <w:t xml:space="preserve">Run-count justification. </w:t>
      </w:r>
      <w:r>
        <w:t xml:space="preserve">≥1,000 is a round number; justify by target CI half-width on the primary metric.</w:t>
      </w:r>
    </w:p>
    <w:p>
      <w:pPr>
        <w:pStyle w:val="ListParagraph"/>
        <w:numPr>
          <w:ilvl w:val="0"/>
          <w:numId w:val="2"/>
        </w:numPr>
        <w:spacing w:after="80"/>
      </w:pPr>
      <w:r>
        <w:rPr>
          <w:b/>
          <w:bCs/>
        </w:rPr>
        <w:t xml:space="preserve">Common random numbers. </w:t>
      </w:r>
      <w:r>
        <w:t xml:space="preserve">Use the same scenario/noise draws across all providers and policies, or policy comparisons drown in sampling noise. One sentence; large credibility gain.</w:t>
      </w:r>
    </w:p>
    <w:p>
      <w:pPr>
        <w:spacing w:after="120"/>
      </w:pPr>
      <w:r>
        <w:t xml:space="preserve">This is the largest methodological hole: the phase that answers the second half of the RQ cannot currently be evaluated. One added subsection (random inputs, outcome function, calibration source, run count, CRN) fixes it.</w:t>
      </w:r>
    </w:p>
    <w:p>
      <w:pPr>
        <w:pStyle w:val="Heading2"/>
      </w:pPr>
      <w:r>
        <w:t xml:space="preserve">2.4 The benchmark carries the whole evaluation, unexamined</w:t>
      </w:r>
    </w:p>
    <w:p>
      <w:pPr>
        <w:spacing w:after="120"/>
      </w:pPr>
      <w:r>
        <w:t xml:space="preserve">Proposal quality, the good/bad advice classification, appropriate reliance, and the optimality gap are all defined relative to the deterministic benchmark. Four problems:</w:t>
      </w:r>
    </w:p>
    <w:p>
      <w:pPr>
        <w:pStyle w:val="ListParagraph"/>
        <w:numPr>
          <w:ilvl w:val="0"/>
          <w:numId w:val="2"/>
        </w:numPr>
        <w:spacing w:after="80"/>
      </w:pPr>
      <w:r>
        <w:rPr>
          <w:b/>
          <w:bCs/>
        </w:rPr>
        <w:t xml:space="preserve">“Good/bad proposal” is never operationalized. </w:t>
      </w:r>
      <w:r>
        <w:t xml:space="preserve">The §3.2 table is the study’s central classification, yet no threshold exists (optimality gap below X? feasibility only?). Without it, appropriate reliance is unmeasurable.</w:t>
      </w:r>
    </w:p>
    <w:p>
      <w:pPr>
        <w:pStyle w:val="ListParagraph"/>
        <w:numPr>
          <w:ilvl w:val="0"/>
          <w:numId w:val="2"/>
        </w:numPr>
        <w:spacing w:after="80"/>
      </w:pPr>
      <w:r>
        <w:rPr>
          <w:b/>
          <w:bCs/>
        </w:rPr>
        <w:t xml:space="preserve">The 2×2 cannot handle “modify” on good proposals. </w:t>
      </w:r>
      <w:r>
        <w:t xml:space="preserve">The table covers accept/reject, and “improves” only for bad proposals. Multi-attribute proposals will mostly be modified, not accepted or rejected wholesale — the classification must handle partial acceptance or Phase 4’s modal response is unclassifiable.</w:t>
      </w:r>
    </w:p>
    <w:p>
      <w:pPr>
        <w:pStyle w:val="ListParagraph"/>
        <w:numPr>
          <w:ilvl w:val="0"/>
          <w:numId w:val="2"/>
        </w:numPr>
        <w:spacing w:after="80"/>
      </w:pPr>
      <w:r>
        <w:rPr>
          <w:b/>
          <w:bCs/>
        </w:rPr>
        <w:t xml:space="preserve">Circularity risk. </w:t>
      </w:r>
      <w:r>
        <w:t xml:space="preserve">Buyers set the objective weights (§6.2); buyer deviations are then scored against a benchmark encoding those same stated weights. A deviation may reveal unmodelled constraints or private information rather than bias. §6.5 gestures at this (“improve feasibility, catch AI errors”) but the framework has no category for “the benchmark is wrong”. Add a deviation-as-information discussion — this is precisely the supervisor’s behaviour-aware-optimum research line (the Amazon last-mile paper you already cite), which currently appears only in the reading list, not in the design.</w:t>
      </w:r>
    </w:p>
    <w:p>
      <w:pPr>
        <w:pStyle w:val="ListParagraph"/>
        <w:numPr>
          <w:ilvl w:val="0"/>
          <w:numId w:val="2"/>
        </w:numPr>
        <w:spacing w:after="80"/>
      </w:pPr>
      <w:r>
        <w:rPr>
          <w:b/>
          <w:bCs/>
        </w:rPr>
        <w:t xml:space="preserve">Scalarization. </w:t>
      </w:r>
      <w:r>
        <w:t xml:space="preserve">“Optimality gap” presumes one scalarized objective over cost / lead time / quality / risk. State the scalarization, and extend the §7 weight-sensitivity analysis to the reliance classification itself (does a “bad” proposal stay bad under weight perturbation?).</w:t>
      </w:r>
    </w:p>
    <w:p>
      <w:pPr>
        <w:spacing w:after="120"/>
      </w:pPr>
      <w:r>
        <w:t xml:space="preserve">Also define the Phase 2 validation criterion — “historical outcomes validate that the model produces realistic proposals” names no test. Example: benchmark reproduces ≥X% of historical decisions within tolerance, or achieves ≤Y% cost regret on historical cases. And Phase 2 currently cites no literature at all — ground it in the supplier-selection/OR canon (§3 below).</w:t>
      </w:r>
    </w:p>
    <w:p>
      <w:pPr>
        <w:pStyle w:val="Heading2"/>
      </w:pPr>
      <w:r>
        <w:t xml:space="preserve">2.5 The schedule contradicts the supervisor and itself</w:t>
      </w:r>
    </w:p>
    <w:p>
      <w:pPr>
        <w:spacing w:after="120"/>
      </w:pPr>
      <w:r>
        <w:t xml:space="preserve">Meeting notes: “Proposal and study design should be agreed before September.” §8: “freeze the design and evaluation protocol by end of October”, with research-design approval and the reliance-metric lock scheduled in October — during the supervisor’s absence. The same §8 preamble claims decisions are front-loaded “before the supervisor’s possible Paris exchange (Sept–Oct)”. Fix: v1.0 to supervisor by early August; design, evaluation protocol and reliance metric agreed by end of August; September = data access, ethics submission, pilot. Separately, December is overloaded (LLM experiments + buyer study + simulation + go/no-go, with January absorbing analysis, advice, thesis and presentation — across a Christmas break). Pull scenario development and the simulation build into November and pilot the LLM comparison in November. Ethics materials can be drafted in August even if TU/e ERB submission happens in September. And confirm the official BEP 2026-A dates — [TBC] since the June meeting.</w:t>
      </w:r>
    </w:p>
    <w:p>
      <w:pPr>
        <w:pStyle w:val="Heading1"/>
      </w:pPr>
      <w:r>
        <w:t xml:space="preserve">3. Theoretical framework and literature</w:t>
      </w:r>
    </w:p>
    <w:p>
      <w:pPr>
        <w:pStyle w:val="Heading2"/>
      </w:pPr>
      <w:r>
        <w:t xml:space="preserve">3.1 Section-by-section</w:t>
      </w:r>
    </w:p>
    <w:p>
      <w:pPr>
        <w:pStyle w:val="ListParagraph"/>
        <w:numPr>
          <w:ilvl w:val="0"/>
          <w:numId w:val="2"/>
        </w:numPr>
        <w:spacing w:after="80"/>
      </w:pPr>
      <w:r>
        <w:rPr>
          <w:b/>
          <w:bCs/>
        </w:rPr>
        <w:t xml:space="preserve">§3.1 JAS: </w:t>
      </w:r>
      <w:r>
        <w:t xml:space="preserve">right anchor, and flagging the WoA multi-attribute problem is good judgment — but a flawless proposal decides instead of listing candidates. Recommend: performance-based reliance as primary (change in optimality gap initial→final, in the direction of advice — consistent with Guo et al.’s decision-theoretic framing), with per-attribute WoA and proposal similarity as robustness checks. Add the WoA origin (Harvey &amp; Fischer 1997) beside Bonaccio &amp; Dalal.</w:t>
      </w:r>
    </w:p>
    <w:p>
      <w:pPr>
        <w:pStyle w:val="ListParagraph"/>
        <w:numPr>
          <w:ilvl w:val="0"/>
          <w:numId w:val="2"/>
        </w:numPr>
        <w:spacing w:after="80"/>
      </w:pPr>
      <w:r>
        <w:rPr>
          <w:b/>
          <w:bCs/>
        </w:rPr>
        <w:t xml:space="preserve">§3.2 Appropriate reliance: </w:t>
      </w:r>
      <w:r>
        <w:t xml:space="preserve">the term’s foundation is trust-in-automation — Lee &amp; See (2004) is the canonical source of “appropriate reliance” and is missing. Operationalize good/bad (§2.4).</w:t>
      </w:r>
    </w:p>
    <w:p>
      <w:pPr>
        <w:pStyle w:val="ListParagraph"/>
        <w:numPr>
          <w:ilvl w:val="0"/>
          <w:numId w:val="2"/>
        </w:numPr>
        <w:spacing w:after="80"/>
      </w:pPr>
      <w:r>
        <w:rPr>
          <w:b/>
          <w:bCs/>
        </w:rPr>
        <w:t xml:space="preserve">§3.3 Complementarity: </w:t>
      </w:r>
      <w:r>
        <w:t xml:space="preserve">declared “the objective” yet has zero citations. Add Bansal et al. (CHI 2021), and adopt the formal definition — complementary team performance = team &gt; max(human alone, AI alone) — which H5 should then use.</w:t>
      </w:r>
    </w:p>
    <w:p>
      <w:pPr>
        <w:pStyle w:val="ListParagraph"/>
        <w:numPr>
          <w:ilvl w:val="0"/>
          <w:numId w:val="2"/>
        </w:numPr>
        <w:spacing w:after="80"/>
      </w:pPr>
      <w:r>
        <w:rPr>
          <w:b/>
          <w:bCs/>
        </w:rPr>
        <w:t xml:space="preserve">§3.4 Aversion/appreciation: </w:t>
      </w:r>
      <w:r>
        <w:t xml:space="preserve">fine; but “advice discounting and automation bias” are both invoked uncited — advice discounting is covered by Bonaccio &amp; Dalal/Harvey &amp; Fischer; automation bias needs Parasuraman &amp; Riley (1997) or Mosier &amp; Skitka. If “explanation” stays in the framework figure, Buçinca et al. 2021 and Vasconcelos et al. 2023 are the standard overreliance references.</w:t>
      </w:r>
    </w:p>
    <w:p>
      <w:pPr>
        <w:pStyle w:val="ListParagraph"/>
        <w:numPr>
          <w:ilvl w:val="0"/>
          <w:numId w:val="2"/>
        </w:numPr>
        <w:spacing w:after="80"/>
      </w:pPr>
      <w:r>
        <w:rPr>
          <w:b/>
          <w:bCs/>
        </w:rPr>
        <w:t xml:space="preserve">§3.5 DSR: </w:t>
      </w:r>
      <w:r>
        <w:t xml:space="preserve">good choice and good TAM/TOE discipline. Two upgrades: a one-line mapping of each phase to a DSRM step, and a classification of each evaluation episode per FEDS (Venable et al. 2016) — Phase 3 artificial-summative, Phase 4 naturalistic-exploratory, etc. Also state explicitly what the artifact is (advisor configuration + benchmark + simulation).</w:t>
      </w:r>
    </w:p>
    <w:p>
      <w:pPr>
        <w:pStyle w:val="ListParagraph"/>
        <w:numPr>
          <w:ilvl w:val="0"/>
          <w:numId w:val="2"/>
        </w:numPr>
        <w:spacing w:after="80"/>
      </w:pPr>
      <w:r>
        <w:rPr>
          <w:b/>
          <w:bCs/>
        </w:rPr>
        <w:t xml:space="preserve">Domain balance: </w:t>
      </w:r>
      <w:r>
        <w:t xml:space="preserve">the list is HCI-heavy; the purchasing/OM side rests on one textbook (van Weele), one maverick-buying paper and a McKinsey blog. For an OPAC-group thesis, add the supplier-selection and AI-in-procurement literature (table below) and consider a behavioural-operations framing (deviation from prescribed optima is a behavioural-operations topic).</w:t>
      </w:r>
    </w:p>
    <w:p>
      <w:pPr>
        <w:pStyle w:val="ListParagraph"/>
        <w:numPr>
          <w:ilvl w:val="0"/>
          <w:numId w:val="2"/>
        </w:numPr>
        <w:spacing w:after="80"/>
      </w:pPr>
      <w:r>
        <w:rPr>
          <w:b/>
          <w:bCs/>
        </w:rPr>
        <w:t xml:space="preserve">Multi-agent design: </w:t>
      </w:r>
      <w:r>
        <w:t xml:space="preserve">the 4-agent architecture (requirements/commercial/risk/integration) has no citation and no justification — see §6.2.</w:t>
      </w:r>
    </w:p>
    <w:p>
      <w:pPr>
        <w:pStyle w:val="Heading2"/>
      </w:pPr>
      <w:r>
        <w:t xml:space="preserve">3.2 Citation problems found (links checked 10 July 2026)</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400"/>
        <w:gridCol w:w="4300"/>
        <w:gridCol w:w="2326"/>
      </w:tblGrid>
      <w:tr>
        <w:trPr>
          <w:tblHeader/>
        </w:trPr>
        <w:tc>
          <w:tcPr>
            <w:tcW w:type="dxa" w:w="24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Reference</w:t>
            </w:r>
          </w:p>
        </w:tc>
        <w:tc>
          <w:tcPr>
            <w:tcW w:type="dxa" w:w="43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Problem</w:t>
            </w:r>
          </w:p>
        </w:tc>
        <w:tc>
          <w:tcPr>
            <w:tcW w:type="dxa" w:w="2326"/>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Action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arXiv:2505.18597 (LLMs for SCM)</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Annotated as a “survey” — it is not: it is a RAG framework + domain-specialized SCM LLM evaluated via supply-chain games.</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Fix the annotation, or cite an actual survey and keep this as an application example.</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arXiv:2506.00751 (stated vs. revealed preferences)</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Paper is about value/alignment consistency and prompt-format sensitivity within models; weak support for “providers decide differently on operational tasks” — currently the main motivation for H1 and for §2’s “providers are not interchangeable” claim.</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Keep, but add stronger cross-model evidence on decision/OR-style tasks; cite at the §2 claim.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ProcureGym (arXiv:2603.23880)</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Verified: exists; annotation (related work only, Markov-game bidding) is appropriate.</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None — good catch in v0.3.</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IJPR consensus-seeking (10.1080/00207543.2025.2604311)</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DOI page would not load for verification today.</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Re-verify link + full citation before submission.</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arXiv:2501.10909 (multi-step reliance)</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Content matches use, but the study is on composite fact-checking tasks (N=233), not operational decisions; citation lacks authors/venue.</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Complete the citation; qualify the relevance claim.</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Peffers et al. “2007/08”</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Non-standard year format.</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Cite as 2007, JMIS 24(3), 45–77.</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Van Weele “latest ed.”</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Not a citation.</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Pin the edition and year.</w:t>
            </w:r>
          </w:p>
        </w:tc>
      </w:tr>
      <w:tr>
        <w:tc>
          <w:tcPr>
            <w:tcW w:type="dxa" w:w="2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McKinsey blog</w:t>
            </w:r>
          </w:p>
        </w:tc>
        <w:tc>
          <w:tcPr>
            <w:tcW w:type="dxa" w:w="4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Fine for the company scan; weak in a scientific framing.</w:t>
            </w:r>
          </w:p>
        </w:tc>
        <w:tc>
          <w:tcPr>
            <w:tcW w:type="dxa" w:w="2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Keep only in the AI-scan context.</w:t>
            </w:r>
          </w:p>
        </w:tc>
      </w:tr>
    </w:tbl>
    <w:p>
      <w:pPr>
        <w:pStyle w:val="Heading2"/>
      </w:pPr>
      <w:r>
        <w:t xml:space="preserve">3.3 References to add</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Reference</w:t>
            </w:r>
          </w:p>
        </w:tc>
        <w:tc>
          <w:tcPr>
            <w:tcW w:type="dxa" w:w="5626"/>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Where and why</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Lee &amp; See (2004), Human Factors 46(1)</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§3.2 — origin of “appropriate reliance”; the framework currently starts mid-literature.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Bansal et al. (2021), CHI — “Does the whole exceed its parts?”</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§3.3 — canonical complementary-team-performance reference and the formal definition H5 needs.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Harvey &amp; Fischer (1997), OBHDP 70(2)</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§3.1 — origin of Weight of Advice and advice discounting.</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Parasuraman &amp; Riley (1997), Human Factors 39(2)</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§3.4 — automation use/misuse/disuse; the uncited “automation bias” claim.</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De Boer et al. (2001), EJPSM 7(2); Ho et al. (2010), EJOR review</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§6.2 — supplier-selection / multi-criteria decision literature; the benchmark currently has no OR grounding.</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Guida et al. (2023), J. Purchasing &amp; Supply Management</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§2/§3 — AI in procurement state-of-the-art; strengthens the thin purchasing side.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Donohue et al. (2020), M&amp;SOM — behavioural operations</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§3.4 — frames deviation-from-optimum as behavioural operations, linking to the supervisor’s research line.</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Wu et al. (2023), AutoGen (or comparable)</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 — methodological anchor for the multi-agent configuration.</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Venable et al. (2016), EJIS — FEDS</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§3.5 — classify the evaluation episodes.</w:t>
            </w:r>
          </w:p>
        </w:tc>
      </w:tr>
      <w:tr>
        <w:tc>
          <w:tcPr>
            <w:tcW w:type="dxa" w:w="34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Buçinca et al. (2021) CSCW; Vasconcelos et al. (2023) CSCW</w:t>
            </w:r>
          </w:p>
        </w:tc>
        <w:tc>
          <w:tcPr>
            <w:tcW w:type="dxa" w:w="56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Only if explanations remain a framework construct (see §4, point 3).</w:t>
            </w:r>
          </w:p>
        </w:tc>
      </w:tr>
    </w:tbl>
    <w:p>
      <w:pPr>
        <w:spacing w:after="120"/>
      </w:pPr>
      <w:r>
        <w:rPr>
          <w:i/>
          <w:iCs/>
        </w:rPr>
        <w:t xml:space="preserve">Verify all suggested details against the sources before inserting — treat the rows above as pointers, not finished citations.</w:t>
      </w:r>
    </w:p>
    <w:p>
      <w:pPr>
        <w:pStyle w:val="Heading1"/>
      </w:pPr>
      <w:r>
        <w:t xml:space="preserve">4. Conceptual framework figure — required revisions</w:t>
      </w:r>
    </w:p>
    <w:p>
      <w:pPr>
        <w:spacing w:after="120"/>
      </w:pPr>
      <w:r>
        <w:t xml:space="preserve">The figure is clean and readable; six substantive revisions:</w:t>
      </w:r>
    </w:p>
    <w:p>
      <w:pPr>
        <w:pStyle w:val="ListParagraph"/>
        <w:numPr>
          <w:ilvl w:val="0"/>
          <w:numId w:val="2"/>
        </w:numPr>
        <w:spacing w:after="80"/>
      </w:pPr>
      <w:r>
        <w:rPr>
          <w:b/>
          <w:bCs/>
        </w:rPr>
        <w:t xml:space="preserve">1. Make LLM provider an exogenous design factor. </w:t>
      </w:r>
      <w:r>
        <w:t xml:space="preserve">It is currently one of four attributes inside the AI-advisor box. Draw provider → AI proposal quality as an explicit causal arrow — that arrow is H1, and “the AI proposal” (the artifact output buyers act on) should itself be a construct.</w:t>
      </w:r>
    </w:p>
    <w:p>
      <w:pPr>
        <w:pStyle w:val="ListParagraph"/>
        <w:numPr>
          <w:ilvl w:val="0"/>
          <w:numId w:val="2"/>
        </w:numPr>
        <w:spacing w:after="80"/>
      </w:pPr>
      <w:r>
        <w:rPr>
          <w:b/>
          <w:bCs/>
        </w:rPr>
        <w:t xml:space="preserve">2. Separate measurement from causation. </w:t>
      </w:r>
      <w:r>
        <w:t xml:space="preserve">Benchmark → decision performance reads as a causal arrow; the benchmark is the measuring stick (it defines the optimality gap and the good/bad classification). Use a dashed “evaluation reference” link.</w:t>
      </w:r>
    </w:p>
    <w:p>
      <w:pPr>
        <w:pStyle w:val="ListParagraph"/>
        <w:numPr>
          <w:ilvl w:val="0"/>
          <w:numId w:val="2"/>
        </w:numPr>
        <w:spacing w:after="80"/>
      </w:pPr>
      <w:r>
        <w:rPr>
          <w:b/>
          <w:bCs/>
        </w:rPr>
        <w:t xml:space="preserve">3. Remove or freeze unused constructs. </w:t>
      </w:r>
      <w:r>
        <w:t xml:space="preserve">“Explanation” and “stated uncertainty” are listed under AI advisor, but the design never manipulates them and §6.4 explicitly excludes stated confidence from primary analysis. Drop them or mark “held constant” — otherwise: “where is explanation in your design?”</w:t>
      </w:r>
    </w:p>
    <w:p>
      <w:pPr>
        <w:pStyle w:val="ListParagraph"/>
        <w:numPr>
          <w:ilvl w:val="0"/>
          <w:numId w:val="2"/>
        </w:numPr>
        <w:spacing w:after="80"/>
      </w:pPr>
      <w:r>
        <w:rPr>
          <w:b/>
          <w:bCs/>
        </w:rPr>
        <w:t xml:space="preserve">4. Label arrows with hypotheses </w:t>
      </w:r>
      <w:r>
        <w:t xml:space="preserve">(H1 provider→quality; H2 quality→reliance; H3 modify→performance; H5 at the complementarity node). Makes the framework testable by inspection.</w:t>
      </w:r>
    </w:p>
    <w:p>
      <w:pPr>
        <w:pStyle w:val="ListParagraph"/>
        <w:numPr>
          <w:ilvl w:val="0"/>
          <w:numId w:val="2"/>
        </w:numPr>
        <w:spacing w:after="80"/>
      </w:pPr>
      <w:r>
        <w:rPr>
          <w:b/>
          <w:bCs/>
        </w:rPr>
        <w:t xml:space="preserve">5. Match the mediation claim. </w:t>
      </w:r>
      <w:r>
        <w:t xml:space="preserve">§5 calls reliance a mediator, but the figure lacks the direct quality→performance path mediation implies (accepted advice transmits quality directly). Add it — or drop the mediator language (§6.3 below argues for dropping).</w:t>
      </w:r>
    </w:p>
    <w:p>
      <w:pPr>
        <w:pStyle w:val="ListParagraph"/>
        <w:numPr>
          <w:ilvl w:val="0"/>
          <w:numId w:val="2"/>
        </w:numPr>
        <w:spacing w:after="80"/>
      </w:pPr>
      <w:r>
        <w:rPr>
          <w:b/>
          <w:bCs/>
        </w:rPr>
        <w:t xml:space="preserve">6. Decide moderator vs. cause for task characteristics </w:t>
      </w:r>
      <w:r>
        <w:t xml:space="preserve">(complexity, urgency, information availability): §5 lists them as IVs, the figure feeds them into reliance as causes; if they will be analysed as moderators of advice-taking, draw them that way. Figure and variable table must map 1:1.</w:t>
      </w:r>
    </w:p>
    <w:p>
      <w:pPr>
        <w:pStyle w:val="Heading1"/>
      </w:pPr>
      <w:r>
        <w:t xml:space="preserve">5. Hypotheses — problems and rewrites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3500"/>
        <w:gridCol w:w="3326"/>
        <w:gridCol w:w="1500"/>
      </w:tblGrid>
      <w:tr>
        <w:trPr>
          <w:tblHeader/>
        </w:trPr>
        <w:tc>
          <w:tcPr>
            <w:tcW w:type="dxa" w:w="7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H</w:t>
            </w:r>
          </w:p>
        </w:tc>
        <w:tc>
          <w:tcPr>
            <w:tcW w:type="dxa" w:w="35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Problem as worded</w:t>
            </w:r>
          </w:p>
        </w:tc>
        <w:tc>
          <w:tcPr>
            <w:tcW w:type="dxa" w:w="3326"/>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Suggested revision</w:t>
            </w:r>
          </w:p>
        </w:tc>
        <w:tc>
          <w:tcPr>
            <w:tcW w:type="dxa" w:w="15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Depends on</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H1</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“Differ significantly” invites significance-chasing; no practical threshold; motivating citation is weak (§3.2 above).</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Estimation language with a practically relevant margin on the primary endpoint, e.g. providers differ by &gt;X pp in mean optimality gap or violation rate.</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Phase 3 (core)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H2</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Buyers cannot observe objective quality; they respond to cues — expect attenuation.</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“Buyer reliance increases with objective proposal quality”; note the cue-mediated mechanism.</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Phase 4 only</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H3</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Sharpest hypothesis in the proposal — keep.</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Unchanged; a simulation analogue is possible under assumed modification-quality distributions (label as assumption, not finding).</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Phase 4 (sim analogue possible)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H4</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Near-circular: appropriate reliance is defined by outcome improvement (§3.2), so “appropriate reliance yields better decisions” is close to true by definition.</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“Observed buyer behaviour outperforms full compliance with AI advice” — falsifiable — or fold into the Phase 5 policy comparison.</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Phase 4 / Phase 5</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H5</w:t>
            </w:r>
          </w:p>
        </w:tc>
        <w:tc>
          <w:tcPr>
            <w:tcW w:type="dxa" w:w="3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“But not necessarily the benchmark” is unfalsifiable.</w:t>
            </w:r>
          </w:p>
        </w:tc>
        <w:tc>
          <w:tcPr>
            <w:tcW w:type="dxa" w:w="33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Split: H5a team &gt; human-only; H5b team &gt; AI-only (complementarity per Bansal et al.). Benchmark stays a reference line, not a hypothesis.</w:t>
            </w:r>
          </w:p>
        </w:tc>
        <w:tc>
          <w:tcPr>
            <w:tcW w:type="dxa" w:w="15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Phase 5 (core, conditional on profiles)</w:t>
            </w:r>
          </w:p>
        </w:tc>
      </w:tr>
    </w:tbl>
    <w:p>
      <w:pPr>
        <w:spacing w:after="120"/>
      </w:pPr>
      <w:r>
        <w:t xml:space="preserve">Add the hypothesis ↔ phase ↔ data table to the proposal itself, with a core/extension tag per hypothesis — it makes the §2.1 dependency honest and reviewable.</w:t>
      </w:r>
    </w:p>
    <w:p>
      <w:pPr>
        <w:pStyle w:val="Heading1"/>
      </w:pPr>
      <w:r>
        <w:t xml:space="preserve">6. Method-level review</w:t>
      </w:r>
    </w:p>
    <w:p>
      <w:pPr>
        <w:pStyle w:val="Heading2"/>
      </w:pPr>
      <w:r>
        <w:t xml:space="preserve">6.1 Phase 3 — LLM comparison</w:t>
      </w:r>
    </w:p>
    <w:p>
      <w:pPr>
        <w:pStyle w:val="ListParagraph"/>
        <w:numPr>
          <w:ilvl w:val="0"/>
          <w:numId w:val="2"/>
        </w:numPr>
        <w:spacing w:after="80"/>
      </w:pPr>
      <w:r>
        <w:rPr>
          <w:b/>
          <w:bCs/>
        </w:rPr>
        <w:t xml:space="preserve">Name the providers. </w:t>
      </w:r>
      <w:r>
        <w:t xml:space="preserve">“Three LLM providers” are never identified. Name candidates + selection rationale (EU data-processing options, market relevance, API stability); the open-weights fallback in the risk table is good.</w:t>
      </w:r>
    </w:p>
    <w:p>
      <w:pPr>
        <w:pStyle w:val="ListParagraph"/>
        <w:numPr>
          <w:ilvl w:val="0"/>
          <w:numId w:val="2"/>
        </w:numPr>
        <w:spacing w:after="80"/>
      </w:pPr>
      <w:r>
        <w:rPr>
          <w:b/>
          <w:bCs/>
        </w:rPr>
        <w:t xml:space="preserve">Prompt fairness. </w:t>
      </w:r>
      <w:r>
        <w:t xml:space="preserve">A prompt developed against one provider advantages it — a known benchmarking trap. Specify the protocol: develop on a dev set with an equal iteration budget per provider (or freeze a provider-neutral prompt before any testing), and report a prompt-paraphrase robustness check.</w:t>
      </w:r>
    </w:p>
    <w:p>
      <w:pPr>
        <w:pStyle w:val="ListParagraph"/>
        <w:numPr>
          <w:ilvl w:val="0"/>
          <w:numId w:val="2"/>
        </w:numPr>
        <w:spacing w:after="80"/>
      </w:pPr>
      <w:r>
        <w:rPr>
          <w:b/>
          <w:bCs/>
        </w:rPr>
        <w:t xml:space="preserve">“Held-out” implies a split that is never defined. </w:t>
      </w:r>
      <w:r>
        <w:t xml:space="preserve">Define it: e.g. ~10 development scenarios for configuration, ≥30 test scenarios frozen before evaluation.</w:t>
      </w:r>
    </w:p>
    <w:p>
      <w:pPr>
        <w:pStyle w:val="ListParagraph"/>
        <w:numPr>
          <w:ilvl w:val="0"/>
          <w:numId w:val="2"/>
        </w:numPr>
        <w:spacing w:after="80"/>
      </w:pPr>
      <w:r>
        <w:rPr>
          <w:b/>
          <w:bCs/>
        </w:rPr>
        <w:t xml:space="preserve">Decoding-policy conflict. </w:t>
      </w:r>
      <w:r>
        <w:t xml:space="preserve">The risk table says “fixed decoding”, but “consistency across repeated runs” is a primary metric — at temperature 0, consistency is near-trivial for some providers. Decide: sample at documented default temperature to make consistency meaningful, or fix decoding and drop consistency. State seeds where supported.</w:t>
      </w:r>
    </w:p>
    <w:p>
      <w:pPr>
        <w:pStyle w:val="ListParagraph"/>
        <w:numPr>
          <w:ilvl w:val="0"/>
          <w:numId w:val="2"/>
        </w:numPr>
        <w:spacing w:after="80"/>
      </w:pPr>
      <w:r>
        <w:rPr>
          <w:b/>
          <w:bCs/>
        </w:rPr>
        <w:t xml:space="preserve">Budget arithmetic. </w:t>
      </w:r>
      <w:r>
        <w:t xml:space="preserve">3 providers × ≥30 scenarios × 10 runs × a 4-agent chain ≥ 3,600 chains — plausibly 15–40k calls. Compute the cost now; “budget [TBC]” cannot survive into the graded version.</w:t>
      </w:r>
    </w:p>
    <w:p>
      <w:pPr>
        <w:pStyle w:val="ListParagraph"/>
        <w:numPr>
          <w:ilvl w:val="0"/>
          <w:numId w:val="2"/>
        </w:numPr>
        <w:spacing w:after="80"/>
      </w:pPr>
      <w:r>
        <w:rPr>
          <w:b/>
          <w:bCs/>
        </w:rPr>
        <w:t xml:space="preserve">Blind the expert raters. </w:t>
      </w:r>
      <w:r>
        <w:t xml:space="preserve">Blinding is specified for buyers (§6.4) but not for the expert practicality ratings. Blind raters to provider identity; state how many raters and the agreement statistic (Krippendorff’s α suits small counts).</w:t>
      </w:r>
    </w:p>
    <w:p>
      <w:pPr>
        <w:pStyle w:val="ListParagraph"/>
        <w:numPr>
          <w:ilvl w:val="0"/>
          <w:numId w:val="2"/>
        </w:numPr>
        <w:spacing w:after="80"/>
      </w:pPr>
      <w:r>
        <w:rPr>
          <w:b/>
          <w:bCs/>
        </w:rPr>
        <w:t xml:space="preserve">Justify the multi-agent architecture — and baseline it. </w:t>
      </w:r>
      <w:r>
        <w:t xml:space="preserve">Why four roles? Uncited, unjustified. Add one single-LLM-call baseline configuration (cheap) so you can answer “would one prompt have done the same?” — otherwise the central artifact is an unexamined design choice.</w:t>
      </w:r>
    </w:p>
    <w:p>
      <w:pPr>
        <w:pStyle w:val="Heading2"/>
      </w:pPr>
      <w:r>
        <w:t xml:space="preserve">6.2 Phase 4 — buyer study</w:t>
      </w:r>
    </w:p>
    <w:p>
      <w:pPr>
        <w:pStyle w:val="ListParagraph"/>
        <w:numPr>
          <w:ilvl w:val="0"/>
          <w:numId w:val="2"/>
        </w:numPr>
        <w:spacing w:after="80"/>
      </w:pPr>
      <w:r>
        <w:rPr>
          <w:b/>
          <w:bCs/>
        </w:rPr>
        <w:t xml:space="preserve">Check the headcount this month. </w:t>
      </w:r>
      <w:r>
        <w:t xml:space="preserve">The design targets 6–9 buyers; SME purchasing departments are often 2–4 people. If fewer: more scenarios per buyer, include adjacent roles (planners, requisitioning engineers), or convert to a think-aloud case study. This determines the go/no-go and is a single question to the company.</w:t>
      </w:r>
    </w:p>
    <w:p>
      <w:pPr>
        <w:pStyle w:val="ListParagraph"/>
        <w:numPr>
          <w:ilvl w:val="0"/>
          <w:numId w:val="2"/>
        </w:numPr>
        <w:spacing w:after="80"/>
      </w:pPr>
      <w:r>
        <w:rPr>
          <w:b/>
          <w:bCs/>
        </w:rPr>
        <w:t xml:space="preserve">JAS initial-decision effort. </w:t>
      </w:r>
      <w:r>
        <w:t xml:space="preserve">The decide-then-advice paradigm inflates AI benefit when initial decisions are low-effort. Mitigate (minimum decision time, small accuracy incentive, or record decision time) and acknowledge the limitation.</w:t>
      </w:r>
    </w:p>
    <w:p>
      <w:pPr>
        <w:pStyle w:val="ListParagraph"/>
        <w:numPr>
          <w:ilvl w:val="0"/>
          <w:numId w:val="2"/>
        </w:numPr>
        <w:spacing w:after="80"/>
      </w:pPr>
      <w:r>
        <w:rPr>
          <w:b/>
          <w:bCs/>
        </w:rPr>
        <w:t xml:space="preserve">Drop the “mediator” label. </w:t>
      </w:r>
      <w:r>
        <w:t xml:space="preserve">§5 declares reliance a mediator; mediation analysis with n = 6–9 is impossible. Call it a descriptive mechanism; the exploratory framing and buyer-clustered CIs already in §6.4 are right.</w:t>
      </w:r>
    </w:p>
    <w:p>
      <w:pPr>
        <w:pStyle w:val="ListParagraph"/>
        <w:numPr>
          <w:ilvl w:val="0"/>
          <w:numId w:val="2"/>
        </w:numPr>
        <w:spacing w:after="80"/>
      </w:pPr>
      <w:r>
        <w:rPr>
          <w:b/>
          <w:bCs/>
        </w:rPr>
        <w:t xml:space="preserve">Small-n privacy. </w:t>
      </w:r>
      <w:r>
        <w:t xml:space="preserve">With &lt;10 identifiable buyers, individual results are internally deanonymizable. Commit in the ethics application to reporting only aggregates and within-person deltas; the September privacy/data agreement should cover employee behavioural data explicitly.</w:t>
      </w:r>
    </w:p>
    <w:p>
      <w:pPr>
        <w:pStyle w:val="Heading2"/>
      </w:pPr>
      <w:r>
        <w:t xml:space="preserve">6.3 Analysis and statistics (§7)</w:t>
      </w:r>
    </w:p>
    <w:p>
      <w:pPr>
        <w:pStyle w:val="ListParagraph"/>
        <w:numPr>
          <w:ilvl w:val="0"/>
          <w:numId w:val="2"/>
        </w:numPr>
        <w:spacing w:after="80"/>
      </w:pPr>
      <w:r>
        <w:rPr>
          <w:b/>
          <w:bCs/>
        </w:rPr>
        <w:t xml:space="preserve">Declare one primary endpoint </w:t>
      </w:r>
      <w:r>
        <w:t xml:space="preserve">(recommend scenario-level mean optimality gap); the other six metrics become secondary. Seven co-equal metrics create a multiplicity problem the pairwise correction does not address.</w:t>
      </w:r>
    </w:p>
    <w:p>
      <w:pPr>
        <w:pStyle w:val="ListParagraph"/>
        <w:numPr>
          <w:ilvl w:val="0"/>
          <w:numId w:val="2"/>
        </w:numPr>
        <w:spacing w:after="80"/>
      </w:pPr>
      <w:r>
        <w:rPr>
          <w:b/>
          <w:bCs/>
        </w:rPr>
        <w:t xml:space="preserve">Handle the nesting. </w:t>
      </w:r>
      <w:r>
        <w:t xml:space="preserve">10 repetitions within scenario: aggregate per scenario before the Friedman test (state this), or use a mixed model. 300 runs are not 300 independent observations.</w:t>
      </w:r>
    </w:p>
    <w:p>
      <w:pPr>
        <w:pStyle w:val="ListParagraph"/>
        <w:numPr>
          <w:ilvl w:val="0"/>
          <w:numId w:val="2"/>
        </w:numPr>
        <w:spacing w:after="80"/>
      </w:pPr>
      <w:r>
        <w:rPr>
          <w:b/>
          <w:bCs/>
        </w:rPr>
        <w:t xml:space="preserve">Add one precision sentence. </w:t>
      </w:r>
      <w:r>
        <w:t xml:space="preserve">With ~30 paired scenarios, state the detectable effect size at 80% power (or the bootstrap CI half-width target). One sentence; large rigor signal.</w:t>
      </w:r>
    </w:p>
    <w:p>
      <w:pPr>
        <w:pStyle w:val="Heading1"/>
      </w:pPr>
      <w:r>
        <w:t xml:space="preserve">7. Internal consistency and polish</w:t>
      </w:r>
    </w:p>
    <w:p>
      <w:pPr>
        <w:pStyle w:val="ListParagraph"/>
        <w:numPr>
          <w:ilvl w:val="0"/>
          <w:numId w:val="2"/>
        </w:numPr>
        <w:spacing w:after="80"/>
      </w:pPr>
      <w:r>
        <w:rPr>
          <w:b/>
          <w:bCs/>
        </w:rPr>
        <w:t xml:space="preserve">[TBC] inventory to zero: </w:t>
      </w:r>
      <w:r>
        <w:t xml:space="preserve">supervisor name, group, interview signal, second group contact, budget, official BEP dates, company start/contract. A flawless submission contains none.</w:t>
      </w:r>
    </w:p>
    <w:p>
      <w:pPr>
        <w:pStyle w:val="ListParagraph"/>
        <w:numPr>
          <w:ilvl w:val="0"/>
          <w:numId w:val="2"/>
        </w:numPr>
        <w:spacing w:after="80"/>
      </w:pPr>
      <w:r>
        <w:rPr>
          <w:b/>
          <w:bCs/>
        </w:rPr>
        <w:t xml:space="preserve">The two open boxes must close. </w:t>
      </w:r>
      <w:r>
        <w:t xml:space="preserve">The §3.1 reliance-metric box and §6 scope box are excellent working-draft devices; the graded version needs decisions (§3.1 recommendation above), with alternatives demoted to robustness checks.</w:t>
      </w:r>
    </w:p>
    <w:p>
      <w:pPr>
        <w:pStyle w:val="ListParagraph"/>
        <w:numPr>
          <w:ilvl w:val="0"/>
          <w:numId w:val="2"/>
        </w:numPr>
        <w:spacing w:after="80"/>
      </w:pPr>
      <w:r>
        <w:rPr>
          <w:b/>
          <w:bCs/>
        </w:rPr>
        <w:t xml:space="preserve">§2 interview signal is [TBC] yet load-bearing: </w:t>
      </w:r>
      <w:r>
        <w:t xml:space="preserve">the advisory human-in-control stance “is exactly what the appropriate-reliance framing assumes”. Confirm it in the next company call, or soften the dependence.</w:t>
      </w:r>
    </w:p>
    <w:p>
      <w:pPr>
        <w:pStyle w:val="ListParagraph"/>
        <w:numPr>
          <w:ilvl w:val="0"/>
          <w:numId w:val="2"/>
        </w:numPr>
        <w:spacing w:after="80"/>
      </w:pPr>
      <w:r>
        <w:rPr>
          <w:b/>
          <w:bCs/>
        </w:rPr>
        <w:t xml:space="preserve">Missing deliverable: </w:t>
      </w:r>
      <w:r>
        <w:t xml:space="preserve">§2 says the internship asks for an AI-application scan; §9’s deliverables omit it. Add as a Phase 1 output.</w:t>
      </w:r>
    </w:p>
    <w:p>
      <w:pPr>
        <w:pStyle w:val="ListParagraph"/>
        <w:numPr>
          <w:ilvl w:val="0"/>
          <w:numId w:val="2"/>
        </w:numPr>
        <w:spacing w:after="80"/>
      </w:pPr>
      <w:r>
        <w:rPr>
          <w:b/>
          <w:bCs/>
        </w:rPr>
        <w:t xml:space="preserve">State the contribution. </w:t>
      </w:r>
      <w:r>
        <w:t xml:space="preserve">Nowhere does the proposal say what is scientifically new. One sentence in §1, e.g.: a provider-as-factor comparison of multi-agent LLM advisors on a real SME procurement task, evaluated against an optimization benchmark under behaviour-aware performance.</w:t>
      </w:r>
    </w:p>
    <w:p>
      <w:pPr>
        <w:pStyle w:val="ListParagraph"/>
        <w:numPr>
          <w:ilvl w:val="0"/>
          <w:numId w:val="2"/>
        </w:numPr>
        <w:spacing w:after="80"/>
      </w:pPr>
      <w:r>
        <w:rPr>
          <w:b/>
          <w:bCs/>
        </w:rPr>
        <w:t xml:space="preserve">Cite the §2 empirical claims </w:t>
      </w:r>
      <w:r>
        <w:t xml:space="preserve">(“LLM providers are not interchangeable …”) at the claim, not only in the reading list — and with stronger support (§3.2).</w:t>
      </w:r>
    </w:p>
    <w:p>
      <w:pPr>
        <w:pStyle w:val="ListParagraph"/>
        <w:numPr>
          <w:ilvl w:val="0"/>
          <w:numId w:val="2"/>
        </w:numPr>
        <w:spacing w:after="80"/>
      </w:pPr>
      <w:r>
        <w:rPr>
          <w:b/>
          <w:bCs/>
        </w:rPr>
        <w:t xml:space="preserve">Title: </w:t>
      </w:r>
      <w:r>
        <w:t xml:space="preserve">three-clause subtitle; consider “Human–AI procurement decision support at Hytech-Pommec: provider choice, buyer reliance, and realized performance”.</w:t>
      </w:r>
    </w:p>
    <w:p>
      <w:pPr>
        <w:pStyle w:val="Heading1"/>
      </w:pPr>
      <w:r>
        <w:t xml:space="preserve">8. Prioritized fix list</w:t>
      </w:r>
    </w:p>
    <w:p>
      <w:pPr>
        <w:spacing w:after="120"/>
      </w:pPr>
      <w:r>
        <w:rPr>
          <w:i/>
          <w:iCs/>
        </w:rPr>
        <w:t xml:space="preserve">P0 = required before supervisor sign-off (v1.0 early August, frozen end of August). P1 = rigor upgrades for the graded version. P2 = polish.</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700"/>
        <w:gridCol w:w="6300"/>
        <w:gridCol w:w="2026"/>
      </w:tblGrid>
      <w:tr>
        <w:trPr>
          <w:tblHeader/>
        </w:trPr>
        <w:tc>
          <w:tcPr>
            <w:tcW w:type="dxa" w:w="7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w:t>
            </w:r>
          </w:p>
        </w:tc>
        <w:tc>
          <w:tcPr>
            <w:tcW w:type="dxa" w:w="6300"/>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Fix</w:t>
            </w:r>
          </w:p>
        </w:tc>
        <w:tc>
          <w:tcPr>
            <w:tcW w:type="dxa" w:w="2026"/>
            <w:tcBorders>
              <w:top w:val="single" w:color="BFBFBF" w:sz="1"/>
              <w:left w:val="single" w:color="BFBFBF" w:sz="1"/>
              <w:bottom w:val="single" w:color="BFBFBF" w:sz="1"/>
              <w:right w:val="single" w:color="BFBFBF" w:sz="1"/>
            </w:tcBorders>
            <w:shd w:fill="D9E4F0" w:val="clear"/>
            <w:tcMar>
              <w:top w:type="dxa" w:w="80"/>
              <w:left w:type="dxa" w:w="120"/>
              <w:bottom w:type="dxa" w:w="80"/>
              <w:right w:type="dxa" w:w="120"/>
            </w:tcMar>
          </w:tcPr>
          <w:p>
            <w:pPr>
              <w:spacing w:after="0"/>
            </w:pPr>
            <w:r>
              <w:rPr>
                <w:b/>
                <w:bCs/>
              </w:rPr>
              <w:t xml:space="preserve">Where</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P0-1</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Single umbrella RQ; SQs as decompositions; define or drop “reliability”.</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 §4</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P0-2</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Resolve the core-vs-centre tension (option a/b/c); add hypothesis↔phase↔data table with core/extension tags.</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§1, §3, §5</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P0-3</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Specify the simulation: random inputs, outcome model + calibration, behaviour-profile parameterization, run-count justification, common random numbers.</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§6.5</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P0-4</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Operationalize good/bad proposals (incl. “modify” on good ones); decide the primary reliance metric now.</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§3.1–3.2</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P0-5</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Re-plan schedule: design + protocol + reliance metric frozen end of August; decompress December; confirm BEP 2026-A dates.</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§8</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P0-6</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Company questions this month: buyer headcount (gates Phase 4), data inventory, API budget number, confirm the interview signal.</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§2, §6.4, §10</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P1-1</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Benchmark: validation criterion, scalarization statement, deviation-as-information discussion, supplier-selection literature.</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§6.2, §3</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P1-2</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Provider comparison: name providers, prompt-fairness protocol, dev/test split, decoding policy (resolve consistency conflict), budget math.</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P1-3</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Add single-agent baseline + citation for the multi-agent architecture.</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§6.3</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P1-4</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Primary endpoint + nesting handling + one precision sentence; blind expert raters, state rater count + agreement statistic.</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§7</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P1-5</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Literature: add §3.3 table entries; fix 2505.18597 annotation; strengthen H1 motivation; complete all citations; re-verify IJPR link.</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§3, §12</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P1-6</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Rewrite H1, H4, H5 (§5 above); drop “mediator” for n=6–9.</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§5</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P2-1</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Figure: six revisions of §4 above.</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Fig. 1</w:t>
            </w:r>
          </w:p>
        </w:tc>
      </w:tr>
      <w:tr>
        <w:tc>
          <w:tcPr>
            <w:tcW w:type="dxa" w:w="7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P2-2</w:t>
            </w:r>
          </w:p>
        </w:tc>
        <w:tc>
          <w:tcPr>
            <w:tcW w:type="dxa" w:w="6300"/>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Zero [TBC]s; close both open boxes; add AI-scan deliverable; contribution sentence; title; JAS effort mitigation; small-n privacy commitment; Peffers/van Weele details.</w:t>
            </w:r>
          </w:p>
        </w:tc>
        <w:tc>
          <w:tcPr>
            <w:tcW w:type="dxa" w:w="2026"/>
            <w:tcBorders>
              <w:top w:val="single" w:color="BFBFBF" w:sz="1"/>
              <w:left w:val="single" w:color="BFBFBF" w:sz="1"/>
              <w:bottom w:val="single" w:color="BFBFBF" w:sz="1"/>
              <w:right w:val="single" w:color="BFBFBF" w:sz="1"/>
            </w:tcBorders>
            <w:tcMar>
              <w:top w:type="dxa" w:w="80"/>
              <w:left w:type="dxa" w:w="120"/>
              <w:bottom w:type="dxa" w:w="80"/>
              <w:right w:type="dxa" w:w="120"/>
            </w:tcMar>
          </w:tcPr>
          <w:p>
            <w:pPr>
              <w:spacing w:after="0"/>
            </w:pPr>
            <w:r>
              <w:t xml:space="preserve">throughout</w:t>
            </w:r>
          </w:p>
        </w:tc>
      </w:tr>
    </w:tbl>
    <w:p>
      <w:pPr>
        <w:pStyle w:val="Heading1"/>
      </w:pPr>
      <w:r>
        <w:t xml:space="preserve">9. What is already strong — keep</w:t>
      </w:r>
    </w:p>
    <w:p>
      <w:pPr>
        <w:pStyle w:val="ListParagraph"/>
        <w:numPr>
          <w:ilvl w:val="0"/>
          <w:numId w:val="2"/>
        </w:numPr>
        <w:spacing w:after="80"/>
      </w:pPr>
      <w:r>
        <w:t xml:space="preserve">Core/extension scope discipline with an explicit go/no-go — exactly right for a five-month solo project, and the single best feature of v0.3.</w:t>
      </w:r>
    </w:p>
    <w:p>
      <w:pPr>
        <w:pStyle w:val="ListParagraph"/>
        <w:numPr>
          <w:ilvl w:val="0"/>
          <w:numId w:val="2"/>
        </w:numPr>
        <w:spacing w:after="80"/>
      </w:pPr>
      <w:r>
        <w:t xml:space="preserve">Realistic, specific risk register (version pinning, caching, synthetic-data fallback, open-weights fallback).</w:t>
      </w:r>
    </w:p>
    <w:p>
      <w:pPr>
        <w:pStyle w:val="ListParagraph"/>
        <w:numPr>
          <w:ilvl w:val="0"/>
          <w:numId w:val="2"/>
        </w:numPr>
        <w:spacing w:after="80"/>
      </w:pPr>
      <w:r>
        <w:t xml:space="preserve">Confidence handling — refusing self-reported “95% confident” and citing the calibration gap — is sophisticated and matches the group’s research line.</w:t>
      </w:r>
    </w:p>
    <w:p>
      <w:pPr>
        <w:pStyle w:val="ListParagraph"/>
        <w:numPr>
          <w:ilvl w:val="0"/>
          <w:numId w:val="2"/>
        </w:numPr>
        <w:spacing w:after="80"/>
      </w:pPr>
      <w:r>
        <w:t xml:space="preserve">Faithful translation of the supervisor’s design idea (provider as decision variable) and of the company’s advisory, human-in-control preference.</w:t>
      </w:r>
    </w:p>
    <w:p>
      <w:pPr>
        <w:pStyle w:val="ListParagraph"/>
        <w:numPr>
          <w:ilvl w:val="0"/>
          <w:numId w:val="2"/>
        </w:numPr>
        <w:spacing w:after="80"/>
      </w:pPr>
      <w:r>
        <w:t xml:space="preserve">Annotated reading list with checked links; the ProcureGym related-work-only caveat shows genuine source criticism.</w:t>
      </w:r>
    </w:p>
    <w:p>
      <w:pPr>
        <w:pStyle w:val="ListParagraph"/>
        <w:numPr>
          <w:ilvl w:val="0"/>
          <w:numId w:val="2"/>
        </w:numPr>
        <w:spacing w:after="80"/>
      </w:pPr>
      <w:r>
        <w:t xml:space="preserve">Paired scenario design with nonparametric tests and bootstrap CIs — the right instincts for this data.</w:t>
      </w:r>
    </w:p>
    <w:p>
      <w:pPr>
        <w:pStyle w:val="ListParagraph"/>
        <w:numPr>
          <w:ilvl w:val="0"/>
          <w:numId w:val="2"/>
        </w:numPr>
        <w:spacing w:after="80"/>
      </w:pPr>
      <w:r>
        <w:t xml:space="preserve">Phase 1 decision-selection rubric — auditable case choice instead of an arbitrary one.</w:t>
      </w:r>
    </w:p>
    <w:p>
      <w:pPr>
        <w:spacing w:after="120"/>
      </w:pPr>
      <w:r>
        <w:rPr>
          <w:b/>
          <w:bCs/>
        </w:rPr>
        <w:t xml:space="preserve">Bottom line: fix the five structural issues and the P0 list before the supervisor freeze, execute P1 in the graded version, and this proposal is defensible at the highest level — the underlying design is genuinely good.</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08080"/>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BFBFBF" w:sz="4" w:space="1"/>
      </w:pBdr>
      <w:tabs>
        <w:tab w:val="right" w:pos="9026"/>
      </w:tabs>
    </w:pPr>
    <w:r>
      <w:rPr>
        <w:color w:val="808080"/>
        <w:sz w:val="16"/>
        <w:szCs w:val="16"/>
      </w:rPr>
      <w:t xml:space="preserve">Critical review — BEP proposal v0.3</w:t>
    </w:r>
    <w:r>
      <w:rPr>
        <w:color w:val="808080"/>
        <w:sz w:val="16"/>
        <w:szCs w:val="16"/>
      </w:rPr>
      <w:t xml:space="preserve">	10 July 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Arial" w:cs="Arial" w:eastAsia="Arial" w:hAnsi="Arial"/>
      <w:b/>
      <w:bCs/>
      <w:color w:val="000000"/>
      <w:sz w:val="28"/>
      <w:szCs w:val="28"/>
    </w:rPr>
  </w:style>
  <w:style w:type="paragraph" w:styleId="Heading2">
    <w:name w:val="Heading 2"/>
    <w:basedOn w:val="Normal"/>
    <w:next w:val="Normal"/>
    <w:qFormat/>
    <w:pPr>
      <w:spacing w:after="120" w:before="200"/>
      <w:outlineLvl w:val="1"/>
    </w:pPr>
    <w:rPr>
      <w:rFonts w:ascii="Arial" w:cs="Arial" w:eastAsia="Arial" w:hAnsi="Arial"/>
      <w:b/>
      <w:bCs/>
      <w:color w:val="1F3B5C"/>
      <w:sz w:val="23"/>
      <w:szCs w:val="23"/>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2026-07-09T23:18:03.159Z</dcterms:created>
  <dcterms:modified xsi:type="dcterms:W3CDTF">2026-07-09T23:18:03.159Z</dcterms:modified>
</cp:coreProperties>
</file>

<file path=docProps/custom.xml><?xml version="1.0" encoding="utf-8"?>
<Properties xmlns="http://schemas.openxmlformats.org/officeDocument/2006/custom-properties" xmlns:vt="http://schemas.openxmlformats.org/officeDocument/2006/docPropsVTypes"/>
</file>