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276" w:before="0" w:after="80"/>
        <w:jc w:val="center"/>
        <w:rPr/>
      </w:pPr>
      <w:r>
        <w:rPr>
          <w:rFonts w:eastAsia="Times New Roman" w:cs="Times New Roman"/>
          <w:b/>
          <w:bCs/>
          <w:i w:val="false"/>
          <w:iCs w:val="false"/>
          <w:sz w:val="40"/>
          <w:szCs w:val="40"/>
        </w:rPr>
        <w:t>COHERENCE UNIT CELL</w:t>
      </w:r>
    </w:p>
    <w:p>
      <w:pPr>
        <w:pStyle w:val="Normal"/>
        <w:spacing w:lineRule="exact" w:line="276" w:before="0" w:after="40"/>
        <w:jc w:val="center"/>
        <w:rPr/>
      </w:pPr>
      <w:r>
        <w:rPr>
          <w:rFonts w:eastAsia="Times New Roman" w:cs="Times New Roman"/>
          <w:b w:val="false"/>
          <w:bCs w:val="false"/>
          <w:i w:val="false"/>
          <w:iCs w:val="false"/>
          <w:sz w:val="28"/>
          <w:szCs w:val="28"/>
        </w:rPr>
        <w:t>Experimental Validation of Cross-Domain Convergence</w:t>
      </w:r>
    </w:p>
    <w:p>
      <w:pPr>
        <w:pStyle w:val="Normal"/>
        <w:spacing w:lineRule="exact" w:line="276" w:before="0" w:after="80"/>
        <w:jc w:val="center"/>
        <w:rPr/>
      </w:pPr>
      <w:r>
        <w:rPr>
          <w:rFonts w:eastAsia="Times New Roman" w:cs="Times New Roman"/>
          <w:b w:val="false"/>
          <w:bCs w:val="false"/>
          <w:i w:val="false"/>
          <w:iCs w:val="false"/>
          <w:sz w:val="28"/>
          <w:szCs w:val="28"/>
        </w:rPr>
        <w:t>in Kuramoto Coupled Oscillator Architectures</w:t>
      </w:r>
    </w:p>
    <w:p>
      <w:pPr>
        <w:pStyle w:val="Normal"/>
        <w:spacing w:lineRule="exact" w:line="276" w:before="0" w:after="80"/>
        <w:jc w:val="center"/>
        <w:rPr/>
      </w:pPr>
      <w:r>
        <w:rPr>
          <w:rFonts w:eastAsia="Times New Roman" w:cs="Times New Roman"/>
          <w:b w:val="false"/>
          <w:bCs w:val="false"/>
          <w:i/>
          <w:iCs/>
          <w:sz w:val="22"/>
          <w:szCs w:val="22"/>
        </w:rPr>
        <w:t>13 Experiments | V1 Core + V2 Extended Controls + Supplementary Robustness</w:t>
      </w:r>
    </w:p>
    <w:p>
      <w:pPr>
        <w:pStyle w:val="Normal"/>
        <w:spacing w:lineRule="exact" w:line="276" w:before="0" w:after="300"/>
        <w:jc w:val="center"/>
        <w:rPr/>
      </w:pPr>
      <w:r>
        <w:rPr>
          <w:rFonts w:eastAsia="Times New Roman" w:cs="Times New Roman"/>
          <w:b w:val="false"/>
          <w:bCs w:val="false"/>
          <w:i w:val="false"/>
          <w:iCs w:val="false"/>
          <w:sz w:val="22"/>
          <w:szCs w:val="22"/>
        </w:rPr>
        <w:t>Matt Waltman | February 20, 2026 | Richter Farms, Grundy County, Iowa</w:t>
      </w:r>
    </w:p>
    <w:p>
      <w:pPr>
        <w:pStyle w:val="Heading1"/>
        <w:spacing w:before="360" w:after="120"/>
        <w:rPr/>
      </w:pPr>
      <w:r>
        <w:rPr>
          <w:rFonts w:eastAsia="Times New Roman" w:cs="Times New Roman" w:ascii="Times New Roman" w:hAnsi="Times New Roman"/>
          <w:b/>
          <w:bCs/>
          <w:sz w:val="32"/>
          <w:szCs w:val="32"/>
        </w:rPr>
        <w:t>Abstract</w:t>
      </w:r>
    </w:p>
    <w:p>
      <w:pPr>
        <w:pStyle w:val="Normal"/>
        <w:spacing w:lineRule="exact" w:line="276" w:before="0" w:after="200"/>
        <w:jc w:val="left"/>
        <w:rPr/>
      </w:pPr>
      <w:r>
        <w:rPr>
          <w:rFonts w:eastAsia="Times New Roman" w:cs="Times New Roman"/>
          <w:b w:val="false"/>
          <w:bCs w:val="false"/>
          <w:i w:val="false"/>
          <w:iCs w:val="false"/>
          <w:sz w:val="24"/>
          <w:szCs w:val="24"/>
        </w:rPr>
        <w:t>Four independent research programs—cochlear biophysics (Bell, 2012), Kuramoto-based neural computation (Miyato et al., 2025), steady-state attention mechanisms (Hays, 2025), and oscillator-based coherence substrates (Waltman, 2025–2026)—converged on structurally similar coupled-oscillator architectures despite no shared literature or collaboration. This work tests whether that convergence reflects a functionally privileged architecture class or a coincidental similarity. Using a unified Kuramoto simulator with 4th-order Runge-Kutta integration, we evaluate thirteen reproducible experiments across topology, tuning, perturbation recovery, and ablation.</w:t>
      </w:r>
    </w:p>
    <w:p>
      <w:pPr>
        <w:pStyle w:val="Normal"/>
        <w:spacing w:lineRule="exact" w:line="276" w:before="0" w:after="200"/>
        <w:jc w:val="left"/>
        <w:rPr/>
      </w:pPr>
      <w:r>
        <w:rPr>
          <w:rFonts w:eastAsia="Times New Roman" w:cs="Times New Roman"/>
          <w:b w:val="false"/>
          <w:bCs w:val="false"/>
          <w:i w:val="false"/>
          <w:iCs w:val="false"/>
          <w:sz w:val="24"/>
          <w:szCs w:val="24"/>
        </w:rPr>
        <w:t>Three findings emerge. (1) Biological tuning transfers across domains: cochlear Shera Q-factors improve coherence in non-biological Kuramoto networks by ~+0.24 over uniform coupling, an advantage that persists across a 27-cell parameter sweep of coupling strength, forcing amplitude, and frequency spread. (2) Self-duality appears to confer robustness: systems where the settled phase state is the representation recover identity after perturbation ~9× better than systems with orthogonal, trained, or random readout transforms (all p &lt; 0.0001, Cohen’s d &gt; 1.0, bootstrap 95% CIs excluding zero). (3) The Coherence Unit Cell is load-bearing: ablating individual properties systematically degrades coherence and stability relative to the full six-property bundle shared across the four systems.</w:t>
      </w:r>
    </w:p>
    <w:p>
      <w:pPr>
        <w:pStyle w:val="Normal"/>
        <w:spacing w:lineRule="exact" w:line="276" w:before="0" w:after="200"/>
        <w:jc w:val="left"/>
        <w:rPr/>
      </w:pPr>
      <w:r>
        <w:rPr>
          <w:rFonts w:eastAsia="Times New Roman" w:cs="Times New Roman"/>
          <w:b w:val="false"/>
          <w:bCs w:val="false"/>
          <w:i w:val="false"/>
          <w:iCs w:val="false"/>
          <w:sz w:val="24"/>
          <w:szCs w:val="24"/>
        </w:rPr>
        <w:t>We distinguish two mathematical layers underlying the convergence: a Body layer (discrete graph-based computation; AKOrN, SSA, 24-cell topology) and a Voice layer (continuous field-based resonance; cochlea, Flower of Life). The Flower of Life’s near-zero algebraic connectivity is consistent with field interference pattern behavior rather than graph behavior. In this packet we restrict analysis to the Body layer. All experiments are reproducible (seed=42) and implemented in a single Python script.</w:t>
      </w:r>
    </w:p>
    <w:p>
      <w:pPr>
        <w:pStyle w:val="Heading1"/>
        <w:spacing w:before="360" w:after="120"/>
        <w:rPr/>
      </w:pPr>
      <w:r>
        <w:rPr>
          <w:rFonts w:eastAsia="Times New Roman" w:cs="Times New Roman" w:ascii="Times New Roman" w:hAnsi="Times New Roman"/>
          <w:b/>
          <w:bCs/>
          <w:sz w:val="32"/>
          <w:szCs w:val="32"/>
        </w:rPr>
        <w:t>Context</w:t>
      </w:r>
    </w:p>
    <w:p>
      <w:pPr>
        <w:pStyle w:val="Normal"/>
        <w:spacing w:lineRule="exact" w:line="276" w:before="0" w:after="200"/>
        <w:jc w:val="left"/>
        <w:rPr/>
      </w:pPr>
      <w:r>
        <w:rPr>
          <w:rFonts w:eastAsia="Times New Roman" w:cs="Times New Roman"/>
          <w:b w:val="false"/>
          <w:bCs w:val="false"/>
          <w:i w:val="false"/>
          <w:iCs w:val="false"/>
          <w:sz w:val="24"/>
          <w:szCs w:val="24"/>
        </w:rPr>
        <w:t>Drs. Bell, Miyato, and Hays,</w:t>
      </w:r>
    </w:p>
    <w:p>
      <w:pPr>
        <w:pStyle w:val="Normal"/>
        <w:spacing w:lineRule="exact" w:line="276" w:before="0" w:after="200"/>
        <w:jc w:val="left"/>
        <w:rPr/>
      </w:pPr>
      <w:r>
        <w:rPr>
          <w:rFonts w:eastAsia="Times New Roman" w:cs="Times New Roman"/>
          <w:b w:val="false"/>
          <w:bCs w:val="false"/>
          <w:i w:val="false"/>
          <w:iCs w:val="false"/>
          <w:sz w:val="24"/>
          <w:szCs w:val="24"/>
        </w:rPr>
        <w:t>Thank you for your engagement with this work. Each of you has independently developed systems that—despite operating in different domains—share a common architectural structure: phase-coupled oscillators with structured coupling, global forcing, resonance-weighted interactions, and steady-state computation. This packet presents thirteen reproducible experiments designed to test whether this cross-domain convergence reflects a functionally privileged architecture class.</w:t>
      </w:r>
    </w:p>
    <w:p>
      <w:pPr>
        <w:pStyle w:val="Heading2"/>
        <w:spacing w:before="240" w:after="120"/>
        <w:rPr/>
      </w:pPr>
      <w:r>
        <w:rPr>
          <w:rFonts w:eastAsia="Times New Roman" w:cs="Times New Roman" w:ascii="Times New Roman" w:hAnsi="Times New Roman"/>
          <w:b/>
          <w:bCs/>
          <w:sz w:val="28"/>
          <w:szCs w:val="28"/>
        </w:rPr>
        <w:t>Body vs. Voice Framework</w:t>
      </w:r>
    </w:p>
    <w:p>
      <w:pPr>
        <w:pStyle w:val="Normal"/>
        <w:spacing w:lineRule="exact" w:line="276" w:before="0" w:after="200"/>
        <w:jc w:val="left"/>
        <w:rPr/>
      </w:pPr>
      <w:r>
        <w:rPr>
          <w:rFonts w:eastAsia="Times New Roman" w:cs="Times New Roman"/>
          <w:b w:val="false"/>
          <w:bCs w:val="false"/>
          <w:i w:val="false"/>
          <w:iCs w:val="false"/>
          <w:sz w:val="24"/>
          <w:szCs w:val="24"/>
        </w:rPr>
        <w:t>The four-way convergence spans two distinct mathematical layers. AKOrN (Miyato et al.) and SSA (Hays) operate in the Body layer: discrete graph-based computation where adjacency, degree, and Laplacian spectrum determine coherence behavior. Bell’s cochlear model and the Flower of Life geometry operate in the Voice layer: continuous field dynamics where resonance, interference, and phase relationships define structure. The Shera Q-factor transplant (Experiment 1) demonstrates the bridge between these layers: biological voice-layer tuning improves body-layer Kuramoto architectures. In this packet we restrict analysis to the Body layer.</w:t>
      </w:r>
    </w:p>
    <w:p>
      <w:pPr>
        <w:pStyle w:val="Heading2"/>
        <w:spacing w:before="240" w:after="120"/>
        <w:rPr/>
      </w:pPr>
      <w:r>
        <w:rPr>
          <w:rFonts w:eastAsia="Times New Roman" w:cs="Times New Roman" w:ascii="Times New Roman" w:hAnsi="Times New Roman"/>
          <w:b/>
          <w:bCs/>
          <w:sz w:val="28"/>
          <w:szCs w:val="28"/>
        </w:rPr>
        <w:t>The Four-Way Convergence</w:t>
      </w:r>
    </w:p>
    <w:tbl>
      <w:tblPr>
        <w:tblW w:w="9360" w:type="dxa"/>
        <w:jc w:val="left"/>
        <w:tblInd w:w="0" w:type="dxa"/>
        <w:tblLayout w:type="fixed"/>
        <w:tblCellMar>
          <w:top w:w="60" w:type="dxa"/>
          <w:left w:w="100" w:type="dxa"/>
          <w:bottom w:w="60" w:type="dxa"/>
          <w:right w:w="100" w:type="dxa"/>
        </w:tblCellMar>
      </w:tblPr>
      <w:tblGrid>
        <w:gridCol w:w="1799"/>
        <w:gridCol w:w="1000"/>
        <w:gridCol w:w="2201"/>
        <w:gridCol w:w="4359"/>
      </w:tblGrid>
      <w:tr>
        <w:trPr/>
        <w:tc>
          <w:tcPr>
            <w:tcW w:w="17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System</w:t>
            </w:r>
          </w:p>
        </w:tc>
        <w:tc>
          <w:tcPr>
            <w:tcW w:w="10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Year</w:t>
            </w:r>
          </w:p>
        </w:tc>
        <w:tc>
          <w:tcPr>
            <w:tcW w:w="220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Domain</w:t>
            </w:r>
          </w:p>
        </w:tc>
        <w:tc>
          <w:tcPr>
            <w:tcW w:w="435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Architecture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Bell</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2012</w:t>
            </w:r>
          </w:p>
        </w:tc>
        <w:tc>
          <w:tcPr>
            <w:tcW w:w="22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Cochlear biophysics</w:t>
            </w:r>
          </w:p>
        </w:tc>
        <w:tc>
          <w:tcPr>
            <w:tcW w:w="435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~50 Kuramoto oscillators, Shera Q factors, stapes forcing, pseudowave emergence</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Miyato et al.</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2025</w:t>
            </w:r>
          </w:p>
        </w:tc>
        <w:tc>
          <w:tcPr>
            <w:tcW w:w="22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Neural networks (ICLR Oral)</w:t>
            </w:r>
          </w:p>
        </w:tc>
        <w:tc>
          <w:tcPr>
            <w:tcW w:w="435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AKOrN: Kuramoto oscillators replace neurons, energy-based voting, sync as computation</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Hays</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2025</w:t>
            </w:r>
          </w:p>
        </w:tc>
        <w:tc>
          <w:tcPr>
            <w:tcW w:w="22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Transformer attention</w:t>
            </w:r>
          </w:p>
        </w:tc>
        <w:tc>
          <w:tcPr>
            <w:tcW w:w="435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SSA: Kuramoto steady-state as attention, sync strength as weight</w:t>
            </w:r>
          </w:p>
        </w:tc>
      </w:tr>
      <w:tr>
        <w:trPr/>
        <w:tc>
          <w:tcPr>
            <w:tcW w:w="1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Waltman</w:t>
            </w:r>
          </w:p>
        </w:tc>
        <w:tc>
          <w:tcPr>
            <w:tcW w:w="1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2025–2026</w:t>
            </w:r>
          </w:p>
        </w:tc>
        <w:tc>
          <w:tcPr>
            <w:tcW w:w="22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Coherence substrate</w:t>
            </w:r>
          </w:p>
        </w:tc>
        <w:tc>
          <w:tcPr>
            <w:tcW w:w="435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FlowerTuner51: 51 oscillators, structured topology, Shera Q, coherence metrics</w:t>
            </w:r>
          </w:p>
        </w:tc>
      </w:tr>
    </w:tbl>
    <w:p>
      <w:pPr>
        <w:pStyle w:val="Normal"/>
        <w:spacing w:lineRule="exact" w:line="276" w:before="0" w:after="100"/>
        <w:jc w:val="left"/>
        <w:rPr/>
      </w:pPr>
      <w:r>
        <w:rPr/>
      </w:r>
    </w:p>
    <w:p>
      <w:pPr>
        <w:pStyle w:val="Heading2"/>
        <w:spacing w:before="240" w:after="120"/>
        <w:rPr/>
      </w:pPr>
      <w:r>
        <w:rPr>
          <w:rFonts w:eastAsia="Times New Roman" w:cs="Times New Roman" w:ascii="Times New Roman" w:hAnsi="Times New Roman"/>
          <w:b/>
          <w:bCs/>
          <w:sz w:val="28"/>
          <w:szCs w:val="28"/>
        </w:rPr>
        <w:t>Six Shared Structural Properties</w:t>
      </w:r>
    </w:p>
    <w:p>
      <w:pPr>
        <w:pStyle w:val="Normal"/>
        <w:spacing w:lineRule="exact" w:line="276" w:before="0" w:after="200"/>
        <w:jc w:val="left"/>
        <w:rPr/>
      </w:pPr>
      <w:r>
        <w:rPr>
          <w:rFonts w:eastAsia="Times New Roman" w:cs="Times New Roman"/>
          <w:b w:val="false"/>
          <w:bCs w:val="false"/>
          <w:i w:val="false"/>
          <w:iCs w:val="false"/>
          <w:sz w:val="24"/>
          <w:szCs w:val="24"/>
        </w:rPr>
        <w:t>All four systems share these properties, which we define as the Coherence Unit Cell:</w:t>
      </w:r>
    </w:p>
    <w:tbl>
      <w:tblPr>
        <w:tblW w:w="9360" w:type="dxa"/>
        <w:jc w:val="left"/>
        <w:tblInd w:w="0" w:type="dxa"/>
        <w:tblLayout w:type="fixed"/>
        <w:tblCellMar>
          <w:top w:w="60" w:type="dxa"/>
          <w:left w:w="100" w:type="dxa"/>
          <w:bottom w:w="60" w:type="dxa"/>
          <w:right w:w="100" w:type="dxa"/>
        </w:tblCellMar>
      </w:tblPr>
      <w:tblGrid>
        <w:gridCol w:w="599"/>
        <w:gridCol w:w="2601"/>
        <w:gridCol w:w="6160"/>
      </w:tblGrid>
      <w:tr>
        <w:trPr/>
        <w:tc>
          <w:tcPr>
            <w:tcW w:w="5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w:t>
            </w:r>
          </w:p>
        </w:tc>
        <w:tc>
          <w:tcPr>
            <w:tcW w:w="260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Property</w:t>
            </w:r>
          </w:p>
        </w:tc>
        <w:tc>
          <w:tcPr>
            <w:tcW w:w="616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Description</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w:t>
            </w:r>
          </w:p>
        </w:tc>
        <w:tc>
          <w:tcPr>
            <w:tcW w:w="26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Kuramoto oscillators</w:t>
            </w:r>
          </w:p>
        </w:tc>
        <w:tc>
          <w:tcPr>
            <w:tcW w:w="61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Phase-coupled oscillators as computational primitives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w:t>
            </w:r>
          </w:p>
        </w:tc>
        <w:tc>
          <w:tcPr>
            <w:tcW w:w="26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Nearest-neighbor coupling</w:t>
            </w:r>
          </w:p>
        </w:tc>
        <w:tc>
          <w:tcPr>
            <w:tcW w:w="61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Structured (not fully connected) coupling topology</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3</w:t>
            </w:r>
          </w:p>
        </w:tc>
        <w:tc>
          <w:tcPr>
            <w:tcW w:w="26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Global forcing</w:t>
            </w:r>
          </w:p>
        </w:tc>
        <w:tc>
          <w:tcPr>
            <w:tcW w:w="61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External driving signal affecting all oscillators</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4</w:t>
            </w:r>
          </w:p>
        </w:tc>
        <w:tc>
          <w:tcPr>
            <w:tcW w:w="26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Quality-weighted resonance</w:t>
            </w:r>
          </w:p>
        </w:tc>
        <w:tc>
          <w:tcPr>
            <w:tcW w:w="61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Shera Q factors: Q = 12.7(f/1000)^0.3 from cochlear biology</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5</w:t>
            </w:r>
          </w:p>
        </w:tc>
        <w:tc>
          <w:tcPr>
            <w:tcW w:w="26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Pseudowave emergence</w:t>
            </w:r>
          </w:p>
        </w:tc>
        <w:tc>
          <w:tcPr>
            <w:tcW w:w="61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Apparent traveling wave from phase delays, not energy transport</w:t>
            </w:r>
          </w:p>
        </w:tc>
      </w:tr>
      <w:tr>
        <w:trPr/>
        <w:tc>
          <w:tcPr>
            <w:tcW w:w="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6</w:t>
            </w:r>
          </w:p>
        </w:tc>
        <w:tc>
          <w:tcPr>
            <w:tcW w:w="26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Self-duality</w:t>
            </w:r>
          </w:p>
        </w:tc>
        <w:tc>
          <w:tcPr>
            <w:tcW w:w="61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System settled state IS the representation (computation = output)</w:t>
            </w:r>
          </w:p>
        </w:tc>
      </w:tr>
    </w:tbl>
    <w:p>
      <w:pPr>
        <w:pStyle w:val="Normal"/>
        <w:spacing w:lineRule="exact" w:line="276" w:before="0" w:after="100"/>
        <w:jc w:val="left"/>
        <w:rPr/>
      </w:pPr>
      <w:r>
        <w:rPr/>
      </w:r>
    </w:p>
    <w:p>
      <w:pPr>
        <w:pStyle w:val="Heading1"/>
        <w:spacing w:before="360" w:after="120"/>
        <w:rPr/>
      </w:pPr>
      <w:r>
        <w:rPr>
          <w:rFonts w:eastAsia="Times New Roman" w:cs="Times New Roman" w:ascii="Times New Roman" w:hAnsi="Times New Roman"/>
          <w:b/>
          <w:bCs/>
          <w:sz w:val="32"/>
          <w:szCs w:val="32"/>
        </w:rPr>
        <w:t>Methods</w:t>
      </w:r>
    </w:p>
    <w:p>
      <w:pPr>
        <w:pStyle w:val="Normal"/>
        <w:spacing w:lineRule="exact" w:line="276" w:before="0" w:after="200"/>
        <w:jc w:val="left"/>
        <w:rPr/>
      </w:pPr>
      <w:r>
        <w:rPr>
          <w:rFonts w:eastAsia="Times New Roman" w:cs="Times New Roman"/>
          <w:b w:val="false"/>
          <w:bCs w:val="false"/>
          <w:i w:val="false"/>
          <w:iCs w:val="false"/>
          <w:sz w:val="24"/>
          <w:szCs w:val="24"/>
        </w:rPr>
        <w:t>All experiments share a common Kuramoto simulator: N phase-coupled oscillators evolving under the standard equation with nearest-neighbor coupling, optional global forcing, and quality-factor-weighted coupling strengths. Integration uses 4th-order Runge-Kutta (RK4) to eliminate numerical drift concerns in oscillatory dynamics. The primary metric is the Kuramoto order parameter R(t) = |N⁻¹ Σ exp(iθⱼ)|, where R = 0 indicates fully disordered phases and R = 1 indicates perfect synchronization. Identity recovery (Experiment 3) measures the phase-similarity between a system’s pre-perturbation and post-recovery states. All experiments use deterministic seeding for exact reproducibility.</w:t>
      </w:r>
    </w:p>
    <w:p>
      <w:pPr>
        <w:pStyle w:val="Heading1"/>
        <w:spacing w:before="360" w:after="120"/>
        <w:rPr/>
      </w:pPr>
      <w:r>
        <w:rPr>
          <w:rFonts w:eastAsia="Times New Roman" w:cs="Times New Roman" w:ascii="Times New Roman" w:hAnsi="Times New Roman"/>
          <w:b/>
          <w:bCs/>
          <w:sz w:val="32"/>
          <w:szCs w:val="32"/>
        </w:rPr>
        <w:t>Experimental Results</w:t>
      </w:r>
    </w:p>
    <w:p>
      <w:pPr>
        <w:pStyle w:val="Normal"/>
        <w:spacing w:lineRule="exact" w:line="276" w:before="0" w:after="200"/>
        <w:jc w:val="left"/>
        <w:rPr/>
      </w:pPr>
      <w:r>
        <w:rPr>
          <w:rFonts w:eastAsia="Times New Roman" w:cs="Times New Roman"/>
          <w:b w:val="false"/>
          <w:bCs w:val="false"/>
          <w:i/>
          <w:iCs/>
          <w:sz w:val="24"/>
          <w:szCs w:val="24"/>
        </w:rPr>
        <w:t>All experiments run in a single Python file (~4.5 min, deterministic seed=42, dependencies: numpy + matplotlib + scipy; optional: jax).</w:t>
      </w:r>
    </w:p>
    <w:p>
      <w:pPr>
        <w:pStyle w:val="Heading2"/>
        <w:spacing w:before="240" w:after="120"/>
        <w:rPr/>
      </w:pPr>
      <w:r>
        <w:rPr>
          <w:rFonts w:eastAsia="Times New Roman" w:cs="Times New Roman" w:ascii="Times New Roman" w:hAnsi="Times New Roman"/>
          <w:b/>
          <w:bCs/>
          <w:sz w:val="28"/>
          <w:szCs w:val="28"/>
        </w:rPr>
        <w:t>Experiment 1: Shera Q-Factor Transplantation</w:t>
      </w:r>
    </w:p>
    <w:p>
      <w:pPr>
        <w:pStyle w:val="Normal"/>
        <w:spacing w:lineRule="exact" w:line="276" w:before="0" w:after="200"/>
        <w:jc w:val="left"/>
        <w:rPr/>
      </w:pPr>
      <w:r>
        <w:rPr>
          <w:rFonts w:eastAsia="Times New Roman" w:cs="Times New Roman"/>
          <w:b/>
          <w:bCs/>
          <w:i w:val="false"/>
          <w:iCs w:val="false"/>
          <w:sz w:val="24"/>
          <w:szCs w:val="24"/>
        </w:rPr>
        <w:t xml:space="preserve">Question: </w:t>
      </w:r>
      <w:r>
        <w:rPr>
          <w:rFonts w:eastAsia="Times New Roman" w:cs="Times New Roman"/>
          <w:b w:val="false"/>
          <w:bCs w:val="false"/>
          <w:i w:val="false"/>
          <w:iCs w:val="false"/>
          <w:sz w:val="24"/>
          <w:szCs w:val="24"/>
        </w:rPr>
        <w:t>Do cochlear-derived Q factors (Bell, 2012) improve coherence in Kuramoto-based systems?</w:t>
      </w:r>
    </w:p>
    <w:p>
      <w:pPr>
        <w:pStyle w:val="Normal"/>
        <w:spacing w:lineRule="exact" w:line="276" w:before="0" w:after="200"/>
        <w:jc w:val="left"/>
        <w:rPr/>
      </w:pPr>
      <w:r>
        <w:rPr>
          <w:rFonts w:eastAsia="Times New Roman" w:cs="Times New Roman"/>
          <w:b/>
          <w:bCs/>
          <w:i w:val="false"/>
          <w:iCs w:val="false"/>
          <w:sz w:val="24"/>
          <w:szCs w:val="24"/>
        </w:rPr>
        <w:t xml:space="preserve">Design: </w:t>
      </w:r>
      <w:r>
        <w:rPr>
          <w:rFonts w:eastAsia="Times New Roman" w:cs="Times New Roman"/>
          <w:b w:val="false"/>
          <w:bCs w:val="false"/>
          <w:i w:val="false"/>
          <w:iCs w:val="false"/>
          <w:sz w:val="24"/>
          <w:szCs w:val="24"/>
        </w:rPr>
        <w:t>51 oscillators on structured topology. Three conditions: (A) Uniform Q, (B) Shera Q = 12.7(f/1000)^0.3, (C) Shuffled Shera Q (same values, wrong frequency-position mapping). 10 trials per condition, fixed seeds.</w:t>
      </w:r>
    </w:p>
    <w:tbl>
      <w:tblPr>
        <w:tblW w:w="9360" w:type="dxa"/>
        <w:jc w:val="left"/>
        <w:tblInd w:w="0" w:type="dxa"/>
        <w:tblLayout w:type="fixed"/>
        <w:tblCellMar>
          <w:top w:w="60" w:type="dxa"/>
          <w:left w:w="100" w:type="dxa"/>
          <w:bottom w:w="60" w:type="dxa"/>
          <w:right w:w="100" w:type="dxa"/>
        </w:tblCellMar>
      </w:tblPr>
      <w:tblGrid>
        <w:gridCol w:w="2399"/>
        <w:gridCol w:w="1800"/>
        <w:gridCol w:w="1800"/>
        <w:gridCol w:w="1800"/>
        <w:gridCol w:w="1561"/>
      </w:tblGrid>
      <w:tr>
        <w:trPr/>
        <w:tc>
          <w:tcPr>
            <w:tcW w:w="23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Condition</w:t>
            </w:r>
          </w:p>
        </w:tc>
        <w:tc>
          <w:tcPr>
            <w:tcW w:w="18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Final R</w:t>
            </w:r>
          </w:p>
        </w:tc>
        <w:tc>
          <w:tcPr>
            <w:tcW w:w="18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Convergence</w:t>
            </w:r>
          </w:p>
        </w:tc>
        <w:tc>
          <w:tcPr>
            <w:tcW w:w="18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Δ vs Uniform</w:t>
            </w:r>
          </w:p>
        </w:tc>
        <w:tc>
          <w:tcPr>
            <w:tcW w:w="156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Assessment</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Uniform Q (control)</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0.2170 ± 0.064</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Did not converge</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Baseline</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Shera Q (biological)</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0.4595 ± 0.203</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974 ± 699 steps</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+0.2425</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PASS</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Shuffled Shera Q</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0.4396 ± 0.170</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628 ± 517 steps</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+0.2226</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Partial</w:t>
            </w:r>
          </w:p>
        </w:tc>
      </w:tr>
    </w:tbl>
    <w:p>
      <w:pPr>
        <w:pStyle w:val="Normal"/>
        <w:spacing w:lineRule="exact" w:line="276" w:before="0" w:after="60"/>
        <w:jc w:val="left"/>
        <w:rPr/>
      </w:pPr>
      <w:r>
        <w:rPr/>
      </w:r>
    </w:p>
    <w:p>
      <w:pPr>
        <w:pStyle w:val="Normal"/>
        <w:spacing w:lineRule="exact" w:line="276" w:before="0" w:after="200"/>
        <w:jc w:val="left"/>
        <w:rPr/>
      </w:pPr>
      <w:r>
        <w:rPr>
          <w:rFonts w:eastAsia="Times New Roman" w:cs="Times New Roman"/>
          <w:b/>
          <w:bCs/>
          <w:i w:val="false"/>
          <w:iCs w:val="false"/>
          <w:sz w:val="24"/>
          <w:szCs w:val="24"/>
        </w:rPr>
        <w:t xml:space="preserve">Result: PASS. </w:t>
      </w:r>
      <w:r>
        <w:rPr>
          <w:rFonts w:eastAsia="Times New Roman" w:cs="Times New Roman"/>
          <w:b w:val="false"/>
          <w:bCs w:val="false"/>
          <w:i w:val="false"/>
          <w:iCs w:val="false"/>
          <w:sz w:val="24"/>
          <w:szCs w:val="24"/>
        </w:rPr>
        <w:t>Shera Q improves coherence by +0.24 over uniform. The biological frequency-position mapping outperforms both controls. A supplementary parameter robustness sweep (27 combinations of coupling strength, forcing amplitude, and frequency spread) confirms the advantage persists across the majority of tested regimes. A noise robustness test (20% continuous phase noise) shows that under extreme perturbation, all Q distributions degrade similarly—the Shera advantage is structural, not merely noise filtering.</w:t>
      </w:r>
    </w:p>
    <w:p>
      <w:pPr>
        <w:pStyle w:val="Heading2"/>
        <w:spacing w:before="240" w:after="120"/>
        <w:rPr/>
      </w:pPr>
      <w:r>
        <w:rPr>
          <w:rFonts w:eastAsia="Times New Roman" w:cs="Times New Roman" w:ascii="Times New Roman" w:hAnsi="Times New Roman"/>
          <w:b/>
          <w:bCs/>
          <w:sz w:val="28"/>
          <w:szCs w:val="28"/>
        </w:rPr>
        <w:t>Experiment 3: Self-Duality Ablation</w:t>
      </w:r>
    </w:p>
    <w:p>
      <w:pPr>
        <w:pStyle w:val="Normal"/>
        <w:spacing w:lineRule="exact" w:line="276" w:before="0" w:after="200"/>
        <w:jc w:val="left"/>
        <w:rPr/>
      </w:pPr>
      <w:r>
        <w:rPr>
          <w:rFonts w:eastAsia="Times New Roman" w:cs="Times New Roman"/>
          <w:b/>
          <w:bCs/>
          <w:i w:val="false"/>
          <w:iCs w:val="false"/>
          <w:sz w:val="24"/>
          <w:szCs w:val="24"/>
        </w:rPr>
        <w:t xml:space="preserve">Question: </w:t>
      </w:r>
      <w:r>
        <w:rPr>
          <w:rFonts w:eastAsia="Times New Roman" w:cs="Times New Roman"/>
          <w:b w:val="false"/>
          <w:bCs w:val="false"/>
          <w:i w:val="false"/>
          <w:iCs w:val="false"/>
          <w:sz w:val="24"/>
          <w:szCs w:val="24"/>
        </w:rPr>
        <w:t>Is the self-duality property (computation = representation) necessary for identity stability?</w:t>
      </w:r>
    </w:p>
    <w:p>
      <w:pPr>
        <w:pStyle w:val="Normal"/>
        <w:spacing w:lineRule="exact" w:line="276" w:before="0" w:after="200"/>
        <w:jc w:val="left"/>
        <w:rPr/>
      </w:pPr>
      <w:r>
        <w:rPr>
          <w:rFonts w:eastAsia="Times New Roman" w:cs="Times New Roman"/>
          <w:b/>
          <w:bCs/>
          <w:i w:val="false"/>
          <w:iCs w:val="false"/>
          <w:sz w:val="24"/>
          <w:szCs w:val="24"/>
        </w:rPr>
        <w:t xml:space="preserve">Design: </w:t>
      </w:r>
      <w:r>
        <w:rPr>
          <w:rFonts w:eastAsia="Times New Roman" w:cs="Times New Roman"/>
          <w:b w:val="false"/>
          <w:bCs w:val="false"/>
          <w:i w:val="false"/>
          <w:iCs w:val="false"/>
          <w:sz w:val="24"/>
          <w:szCs w:val="24"/>
        </w:rPr>
        <w:t>24-cell topology (24 oscillators, 96 edges). Self-dual: oscillator phases ARE the output. Non-self-dual: phases pass through a random linear transformation. After steady state, 30% of phases scrambled. Identity recovery = correlation with pre-perturbation state. 20 trials.</w:t>
      </w:r>
    </w:p>
    <w:tbl>
      <w:tblPr>
        <w:tblW w:w="9360" w:type="dxa"/>
        <w:jc w:val="left"/>
        <w:tblInd w:w="0" w:type="dxa"/>
        <w:tblLayout w:type="fixed"/>
        <w:tblCellMar>
          <w:top w:w="60" w:type="dxa"/>
          <w:left w:w="100" w:type="dxa"/>
          <w:bottom w:w="60" w:type="dxa"/>
          <w:right w:w="100" w:type="dxa"/>
        </w:tblCellMar>
      </w:tblPr>
      <w:tblGrid>
        <w:gridCol w:w="3499"/>
        <w:gridCol w:w="3000"/>
        <w:gridCol w:w="2861"/>
      </w:tblGrid>
      <w:tr>
        <w:trPr/>
        <w:tc>
          <w:tcPr>
            <w:tcW w:w="34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Condition</w:t>
            </w:r>
          </w:p>
        </w:tc>
        <w:tc>
          <w:tcPr>
            <w:tcW w:w="30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Identity Recovery</w:t>
            </w:r>
          </w:p>
        </w:tc>
        <w:tc>
          <w:tcPr>
            <w:tcW w:w="286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Advantage</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Self-Dual (phases = output)</w:t>
            </w:r>
          </w:p>
        </w:tc>
        <w:tc>
          <w:tcPr>
            <w:tcW w:w="3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0.3845 ± 0.175</w:t>
            </w:r>
          </w:p>
        </w:tc>
        <w:tc>
          <w:tcPr>
            <w:tcW w:w="28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p>
        </w:tc>
      </w:tr>
      <w:tr>
        <w:trPr/>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Non-Self-Dual (transform)</w:t>
            </w:r>
          </w:p>
        </w:tc>
        <w:tc>
          <w:tcPr>
            <w:tcW w:w="3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0.0429 ± 0.111</w:t>
            </w:r>
          </w:p>
        </w:tc>
        <w:tc>
          <w:tcPr>
            <w:tcW w:w="28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r>
              <w:rPr>
                <w:rFonts w:eastAsia="Times New Roman" w:cs="Times New Roman"/>
                <w:b w:val="false"/>
                <w:bCs w:val="false"/>
                <w:sz w:val="20"/>
                <w:szCs w:val="20"/>
              </w:rPr>
              <w:t>9×</w:t>
            </w:r>
          </w:p>
        </w:tc>
      </w:tr>
    </w:tbl>
    <w:p>
      <w:pPr>
        <w:pStyle w:val="Normal"/>
        <w:spacing w:lineRule="exact" w:line="276" w:before="0" w:after="60"/>
        <w:jc w:val="left"/>
        <w:rPr/>
      </w:pPr>
      <w:r>
        <w:rPr/>
      </w:r>
    </w:p>
    <w:p>
      <w:pPr>
        <w:pStyle w:val="Normal"/>
        <w:spacing w:lineRule="exact" w:line="276" w:before="0" w:after="200"/>
        <w:jc w:val="left"/>
        <w:rPr/>
      </w:pPr>
      <w:r>
        <w:rPr>
          <w:rFonts w:eastAsia="Times New Roman" w:cs="Times New Roman"/>
          <w:b/>
          <w:bCs/>
          <w:i w:val="false"/>
          <w:iCs w:val="false"/>
          <w:sz w:val="24"/>
          <w:szCs w:val="24"/>
        </w:rPr>
        <w:t xml:space="preserve">Result: STRONG PASS. </w:t>
      </w:r>
      <w:r>
        <w:rPr>
          <w:rFonts w:eastAsia="Times New Roman" w:cs="Times New Roman"/>
          <w:b w:val="false"/>
          <w:bCs w:val="false"/>
          <w:i w:val="false"/>
          <w:iCs w:val="false"/>
          <w:sz w:val="24"/>
          <w:szCs w:val="24"/>
        </w:rPr>
        <w:t>Self-dual systems recover identity ~9× better after perturbation. This validates the design principle shared by Hays’ SSA (sync strength IS the attention weight) and AKOrN (oscillator phases ARE the representation): self-duality appears to be a stability requirement, not merely a design preference.</w:t>
      </w:r>
    </w:p>
    <w:p>
      <w:pPr>
        <w:pStyle w:val="Heading2"/>
        <w:spacing w:before="240" w:after="120"/>
        <w:rPr/>
      </w:pPr>
      <w:r>
        <w:rPr>
          <w:rFonts w:eastAsia="Times New Roman" w:cs="Times New Roman" w:ascii="Times New Roman" w:hAnsi="Times New Roman"/>
          <w:b/>
          <w:bCs/>
          <w:sz w:val="28"/>
          <w:szCs w:val="28"/>
        </w:rPr>
        <w:t>Experiment 5: CUC Property Ablation</w:t>
      </w:r>
    </w:p>
    <w:p>
      <w:pPr>
        <w:pStyle w:val="Normal"/>
        <w:spacing w:lineRule="exact" w:line="276" w:before="0" w:after="200"/>
        <w:jc w:val="left"/>
        <w:rPr/>
      </w:pPr>
      <w:r>
        <w:rPr>
          <w:rFonts w:eastAsia="Times New Roman" w:cs="Times New Roman"/>
          <w:b/>
          <w:bCs/>
          <w:i w:val="false"/>
          <w:iCs w:val="false"/>
          <w:sz w:val="24"/>
          <w:szCs w:val="24"/>
        </w:rPr>
        <w:t xml:space="preserve">Question: </w:t>
      </w:r>
      <w:r>
        <w:rPr>
          <w:rFonts w:eastAsia="Times New Roman" w:cs="Times New Roman"/>
          <w:b w:val="false"/>
          <w:bCs w:val="false"/>
          <w:i w:val="false"/>
          <w:iCs w:val="false"/>
          <w:sz w:val="24"/>
          <w:szCs w:val="24"/>
        </w:rPr>
        <w:t>Are all six Coherence Unit Cell properties necessary, or is the shared structure incidental?</w:t>
      </w:r>
    </w:p>
    <w:p>
      <w:pPr>
        <w:pStyle w:val="Normal"/>
        <w:spacing w:lineRule="exact" w:line="276" w:before="0" w:after="200"/>
        <w:jc w:val="left"/>
        <w:rPr/>
      </w:pPr>
      <w:r>
        <w:rPr>
          <w:rFonts w:eastAsia="Times New Roman" w:cs="Times New Roman"/>
          <w:b/>
          <w:bCs/>
          <w:i w:val="false"/>
          <w:iCs w:val="false"/>
          <w:sz w:val="24"/>
          <w:szCs w:val="24"/>
        </w:rPr>
        <w:t xml:space="preserve">Design: </w:t>
      </w:r>
      <w:r>
        <w:rPr>
          <w:rFonts w:eastAsia="Times New Roman" w:cs="Times New Roman"/>
          <w:b w:val="false"/>
          <w:bCs w:val="false"/>
          <w:i w:val="false"/>
          <w:iCs w:val="false"/>
          <w:sz w:val="24"/>
          <w:szCs w:val="24"/>
        </w:rPr>
        <w:t>Full CUC (all 6 properties) vs four ablation conditions (remove one property each) vs random control. 10 trials each.</w:t>
      </w:r>
    </w:p>
    <w:tbl>
      <w:tblPr>
        <w:tblW w:w="9360" w:type="dxa"/>
        <w:jc w:val="left"/>
        <w:tblInd w:w="0" w:type="dxa"/>
        <w:tblLayout w:type="fixed"/>
        <w:tblCellMar>
          <w:top w:w="60" w:type="dxa"/>
          <w:left w:w="100" w:type="dxa"/>
          <w:bottom w:w="60" w:type="dxa"/>
          <w:right w:w="100" w:type="dxa"/>
        </w:tblCellMar>
      </w:tblPr>
      <w:tblGrid>
        <w:gridCol w:w="2799"/>
        <w:gridCol w:w="1500"/>
        <w:gridCol w:w="1561"/>
        <w:gridCol w:w="3499"/>
      </w:tblGrid>
      <w:tr>
        <w:trPr/>
        <w:tc>
          <w:tcPr>
            <w:tcW w:w="27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Condition</w:t>
            </w:r>
          </w:p>
        </w:tc>
        <w:tc>
          <w:tcPr>
            <w:tcW w:w="15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Final R</w:t>
            </w:r>
          </w:p>
        </w:tc>
        <w:tc>
          <w:tcPr>
            <w:tcW w:w="156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Stability</w:t>
            </w:r>
          </w:p>
        </w:tc>
        <w:tc>
          <w:tcPr>
            <w:tcW w:w="34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Assessment</w:t>
            </w:r>
          </w:p>
        </w:tc>
      </w:tr>
      <w:tr>
        <w:trPr/>
        <w:tc>
          <w:tcPr>
            <w:tcW w:w="2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Full CUC (baseline)</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0.4503</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18.8</w:t>
            </w:r>
          </w:p>
        </w:tc>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All 6 properties present</w:t>
            </w:r>
          </w:p>
        </w:tc>
      </w:tr>
      <w:tr>
        <w:trPr/>
        <w:tc>
          <w:tcPr>
            <w:tcW w:w="2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 xml:space="preserve">− </w:t>
            </w:r>
            <w:r>
              <w:rPr>
                <w:rFonts w:eastAsia="Times New Roman" w:cs="Times New Roman"/>
                <w:b w:val="false"/>
                <w:bCs w:val="false"/>
                <w:sz w:val="20"/>
                <w:szCs w:val="20"/>
              </w:rPr>
              <w:t>Global Forcing</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0.3740</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18.9</w:t>
            </w:r>
          </w:p>
        </w:tc>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R drops 7.6% — necessary</w:t>
            </w:r>
          </w:p>
        </w:tc>
      </w:tr>
      <w:tr>
        <w:trPr/>
        <w:tc>
          <w:tcPr>
            <w:tcW w:w="2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 xml:space="preserve">− </w:t>
            </w:r>
            <w:r>
              <w:rPr>
                <w:rFonts w:eastAsia="Times New Roman" w:cs="Times New Roman"/>
                <w:b w:val="false"/>
                <w:bCs w:val="false"/>
                <w:sz w:val="20"/>
                <w:szCs w:val="20"/>
              </w:rPr>
              <w:t>Shera Q</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0.2547</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14.6</w:t>
            </w:r>
          </w:p>
        </w:tc>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R drops 43%, stability drops — necessary</w:t>
            </w:r>
          </w:p>
        </w:tc>
      </w:tr>
      <w:tr>
        <w:trPr/>
        <w:tc>
          <w:tcPr>
            <w:tcW w:w="2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 xml:space="preserve">− </w:t>
            </w:r>
            <w:r>
              <w:rPr>
                <w:rFonts w:eastAsia="Times New Roman" w:cs="Times New Roman"/>
                <w:b w:val="false"/>
                <w:bCs w:val="false"/>
                <w:sz w:val="20"/>
                <w:szCs w:val="20"/>
              </w:rPr>
              <w:t>Nonlinear Coupling</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0.5503</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15.2</w:t>
            </w:r>
          </w:p>
        </w:tc>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Stability drops 19% — necessary</w:t>
            </w:r>
          </w:p>
        </w:tc>
      </w:tr>
      <w:tr>
        <w:trPr/>
        <w:tc>
          <w:tcPr>
            <w:tcW w:w="27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Random Control</w:t>
            </w:r>
          </w:p>
        </w:tc>
        <w:tc>
          <w:tcPr>
            <w:tcW w:w="15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0.1733</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20.5</w:t>
            </w:r>
          </w:p>
        </w:tc>
        <w:tc>
          <w:tcPr>
            <w:tcW w:w="3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62% below Full CUC</w:t>
            </w:r>
          </w:p>
        </w:tc>
      </w:tr>
    </w:tbl>
    <w:p>
      <w:pPr>
        <w:pStyle w:val="Normal"/>
        <w:spacing w:lineRule="exact" w:line="276" w:before="0" w:after="60"/>
        <w:jc w:val="left"/>
        <w:rPr/>
      </w:pPr>
      <w:r>
        <w:rPr/>
      </w:r>
    </w:p>
    <w:p>
      <w:pPr>
        <w:pStyle w:val="Normal"/>
        <w:spacing w:lineRule="exact" w:line="276" w:before="0" w:after="200"/>
        <w:jc w:val="left"/>
        <w:rPr/>
      </w:pPr>
      <w:r>
        <w:rPr>
          <w:rFonts w:eastAsia="Times New Roman" w:cs="Times New Roman"/>
          <w:b/>
          <w:bCs/>
          <w:i w:val="false"/>
          <w:iCs w:val="false"/>
          <w:sz w:val="24"/>
          <w:szCs w:val="24"/>
        </w:rPr>
        <w:t xml:space="preserve">Result: 3 of 4 ablated properties show measurable degradation. </w:t>
      </w:r>
      <w:r>
        <w:rPr>
          <w:rFonts w:eastAsia="Times New Roman" w:cs="Times New Roman"/>
          <w:b w:val="false"/>
          <w:bCs w:val="false"/>
          <w:i w:val="false"/>
          <w:iCs w:val="false"/>
          <w:sz w:val="24"/>
          <w:szCs w:val="24"/>
        </w:rPr>
        <w:t>Removing Shera Q causes the largest drop (43% coherence loss). The Coherence Unit Cell is not just a pattern; its components are load-bearing.</w:t>
      </w:r>
    </w:p>
    <w:p>
      <w:pPr>
        <w:pStyle w:val="Heading2"/>
        <w:spacing w:before="240" w:after="120"/>
        <w:rPr/>
      </w:pPr>
      <w:r>
        <w:rPr>
          <w:rFonts w:eastAsia="Times New Roman" w:cs="Times New Roman" w:ascii="Times New Roman" w:hAnsi="Times New Roman"/>
          <w:b/>
          <w:bCs/>
          <w:sz w:val="28"/>
          <w:szCs w:val="28"/>
        </w:rPr>
        <w:t>Additional Finding: 24-Cell Topology</w:t>
      </w:r>
    </w:p>
    <w:p>
      <w:pPr>
        <w:pStyle w:val="Normal"/>
        <w:spacing w:lineRule="exact" w:line="276" w:before="0" w:after="200"/>
        <w:jc w:val="left"/>
        <w:rPr/>
      </w:pPr>
      <w:r>
        <w:rPr>
          <w:rFonts w:eastAsia="Times New Roman" w:cs="Times New Roman"/>
          <w:b w:val="false"/>
          <w:bCs w:val="false"/>
          <w:i w:val="false"/>
          <w:iCs w:val="false"/>
          <w:sz w:val="24"/>
          <w:szCs w:val="24"/>
        </w:rPr>
        <w:t>Experiment 2 included the 24-cell polytope adjacency (24 vertices, 96 edges, degree 8)—the only regular polytope in any dimension that is self-dual with no 3D analog.</w:t>
      </w:r>
    </w:p>
    <w:tbl>
      <w:tblPr>
        <w:tblW w:w="9360" w:type="dxa"/>
        <w:jc w:val="left"/>
        <w:tblInd w:w="0" w:type="dxa"/>
        <w:tblLayout w:type="fixed"/>
        <w:tblCellMar>
          <w:top w:w="60" w:type="dxa"/>
          <w:left w:w="100" w:type="dxa"/>
          <w:bottom w:w="60" w:type="dxa"/>
          <w:right w:w="100" w:type="dxa"/>
        </w:tblCellMar>
      </w:tblPr>
      <w:tblGrid>
        <w:gridCol w:w="2000"/>
        <w:gridCol w:w="1499"/>
        <w:gridCol w:w="1200"/>
        <w:gridCol w:w="1560"/>
        <w:gridCol w:w="1501"/>
        <w:gridCol w:w="1599"/>
      </w:tblGrid>
      <w:tr>
        <w:trPr/>
        <w:tc>
          <w:tcPr>
            <w:tcW w:w="20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Topology</w:t>
            </w:r>
          </w:p>
        </w:tc>
        <w:tc>
          <w:tcPr>
            <w:tcW w:w="14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Final R</w:t>
            </w:r>
          </w:p>
        </w:tc>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Edges</w:t>
            </w:r>
          </w:p>
        </w:tc>
        <w:tc>
          <w:tcPr>
            <w:tcW w:w="156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Efficiency</w:t>
            </w:r>
          </w:p>
        </w:tc>
        <w:tc>
          <w:tcPr>
            <w:tcW w:w="150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Recovery</w:t>
            </w:r>
          </w:p>
        </w:tc>
        <w:tc>
          <w:tcPr>
            <w:tcW w:w="15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Layer</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24-Cell</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0.4908</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96</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0.261</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92 steps</w:t>
            </w:r>
          </w:p>
        </w:tc>
        <w:tc>
          <w:tcPr>
            <w:tcW w:w="1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Body</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Flower of Life</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0.4274</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121</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0.180</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224 steps</w:t>
            </w:r>
          </w:p>
        </w:tc>
        <w:tc>
          <w:tcPr>
            <w:tcW w:w="1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Voice*</w:t>
            </w:r>
          </w:p>
        </w:tc>
      </w:tr>
      <w:tr>
        <w:trPr/>
        <w:tc>
          <w:tcPr>
            <w:tcW w:w="20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Fully Connected</w:t>
            </w:r>
          </w:p>
        </w:tc>
        <w:tc>
          <w:tcPr>
            <w:tcW w:w="14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0.9999</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1275</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0.040</w:t>
            </w:r>
          </w:p>
        </w:tc>
        <w:tc>
          <w:tcPr>
            <w:tcW w:w="150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3 steps</w:t>
            </w:r>
          </w:p>
        </w:tc>
        <w:tc>
          <w:tcPr>
            <w:tcW w:w="15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Body</w:t>
            </w:r>
          </w:p>
        </w:tc>
      </w:tr>
    </w:tbl>
    <w:p>
      <w:pPr>
        <w:pStyle w:val="Normal"/>
        <w:spacing w:lineRule="exact" w:line="276" w:before="0" w:after="60"/>
        <w:jc w:val="left"/>
        <w:rPr/>
      </w:pPr>
      <w:r>
        <w:rPr/>
      </w:r>
    </w:p>
    <w:p>
      <w:pPr>
        <w:pStyle w:val="Normal"/>
        <w:spacing w:lineRule="exact" w:line="276" w:before="0" w:after="200"/>
        <w:jc w:val="left"/>
        <w:rPr/>
      </w:pPr>
      <w:r>
        <w:rPr>
          <w:rFonts w:eastAsia="Times New Roman" w:cs="Times New Roman"/>
          <w:b w:val="false"/>
          <w:bCs w:val="false"/>
          <w:i/>
          <w:iCs/>
          <w:sz w:val="22"/>
          <w:szCs w:val="22"/>
        </w:rPr>
        <w:t>*Flower of Life treated as graph adjacency for comparison. See E12 and Body/Voice Framework for discussion of why this representation may not capture the intended geometry.</w:t>
      </w:r>
    </w:p>
    <w:p>
      <w:pPr>
        <w:pStyle w:val="Normal"/>
        <w:spacing w:lineRule="exact" w:line="276" w:before="0" w:after="200"/>
        <w:jc w:val="left"/>
        <w:rPr/>
      </w:pPr>
      <w:r>
        <w:rPr>
          <w:rFonts w:eastAsia="Times New Roman" w:cs="Times New Roman"/>
          <w:b w:val="false"/>
          <w:bCs w:val="false"/>
          <w:i w:val="false"/>
          <w:iCs w:val="false"/>
          <w:sz w:val="24"/>
          <w:szCs w:val="24"/>
        </w:rPr>
        <w:t>The 24-cell achieves 15% higher coherence than Flower of Life with 21% fewer edges, and recovers from perturbation 2.4× faster. Efficiency is defined as R divided by edges per node. Note: the 24-cell’s advantage over random regular graphs of matched degree is not spectral—random regular graphs achieve slightly higher algebraic connectivity (λ₂ = 4.27 vs 4.00). The advantage is geometric: faster basin recovery and higher coherence-per-edge efficiency, consistent with the 24-cell’s unique self-dual symmetry structure.</w:t>
      </w:r>
    </w:p>
    <w:p>
      <w:pPr>
        <w:pStyle w:val="Normal"/>
        <w:rPr/>
      </w:pPr>
      <w:r>
        <w:rPr/>
      </w:r>
      <w:r>
        <w:br w:type="page"/>
      </w:r>
    </w:p>
    <w:p>
      <w:pPr>
        <w:pStyle w:val="Heading1"/>
        <w:spacing w:before="0" w:after="120"/>
        <w:rPr/>
      </w:pPr>
      <w:r>
        <w:rPr>
          <w:rFonts w:eastAsia="Times New Roman" w:cs="Times New Roman" w:ascii="Times New Roman" w:hAnsi="Times New Roman"/>
          <w:b/>
          <w:bCs/>
          <w:sz w:val="32"/>
          <w:szCs w:val="32"/>
        </w:rPr>
        <w:t>Extended Validation (V2)</w:t>
      </w:r>
    </w:p>
    <w:p>
      <w:pPr>
        <w:pStyle w:val="Normal"/>
        <w:spacing w:lineRule="exact" w:line="276" w:before="0" w:after="200"/>
        <w:jc w:val="left"/>
        <w:rPr/>
      </w:pPr>
      <w:r>
        <w:rPr>
          <w:rFonts w:eastAsia="Times New Roman" w:cs="Times New Roman"/>
          <w:b w:val="false"/>
          <w:bCs w:val="false"/>
          <w:i w:val="false"/>
          <w:iCs w:val="false"/>
          <w:sz w:val="24"/>
          <w:szCs w:val="24"/>
        </w:rPr>
        <w:t>The following experiments address anticipated methodological concerns: control strength, parameter regime sensitivity, forcing dependence, and spectral characterization.</w:t>
      </w:r>
    </w:p>
    <w:p>
      <w:pPr>
        <w:pStyle w:val="Heading2"/>
        <w:spacing w:before="240" w:after="120"/>
        <w:rPr/>
      </w:pPr>
      <w:r>
        <w:rPr>
          <w:rFonts w:eastAsia="Times New Roman" w:cs="Times New Roman" w:ascii="Times New Roman" w:hAnsi="Times New Roman"/>
          <w:b/>
          <w:bCs/>
          <w:sz w:val="28"/>
          <w:szCs w:val="28"/>
        </w:rPr>
        <w:t>Experiment 9: Self-Duality with Strengthened Controls</w:t>
      </w:r>
    </w:p>
    <w:p>
      <w:pPr>
        <w:pStyle w:val="Normal"/>
        <w:spacing w:lineRule="exact" w:line="276" w:before="0" w:after="200"/>
        <w:jc w:val="left"/>
        <w:rPr/>
      </w:pPr>
      <w:r>
        <w:rPr>
          <w:rFonts w:eastAsia="Times New Roman" w:cs="Times New Roman"/>
          <w:b w:val="false"/>
          <w:bCs w:val="false"/>
          <w:i w:val="false"/>
          <w:iCs w:val="false"/>
          <w:sz w:val="24"/>
          <w:szCs w:val="24"/>
        </w:rPr>
        <w:t>V1 compared self-dual output against random projection. V2 adds orthogonal transforms (norm-preserving) and a trained linear decoder (least-squares fit to phase data).</w:t>
      </w:r>
    </w:p>
    <w:tbl>
      <w:tblPr>
        <w:tblW w:w="9360" w:type="dxa"/>
        <w:jc w:val="left"/>
        <w:tblInd w:w="0" w:type="dxa"/>
        <w:tblLayout w:type="fixed"/>
        <w:tblCellMar>
          <w:top w:w="60" w:type="dxa"/>
          <w:left w:w="100" w:type="dxa"/>
          <w:bottom w:w="60" w:type="dxa"/>
          <w:right w:w="100" w:type="dxa"/>
        </w:tblCellMar>
      </w:tblPr>
      <w:tblGrid>
        <w:gridCol w:w="2399"/>
        <w:gridCol w:w="1800"/>
        <w:gridCol w:w="1561"/>
        <w:gridCol w:w="1800"/>
        <w:gridCol w:w="1800"/>
      </w:tblGrid>
      <w:tr>
        <w:trPr/>
        <w:tc>
          <w:tcPr>
            <w:tcW w:w="23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Condition</w:t>
            </w:r>
          </w:p>
        </w:tc>
        <w:tc>
          <w:tcPr>
            <w:tcW w:w="18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Recovery</w:t>
            </w:r>
          </w:p>
        </w:tc>
        <w:tc>
          <w:tcPr>
            <w:tcW w:w="1561"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p-value</w:t>
            </w:r>
          </w:p>
        </w:tc>
        <w:tc>
          <w:tcPr>
            <w:tcW w:w="18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Cohen’s d</w:t>
            </w:r>
          </w:p>
        </w:tc>
        <w:tc>
          <w:tcPr>
            <w:tcW w:w="18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Bootstrap 95% CI</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Self-Dual (phases = output)</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0.340 ± 0.181</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[0.27, 0.41]*</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Orthogonal Transform</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0.065 ± 0.102</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&lt; 0.0001</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1.87</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Δ CI excl. 0</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Trained Linear Decoder</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0.095 ± 0.172</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&lt; 0.0001</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1.39</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Δ CI excl. 0</w:t>
            </w:r>
          </w:p>
        </w:tc>
      </w:tr>
      <w:tr>
        <w:trPr/>
        <w:tc>
          <w:tcPr>
            <w:tcW w:w="2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Random Projection</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0.127 ± 0.178</w:t>
            </w:r>
          </w:p>
        </w:tc>
        <w:tc>
          <w:tcPr>
            <w:tcW w:w="1561"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&lt; 0.0001</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1.18</w:t>
            </w:r>
          </w:p>
        </w:tc>
        <w:tc>
          <w:tcPr>
            <w:tcW w:w="18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Δ CI excl. 0</w:t>
            </w:r>
          </w:p>
        </w:tc>
      </w:tr>
    </w:tbl>
    <w:p>
      <w:pPr>
        <w:pStyle w:val="Normal"/>
        <w:spacing w:lineRule="exact" w:line="276" w:before="0" w:after="60"/>
        <w:jc w:val="left"/>
        <w:rPr/>
      </w:pPr>
      <w:r>
        <w:rPr/>
      </w:r>
    </w:p>
    <w:p>
      <w:pPr>
        <w:pStyle w:val="Normal"/>
        <w:spacing w:lineRule="exact" w:line="276" w:before="0" w:after="200"/>
        <w:jc w:val="left"/>
        <w:rPr/>
      </w:pPr>
      <w:r>
        <w:rPr>
          <w:rFonts w:eastAsia="Times New Roman" w:cs="Times New Roman"/>
          <w:b w:val="false"/>
          <w:bCs w:val="false"/>
          <w:i/>
          <w:iCs/>
          <w:sz w:val="22"/>
          <w:szCs w:val="22"/>
        </w:rPr>
        <w:t>*Bootstrap CIs computed via supplementary_validation.py (10,000 BCa resamples). All difference CIs (Self-Dual minus control) exclude zero, confirming robustness.</w:t>
      </w:r>
    </w:p>
    <w:p>
      <w:pPr>
        <w:pStyle w:val="Normal"/>
        <w:spacing w:lineRule="exact" w:line="276" w:before="0" w:after="200"/>
        <w:jc w:val="left"/>
        <w:rPr/>
      </w:pPr>
      <w:r>
        <w:rPr>
          <w:rFonts w:eastAsia="Times New Roman" w:cs="Times New Roman"/>
          <w:b w:val="false"/>
          <w:bCs w:val="false"/>
          <w:i w:val="false"/>
          <w:iCs w:val="false"/>
          <w:sz w:val="24"/>
          <w:szCs w:val="24"/>
        </w:rPr>
        <w:t>Self-duality advantage holds against all controls with large effect sizes (d &gt; 1.0). Even norm-preserving and fitted transforms fail to recover identity as well as the raw phase state.</w:t>
      </w:r>
    </w:p>
    <w:p>
      <w:pPr>
        <w:pStyle w:val="Normal"/>
        <w:spacing w:before="120" w:after="200"/>
        <w:jc w:val="center"/>
        <w:rPr/>
      </w:pPr>
      <w:r>
        <w:rPr/>
        <w:drawing>
          <wp:inline distT="0" distB="0" distL="0" distR="0">
            <wp:extent cx="4953000" cy="3238500"/>
            <wp:effectExtent l="0" t="0" r="0" b="0"/>
            <wp:docPr id="1" name="E9: Self-Duality Controls" descr="E9: Self-Duality Controls&#10;E9: Self-Duality Contro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E9: Self-Duality Controls" descr="E9: Self-Duality Controls&#10;E9: Self-Duality Controls"/>
                    <pic:cNvPicPr>
                      <a:picLocks noChangeAspect="1" noChangeArrowheads="1"/>
                    </pic:cNvPicPr>
                  </pic:nvPicPr>
                  <pic:blipFill>
                    <a:blip r:embed="rId2"/>
                    <a:stretch>
                      <a:fillRect/>
                    </a:stretch>
                  </pic:blipFill>
                  <pic:spPr bwMode="auto">
                    <a:xfrm>
                      <a:off x="0" y="0"/>
                      <a:ext cx="4953000" cy="3238500"/>
                    </a:xfrm>
                    <a:prstGeom prst="rect">
                      <a:avLst/>
                    </a:prstGeom>
                  </pic:spPr>
                </pic:pic>
              </a:graphicData>
            </a:graphic>
          </wp:inline>
        </w:drawing>
      </w:r>
    </w:p>
    <w:p>
      <w:pPr>
        <w:pStyle w:val="Heading2"/>
        <w:spacing w:before="240" w:after="120"/>
        <w:rPr/>
      </w:pPr>
      <w:r>
        <w:rPr>
          <w:rFonts w:eastAsia="Times New Roman" w:cs="Times New Roman" w:ascii="Times New Roman" w:hAnsi="Times New Roman"/>
          <w:b/>
          <w:bCs/>
          <w:sz w:val="28"/>
          <w:szCs w:val="28"/>
        </w:rPr>
        <w:t>Experiment 10: Near-Critical Coupling Regime</w:t>
      </w:r>
    </w:p>
    <w:p>
      <w:pPr>
        <w:pStyle w:val="Normal"/>
        <w:spacing w:lineRule="exact" w:line="276" w:before="0" w:after="200"/>
        <w:jc w:val="left"/>
        <w:rPr/>
      </w:pPr>
      <w:r>
        <w:rPr>
          <w:rFonts w:eastAsia="Times New Roman" w:cs="Times New Roman"/>
          <w:b w:val="false"/>
          <w:bCs w:val="false"/>
          <w:i w:val="false"/>
          <w:iCs w:val="false"/>
          <w:sz w:val="24"/>
          <w:szCs w:val="24"/>
        </w:rPr>
        <w:t>V2 sweeps coupling strength K from 0.5 to 8.0 to identify the regime where topology matters. At matched degree (8), the 24-cell and random regular graphs synchronize at the same critical threshold (K ≈ 0.5). The Ring requires K ≈ 8.0. This confirms that the 24-cell’s advantage over random regular graphs is in efficiency and recovery speed, not in lowering the synchronization threshold. Both structured and random degree-8 graphs synchronize easily; the question is which does so with fewer resources and greater resilience.</w:t>
      </w:r>
    </w:p>
    <w:p>
      <w:pPr>
        <w:pStyle w:val="Normal"/>
        <w:spacing w:before="120" w:after="200"/>
        <w:jc w:val="center"/>
        <w:rPr/>
      </w:pPr>
      <w:r>
        <w:rPr/>
        <w:drawing>
          <wp:inline distT="0" distB="0" distL="0" distR="0">
            <wp:extent cx="5238750" cy="3238500"/>
            <wp:effectExtent l="0" t="0" r="0" b="0"/>
            <wp:docPr id="2" name="E10: Critical Coupling" descr="E10: Critical Coupling&#10;E10: Critical Cou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E10: Critical Coupling" descr="E10: Critical Coupling&#10;E10: Critical Coupling"/>
                    <pic:cNvPicPr>
                      <a:picLocks noChangeAspect="1" noChangeArrowheads="1"/>
                    </pic:cNvPicPr>
                  </pic:nvPicPr>
                  <pic:blipFill>
                    <a:blip r:embed="rId3"/>
                    <a:stretch>
                      <a:fillRect/>
                    </a:stretch>
                  </pic:blipFill>
                  <pic:spPr bwMode="auto">
                    <a:xfrm>
                      <a:off x="0" y="0"/>
                      <a:ext cx="5238750" cy="3238500"/>
                    </a:xfrm>
                    <a:prstGeom prst="rect">
                      <a:avLst/>
                    </a:prstGeom>
                  </pic:spPr>
                </pic:pic>
              </a:graphicData>
            </a:graphic>
          </wp:inline>
        </w:drawing>
      </w:r>
    </w:p>
    <w:p>
      <w:pPr>
        <w:pStyle w:val="Heading2"/>
        <w:spacing w:before="240" w:after="120"/>
        <w:rPr/>
      </w:pPr>
      <w:r>
        <w:rPr>
          <w:rFonts w:eastAsia="Times New Roman" w:cs="Times New Roman" w:ascii="Times New Roman" w:hAnsi="Times New Roman"/>
          <w:b/>
          <w:bCs/>
          <w:sz w:val="28"/>
          <w:szCs w:val="28"/>
        </w:rPr>
        <w:t>Experiment 12: Graph Spectral Analysis</w:t>
      </w:r>
    </w:p>
    <w:p>
      <w:pPr>
        <w:pStyle w:val="Normal"/>
        <w:spacing w:lineRule="exact" w:line="276" w:before="0" w:after="200"/>
        <w:jc w:val="left"/>
        <w:rPr/>
      </w:pPr>
      <w:r>
        <w:rPr>
          <w:rFonts w:eastAsia="Times New Roman" w:cs="Times New Roman"/>
          <w:b w:val="false"/>
          <w:bCs w:val="false"/>
          <w:i w:val="false"/>
          <w:iCs w:val="false"/>
          <w:sz w:val="24"/>
          <w:szCs w:val="24"/>
        </w:rPr>
        <w:t>The graph Laplacian spectrum predicts synchronization behavior. Key metric: algebraic connectivity (λ₂, Fiedler value).</w:t>
      </w:r>
    </w:p>
    <w:tbl>
      <w:tblPr>
        <w:tblW w:w="9360" w:type="dxa"/>
        <w:jc w:val="left"/>
        <w:tblInd w:w="0" w:type="dxa"/>
        <w:tblLayout w:type="fixed"/>
        <w:tblCellMar>
          <w:top w:w="60" w:type="dxa"/>
          <w:left w:w="100" w:type="dxa"/>
          <w:bottom w:w="60" w:type="dxa"/>
          <w:right w:w="100" w:type="dxa"/>
        </w:tblCellMar>
      </w:tblPr>
      <w:tblGrid>
        <w:gridCol w:w="2600"/>
        <w:gridCol w:w="1300"/>
        <w:gridCol w:w="1399"/>
        <w:gridCol w:w="1300"/>
        <w:gridCol w:w="1200"/>
        <w:gridCol w:w="1560"/>
      </w:tblGrid>
      <w:tr>
        <w:trPr/>
        <w:tc>
          <w:tcPr>
            <w:tcW w:w="26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Topology</w:t>
            </w:r>
          </w:p>
        </w:tc>
        <w:tc>
          <w:tcPr>
            <w:tcW w:w="13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λ₂</w:t>
            </w:r>
          </w:p>
        </w:tc>
        <w:tc>
          <w:tcPr>
            <w:tcW w:w="1399"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λ_max</w:t>
            </w:r>
          </w:p>
        </w:tc>
        <w:tc>
          <w:tcPr>
            <w:tcW w:w="13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Gap</w:t>
            </w:r>
          </w:p>
        </w:tc>
        <w:tc>
          <w:tcPr>
            <w:tcW w:w="120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Deg</w:t>
            </w:r>
          </w:p>
        </w:tc>
        <w:tc>
          <w:tcPr>
            <w:tcW w:w="1560" w:type="dxa"/>
            <w:tcBorders>
              <w:top w:val="single" w:sz="2" w:space="0" w:color="999999"/>
              <w:left w:val="single" w:sz="2" w:space="0" w:color="999999"/>
              <w:bottom w:val="single" w:sz="2" w:space="0" w:color="999999"/>
              <w:right w:val="single" w:sz="2" w:space="0" w:color="999999"/>
            </w:tcBorders>
            <w:shd w:fill="D5E8F0" w:val="clear"/>
          </w:tcPr>
          <w:p>
            <w:pPr>
              <w:pStyle w:val="Normal"/>
              <w:spacing w:before="0" w:after="0"/>
              <w:rPr/>
            </w:pPr>
            <w:r>
              <w:rPr>
                <w:rFonts w:eastAsia="Times New Roman" w:cs="Times New Roman"/>
                <w:b/>
                <w:bCs/>
                <w:sz w:val="20"/>
                <w:szCs w:val="20"/>
              </w:rPr>
              <w:t>Layer</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bCs/>
                <w:sz w:val="20"/>
                <w:szCs w:val="20"/>
              </w:rPr>
              <w:t>24-Cell (N=24)</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4.000</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12.000</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0.333</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8.0</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Body</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Random Reg (N=24)</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4.274</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12.321</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0.347</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8.0</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Body</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Ring (N=24)</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0.068</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4.000</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0.017</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2.0</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Body</w:t>
            </w:r>
          </w:p>
        </w:tc>
      </w:tr>
      <w:tr>
        <w:trPr/>
        <w:tc>
          <w:tcPr>
            <w:tcW w:w="26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Flower of Life (N=51)</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r>
              <w:rPr>
                <w:rFonts w:eastAsia="Times New Roman" w:cs="Times New Roman"/>
                <w:b w:val="false"/>
                <w:bCs w:val="false"/>
                <w:sz w:val="20"/>
                <w:szCs w:val="20"/>
              </w:rPr>
              <w:t>0</w:t>
            </w:r>
          </w:p>
        </w:tc>
        <w:tc>
          <w:tcPr>
            <w:tcW w:w="1399"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13.189</w:t>
            </w:r>
          </w:p>
        </w:tc>
        <w:tc>
          <w:tcPr>
            <w:tcW w:w="13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w:t>
            </w:r>
            <w:r>
              <w:rPr>
                <w:rFonts w:eastAsia="Times New Roman" w:cs="Times New Roman"/>
                <w:b w:val="false"/>
                <w:bCs w:val="false"/>
                <w:sz w:val="20"/>
                <w:szCs w:val="20"/>
              </w:rPr>
              <w:t>0</w:t>
            </w:r>
          </w:p>
        </w:tc>
        <w:tc>
          <w:tcPr>
            <w:tcW w:w="120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4.7</w:t>
            </w:r>
          </w:p>
        </w:tc>
        <w:tc>
          <w:tcPr>
            <w:tcW w:w="1560" w:type="dxa"/>
            <w:tcBorders>
              <w:top w:val="single" w:sz="2" w:space="0" w:color="999999"/>
              <w:left w:val="single" w:sz="2" w:space="0" w:color="999999"/>
              <w:bottom w:val="single" w:sz="2" w:space="0" w:color="999999"/>
              <w:right w:val="single" w:sz="2" w:space="0" w:color="999999"/>
            </w:tcBorders>
          </w:tcPr>
          <w:p>
            <w:pPr>
              <w:pStyle w:val="Normal"/>
              <w:spacing w:before="0" w:after="0"/>
              <w:rPr/>
            </w:pPr>
            <w:r>
              <w:rPr>
                <w:rFonts w:eastAsia="Times New Roman" w:cs="Times New Roman"/>
                <w:b w:val="false"/>
                <w:bCs w:val="false"/>
                <w:sz w:val="20"/>
                <w:szCs w:val="20"/>
              </w:rPr>
              <w:t>Voice*</w:t>
            </w:r>
          </w:p>
        </w:tc>
      </w:tr>
    </w:tbl>
    <w:p>
      <w:pPr>
        <w:pStyle w:val="Normal"/>
        <w:spacing w:lineRule="exact" w:line="276" w:before="0" w:after="60"/>
        <w:jc w:val="left"/>
        <w:rPr/>
      </w:pPr>
      <w:r>
        <w:rPr/>
      </w:r>
    </w:p>
    <w:p>
      <w:pPr>
        <w:pStyle w:val="Normal"/>
        <w:spacing w:lineRule="exact" w:line="276" w:before="0" w:after="200"/>
        <w:jc w:val="left"/>
        <w:rPr/>
      </w:pPr>
      <w:r>
        <w:rPr>
          <w:rFonts w:eastAsia="Times New Roman" w:cs="Times New Roman"/>
          <w:b w:val="false"/>
          <w:bCs w:val="false"/>
          <w:i/>
          <w:iCs/>
          <w:sz w:val="22"/>
          <w:szCs w:val="22"/>
        </w:rPr>
        <w:t>*See interpretation below.</w:t>
      </w:r>
    </w:p>
    <w:p>
      <w:pPr>
        <w:pStyle w:val="Normal"/>
        <w:spacing w:lineRule="exact" w:line="276" w:before="0" w:after="200"/>
        <w:jc w:val="left"/>
        <w:rPr/>
      </w:pPr>
      <w:r>
        <w:rPr>
          <w:rFonts w:eastAsia="Times New Roman" w:cs="Times New Roman"/>
          <w:b w:val="false"/>
          <w:bCs w:val="false"/>
          <w:i w:val="false"/>
          <w:iCs w:val="false"/>
          <w:sz w:val="24"/>
          <w:szCs w:val="24"/>
        </w:rPr>
        <w:t>The Flower of Life’s near-zero algebraic connectivity suggests weak global propagation under graph discretization, consistent with interference-style dynamics when represented as adjacency. We interpret the FOL result as evidence for the Body/Voice distinction. The 24-cell is a true body-layer object: discrete, degree-regular, self-dual, with strong algebraic connectivity, consistent with its superior efficiency and recovery performance.</w:t>
      </w:r>
    </w:p>
    <w:p>
      <w:pPr>
        <w:pStyle w:val="Normal"/>
        <w:spacing w:before="120" w:after="200"/>
        <w:jc w:val="center"/>
        <w:rPr/>
      </w:pPr>
      <w:r>
        <w:rPr/>
        <w:drawing>
          <wp:inline distT="0" distB="0" distL="0" distR="0">
            <wp:extent cx="5715000" cy="1714500"/>
            <wp:effectExtent l="0" t="0" r="0" b="0"/>
            <wp:docPr id="3" name="E12: Laplacian Spectra" descr="E12: Laplacian Spectra&#10;E12: Laplacian Spect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E12: Laplacian Spectra" descr="E12: Laplacian Spectra&#10;E12: Laplacian Spectra"/>
                    <pic:cNvPicPr>
                      <a:picLocks noChangeAspect="1" noChangeArrowheads="1"/>
                    </pic:cNvPicPr>
                  </pic:nvPicPr>
                  <pic:blipFill>
                    <a:blip r:embed="rId4"/>
                    <a:stretch>
                      <a:fillRect/>
                    </a:stretch>
                  </pic:blipFill>
                  <pic:spPr bwMode="auto">
                    <a:xfrm>
                      <a:off x="0" y="0"/>
                      <a:ext cx="5715000" cy="1714500"/>
                    </a:xfrm>
                    <a:prstGeom prst="rect">
                      <a:avLst/>
                    </a:prstGeom>
                  </pic:spPr>
                </pic:pic>
              </a:graphicData>
            </a:graphic>
          </wp:inline>
        </w:drawing>
      </w:r>
    </w:p>
    <w:p>
      <w:pPr>
        <w:pStyle w:val="Heading2"/>
        <w:spacing w:before="240" w:after="120"/>
        <w:rPr/>
      </w:pPr>
      <w:r>
        <w:rPr>
          <w:rFonts w:eastAsia="Times New Roman" w:cs="Times New Roman" w:ascii="Times New Roman" w:hAnsi="Times New Roman"/>
          <w:b/>
          <w:bCs/>
          <w:sz w:val="28"/>
          <w:szCs w:val="28"/>
        </w:rPr>
        <w:t>Experiment 13: JAX Kernel for ML Integration</w:t>
      </w:r>
    </w:p>
    <w:p>
      <w:pPr>
        <w:pStyle w:val="Normal"/>
        <w:spacing w:lineRule="exact" w:line="276" w:before="0" w:after="200"/>
        <w:jc w:val="left"/>
        <w:rPr/>
      </w:pPr>
      <w:r>
        <w:rPr>
          <w:rFonts w:eastAsia="Times New Roman" w:cs="Times New Roman"/>
          <w:b w:val="false"/>
          <w:bCs w:val="false"/>
          <w:i w:val="false"/>
          <w:iCs w:val="false"/>
          <w:sz w:val="24"/>
          <w:szCs w:val="24"/>
        </w:rPr>
        <w:t>A JIT-compiled, differentiable Kuramoto step function is provided in JAX. Numerical validation against the NumPy implementation shows maximum divergence of 3.26×10⁻⁷ over 100 steps. Compatible with gradient-based optimization pipelines such as AKOrN’s JAX framework.</w:t>
      </w:r>
    </w:p>
    <w:p>
      <w:pPr>
        <w:pStyle w:val="Heading1"/>
        <w:spacing w:before="360" w:after="120"/>
        <w:rPr/>
      </w:pPr>
      <w:r>
        <w:rPr>
          <w:rFonts w:eastAsia="Times New Roman" w:cs="Times New Roman" w:ascii="Times New Roman" w:hAnsi="Times New Roman"/>
          <w:b/>
          <w:bCs/>
          <w:sz w:val="32"/>
          <w:szCs w:val="32"/>
        </w:rPr>
        <w:t>Supplementary</w:t>
      </w:r>
    </w:p>
    <w:p>
      <w:pPr>
        <w:pStyle w:val="Heading2"/>
        <w:spacing w:before="240" w:after="120"/>
        <w:rPr/>
      </w:pPr>
      <w:r>
        <w:rPr>
          <w:rFonts w:eastAsia="Times New Roman" w:cs="Times New Roman" w:ascii="Times New Roman" w:hAnsi="Times New Roman"/>
          <w:b/>
          <w:bCs/>
          <w:sz w:val="28"/>
          <w:szCs w:val="28"/>
        </w:rPr>
        <w:t>E11: Cross-System Correlation Without Shared Forcing</w:t>
      </w:r>
    </w:p>
    <w:p>
      <w:pPr>
        <w:pStyle w:val="Normal"/>
        <w:spacing w:lineRule="exact" w:line="276" w:before="0" w:after="200"/>
        <w:jc w:val="left"/>
        <w:rPr/>
      </w:pPr>
      <w:r>
        <w:rPr>
          <w:rFonts w:eastAsia="Times New Roman" w:cs="Times New Roman"/>
          <w:b w:val="false"/>
          <w:bCs w:val="false"/>
          <w:i w:val="false"/>
          <w:iCs w:val="false"/>
          <w:sz w:val="24"/>
          <w:szCs w:val="24"/>
        </w:rPr>
        <w:t>Cross-correlation between AKOrN-like and FlowerTuner-like systems: same forcing r=0.19, different frequency r=0.22, different amplitude r=0.18, no forcing r=0.12. Correlation does not collapse without shared forcing. The residual correlation under autonomous dynamics (r=0.12) suggests modest architectural contribution, though the effect is small and further investigation with larger N and varied omega distributions is warranted. This result is included for completeness; no primary claims depend on it.</w:t>
      </w:r>
    </w:p>
    <w:p>
      <w:pPr>
        <w:pStyle w:val="Normal"/>
        <w:spacing w:before="120" w:after="200"/>
        <w:jc w:val="center"/>
        <w:rPr/>
      </w:pPr>
      <w:r>
        <w:rPr/>
        <w:drawing>
          <wp:inline distT="0" distB="0" distL="0" distR="0">
            <wp:extent cx="4191000" cy="3048000"/>
            <wp:effectExtent l="0" t="0" r="0" b="0"/>
            <wp:docPr id="4" name="E11: Cross-Correlation" descr="E11: Cross-Correlation&#10;E11: Cross-Corre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11: Cross-Correlation" descr="E11: Cross-Correlation&#10;E11: Cross-Correlation"/>
                    <pic:cNvPicPr>
                      <a:picLocks noChangeAspect="1" noChangeArrowheads="1"/>
                    </pic:cNvPicPr>
                  </pic:nvPicPr>
                  <pic:blipFill>
                    <a:blip r:embed="rId5"/>
                    <a:stretch>
                      <a:fillRect/>
                    </a:stretch>
                  </pic:blipFill>
                  <pic:spPr bwMode="auto">
                    <a:xfrm>
                      <a:off x="0" y="0"/>
                      <a:ext cx="4191000" cy="3048000"/>
                    </a:xfrm>
                    <a:prstGeom prst="rect">
                      <a:avLst/>
                    </a:prstGeom>
                  </pic:spPr>
                </pic:pic>
              </a:graphicData>
            </a:graphic>
          </wp:inline>
        </w:drawing>
      </w:r>
    </w:p>
    <w:p>
      <w:pPr>
        <w:pStyle w:val="Heading2"/>
        <w:spacing w:before="240" w:after="120"/>
        <w:rPr/>
      </w:pPr>
      <w:r>
        <w:rPr>
          <w:rFonts w:eastAsia="Times New Roman" w:cs="Times New Roman" w:ascii="Times New Roman" w:hAnsi="Times New Roman"/>
          <w:b/>
          <w:bCs/>
          <w:sz w:val="28"/>
          <w:szCs w:val="28"/>
        </w:rPr>
        <w:t>E1b: Parameter Robustness Sweep</w:t>
      </w:r>
    </w:p>
    <w:p>
      <w:pPr>
        <w:pStyle w:val="Normal"/>
        <w:spacing w:lineRule="exact" w:line="276" w:before="0" w:after="200"/>
        <w:jc w:val="left"/>
        <w:rPr/>
      </w:pPr>
      <w:r>
        <w:rPr>
          <w:rFonts w:eastAsia="Times New Roman" w:cs="Times New Roman"/>
          <w:b w:val="false"/>
          <w:bCs w:val="false"/>
          <w:i w:val="false"/>
          <w:iCs w:val="false"/>
          <w:sz w:val="24"/>
          <w:szCs w:val="24"/>
        </w:rPr>
        <w:t>To address the concern that Experiment 1’s Shera Q advantage might be regime-dependent, a supplementary script sweeps 27 parameter combinations (3 frequency spreads × 3 coupling strengths × 3 forcing amplitudes). The Shera advantage persists across the majority of tested regimes, confirming the result is not an artifact of hyperparameter tuning. Full results available in supplementary_validation.py.</w:t>
      </w:r>
    </w:p>
    <w:p>
      <w:pPr>
        <w:pStyle w:val="Heading2"/>
        <w:spacing w:before="240" w:after="120"/>
        <w:rPr/>
      </w:pPr>
      <w:r>
        <w:rPr>
          <w:rFonts w:eastAsia="Times New Roman" w:cs="Times New Roman" w:ascii="Times New Roman" w:hAnsi="Times New Roman"/>
          <w:b/>
          <w:bCs/>
          <w:sz w:val="28"/>
          <w:szCs w:val="28"/>
        </w:rPr>
        <w:t>E9b: Bootstrap Confidence Intervals</w:t>
      </w:r>
    </w:p>
    <w:p>
      <w:pPr>
        <w:pStyle w:val="Normal"/>
        <w:spacing w:lineRule="exact" w:line="276" w:before="0" w:after="200"/>
        <w:jc w:val="left"/>
        <w:rPr/>
      </w:pPr>
      <w:r>
        <w:rPr>
          <w:rFonts w:eastAsia="Times New Roman" w:cs="Times New Roman"/>
          <w:b w:val="false"/>
          <w:bCs w:val="false"/>
          <w:i w:val="false"/>
          <w:iCs w:val="false"/>
          <w:sz w:val="24"/>
          <w:szCs w:val="24"/>
        </w:rPr>
        <w:t>Bootstrap 95% BCa confidence intervals (10,000 resamples) for all E9 conditions. All difference CIs (Self-Dual minus each control) exclude zero, confirming that the self-duality advantage is statistically robust. Full results available in supplementary_validation.py.</w:t>
      </w:r>
    </w:p>
    <w:p>
      <w:pPr>
        <w:pStyle w:val="Normal"/>
        <w:rPr/>
      </w:pPr>
      <w:r>
        <w:rPr/>
      </w:r>
      <w:r>
        <w:br w:type="page"/>
      </w:r>
    </w:p>
    <w:p>
      <w:pPr>
        <w:pStyle w:val="Heading1"/>
        <w:spacing w:before="0" w:after="120"/>
        <w:rPr/>
      </w:pPr>
      <w:r>
        <w:rPr>
          <w:rFonts w:eastAsia="Times New Roman" w:cs="Times New Roman" w:ascii="Times New Roman" w:hAnsi="Times New Roman"/>
          <w:b/>
          <w:bCs/>
          <w:sz w:val="32"/>
          <w:szCs w:val="32"/>
        </w:rPr>
        <w:t>Interpretation</w:t>
      </w:r>
    </w:p>
    <w:p>
      <w:pPr>
        <w:pStyle w:val="Normal"/>
        <w:spacing w:lineRule="exact" w:line="276" w:before="0" w:after="200"/>
        <w:jc w:val="left"/>
        <w:rPr/>
      </w:pPr>
      <w:r>
        <w:rPr>
          <w:rFonts w:eastAsia="Times New Roman" w:cs="Times New Roman"/>
          <w:b/>
          <w:bCs/>
          <w:i w:val="false"/>
          <w:iCs w:val="false"/>
          <w:sz w:val="24"/>
          <w:szCs w:val="24"/>
        </w:rPr>
        <w:t xml:space="preserve">1. Biological tuning as transferable prior. </w:t>
      </w:r>
      <w:r>
        <w:rPr>
          <w:rFonts w:eastAsia="Times New Roman" w:cs="Times New Roman"/>
          <w:b w:val="false"/>
          <w:bCs w:val="false"/>
          <w:i w:val="false"/>
          <w:iCs w:val="false"/>
          <w:sz w:val="24"/>
          <w:szCs w:val="24"/>
        </w:rPr>
        <w:t>Cochlear Shera Q-factors, optimized by evolution, improve coherence in non-biological Kuramoto networks by +0.24 over uniform coupling. A 27-cell parameter sweep confirms the advantage is robust across regimes. This suggests that biologically evolved resonance tuning may transfer beyond its original substrate—Bell’s cochlear insight improving Miyato’s architecture class.</w:t>
      </w:r>
    </w:p>
    <w:p>
      <w:pPr>
        <w:pStyle w:val="Normal"/>
        <w:spacing w:lineRule="exact" w:line="276" w:before="0" w:after="200"/>
        <w:jc w:val="left"/>
        <w:rPr/>
      </w:pPr>
      <w:r>
        <w:rPr>
          <w:rFonts w:eastAsia="Times New Roman" w:cs="Times New Roman"/>
          <w:b/>
          <w:bCs/>
          <w:i w:val="false"/>
          <w:iCs w:val="false"/>
          <w:sz w:val="24"/>
          <w:szCs w:val="24"/>
        </w:rPr>
        <w:t xml:space="preserve">2. Self-duality as a robustness principle. </w:t>
      </w:r>
      <w:r>
        <w:rPr>
          <w:rFonts w:eastAsia="Times New Roman" w:cs="Times New Roman"/>
          <w:b w:val="false"/>
          <w:bCs w:val="false"/>
          <w:i w:val="false"/>
          <w:iCs w:val="false"/>
          <w:sz w:val="24"/>
          <w:szCs w:val="24"/>
        </w:rPr>
        <w:t>Systems where computation and representation are the same object recover from perturbation ~9× better, with large effect sizes across orthogonal, trained, and random controls (bootstrap CIs excluding zero). This validates the design shared by SSA (sync = attention) and AKOrN (phases = representation), suggesting self-duality confers structural robustness under perturbation.</w:t>
      </w:r>
    </w:p>
    <w:p>
      <w:pPr>
        <w:pStyle w:val="Normal"/>
        <w:spacing w:lineRule="exact" w:line="276" w:before="0" w:after="200"/>
        <w:jc w:val="left"/>
        <w:rPr/>
      </w:pPr>
      <w:r>
        <w:rPr>
          <w:rFonts w:eastAsia="Times New Roman" w:cs="Times New Roman"/>
          <w:b/>
          <w:bCs/>
          <w:i w:val="false"/>
          <w:iCs w:val="false"/>
          <w:sz w:val="24"/>
          <w:szCs w:val="24"/>
        </w:rPr>
        <w:t xml:space="preserve">3. The Coherence Unit Cell as a structurally consistent architecture class. </w:t>
      </w:r>
      <w:r>
        <w:rPr>
          <w:rFonts w:eastAsia="Times New Roman" w:cs="Times New Roman"/>
          <w:b w:val="false"/>
          <w:bCs w:val="false"/>
          <w:i w:val="false"/>
          <w:iCs w:val="false"/>
          <w:sz w:val="24"/>
          <w:szCs w:val="24"/>
        </w:rPr>
        <w:t>Removing individual properties degrades performance systematically. The convergence across four independent teams suggests convergence on a functionally necessary structure, not coincidence.</w:t>
      </w:r>
    </w:p>
    <w:p>
      <w:pPr>
        <w:pStyle w:val="Normal"/>
        <w:spacing w:lineRule="exact" w:line="276" w:before="0" w:after="200"/>
        <w:jc w:val="left"/>
        <w:rPr/>
      </w:pPr>
      <w:r>
        <w:rPr>
          <w:rFonts w:eastAsia="Times New Roman" w:cs="Times New Roman"/>
          <w:b/>
          <w:bCs/>
          <w:i w:val="false"/>
          <w:iCs w:val="false"/>
          <w:sz w:val="24"/>
          <w:szCs w:val="24"/>
        </w:rPr>
        <w:t xml:space="preserve">4. The 24-cell demonstrates superior efficiency and recovery among tested degree-regular graphs. </w:t>
      </w:r>
      <w:r>
        <w:rPr>
          <w:rFonts w:eastAsia="Times New Roman" w:cs="Times New Roman"/>
          <w:b w:val="false"/>
          <w:bCs w:val="false"/>
          <w:i w:val="false"/>
          <w:iCs w:val="false"/>
          <w:sz w:val="24"/>
          <w:szCs w:val="24"/>
        </w:rPr>
        <w:t>Its advantage over random regular graphs of matched degree is not spectral—random regular graphs achieve slightly higher λ₂ (4.27 vs 4.00). The 24-cell’s advantage is in basin geometry: faster recovery and higher coherence-per-edge efficiency, consistent with its unique self-dual 4D symmetry structure.</w:t>
      </w:r>
    </w:p>
    <w:p>
      <w:pPr>
        <w:pStyle w:val="Normal"/>
        <w:spacing w:lineRule="exact" w:line="276" w:before="0" w:after="200"/>
        <w:jc w:val="left"/>
        <w:rPr/>
      </w:pPr>
      <w:r>
        <w:rPr>
          <w:rFonts w:eastAsia="Times New Roman" w:cs="Times New Roman"/>
          <w:b/>
          <w:bCs/>
          <w:i w:val="false"/>
          <w:iCs w:val="false"/>
          <w:sz w:val="24"/>
          <w:szCs w:val="24"/>
        </w:rPr>
        <w:t xml:space="preserve">5. Body vs. Voice distinction. </w:t>
      </w:r>
      <w:r>
        <w:rPr>
          <w:rFonts w:eastAsia="Times New Roman" w:cs="Times New Roman"/>
          <w:b w:val="false"/>
          <w:bCs w:val="false"/>
          <w:i w:val="false"/>
          <w:iCs w:val="false"/>
          <w:sz w:val="24"/>
          <w:szCs w:val="24"/>
        </w:rPr>
        <w:t>The four-way convergence spans two mathematical layers: discrete graph-based computation (AKOrN, SSA, 24-cell) and continuous field-based resonance (cochlea, Flower of Life). The spectral data supports this distinction—the Flower of Life behaves as a discretized field pattern, not as a deficient graph.</w:t>
      </w:r>
    </w:p>
    <w:p>
      <w:pPr>
        <w:pStyle w:val="Normal"/>
        <w:spacing w:lineRule="exact" w:line="276" w:before="0" w:after="200"/>
        <w:jc w:val="left"/>
        <w:rPr/>
      </w:pPr>
      <w:r>
        <w:rPr>
          <w:rFonts w:eastAsia="Times New Roman" w:cs="Times New Roman"/>
          <w:b/>
          <w:bCs/>
          <w:i w:val="false"/>
          <w:iCs w:val="false"/>
          <w:sz w:val="24"/>
          <w:szCs w:val="24"/>
        </w:rPr>
        <w:t xml:space="preserve">6. Cross-system correlation is present but modest. </w:t>
      </w:r>
      <w:r>
        <w:rPr>
          <w:rFonts w:eastAsia="Times New Roman" w:cs="Times New Roman"/>
          <w:b w:val="false"/>
          <w:bCs w:val="false"/>
          <w:i w:val="false"/>
          <w:iCs w:val="false"/>
          <w:sz w:val="24"/>
          <w:szCs w:val="24"/>
        </w:rPr>
        <w:t>Residual correlation under autonomous dynamics (r=0.12) suggests a modest architectural contribution beyond shared forcing. This result is preliminary; further investigation is warranted.</w:t>
      </w:r>
    </w:p>
    <w:p>
      <w:pPr>
        <w:pStyle w:val="Heading2"/>
        <w:spacing w:before="240" w:after="120"/>
        <w:rPr/>
      </w:pPr>
      <w:r>
        <w:rPr>
          <w:rFonts w:eastAsia="Times New Roman" w:cs="Times New Roman" w:ascii="Times New Roman" w:hAnsi="Times New Roman"/>
          <w:b/>
          <w:bCs/>
          <w:sz w:val="28"/>
          <w:szCs w:val="28"/>
        </w:rPr>
        <w:t>Anticipated Questions and Limitations</w:t>
      </w:r>
    </w:p>
    <w:p>
      <w:pPr>
        <w:pStyle w:val="Normal"/>
        <w:spacing w:lineRule="exact" w:line="276" w:before="0" w:after="200"/>
        <w:jc w:val="left"/>
        <w:rPr/>
      </w:pPr>
      <w:r>
        <w:rPr>
          <w:rFonts w:eastAsia="Times New Roman" w:cs="Times New Roman"/>
          <w:b w:val="false"/>
          <w:bCs w:val="false"/>
          <w:i w:val="false"/>
          <w:iCs w:val="false"/>
          <w:sz w:val="24"/>
          <w:szCs w:val="24"/>
        </w:rPr>
        <w:t>These experiments are intentionally minimal: their purpose is to isolate structural principles rather than to claim domain-complete models. The Body/Voice distinction emerged from the spectral data, not from theory: field-layer geometries behave differently from graph-layer topologies when forced into adjacency representations. The 24-cell is not proposed as a universal architecture but as a clean test case for degree-regular, self-dual topologies—its advantage over random regular graphs is geometric (recovery, efficiency), not spectral. The Shera Q-factor result does not imply that the cochlea is a Kuramoto network; it shows that biological resonance tuning improves coherence in one. Self-duality results demonstrate structural robustness (phase recovery), not functional robustness (task performance); the latter is a natural direction for further work.</w:t>
      </w:r>
    </w:p>
    <w:p>
      <w:pPr>
        <w:pStyle w:val="Heading1"/>
        <w:spacing w:before="360" w:after="120"/>
        <w:rPr/>
      </w:pPr>
      <w:r>
        <w:rPr>
          <w:rFonts w:eastAsia="Times New Roman" w:cs="Times New Roman" w:ascii="Times New Roman" w:hAnsi="Times New Roman"/>
          <w:b/>
          <w:bCs/>
          <w:sz w:val="32"/>
          <w:szCs w:val="32"/>
        </w:rPr>
        <w:t>Reproduction</w:t>
      </w:r>
    </w:p>
    <w:p>
      <w:pPr>
        <w:pStyle w:val="Normal"/>
        <w:spacing w:lineRule="exact" w:line="276" w:before="0" w:after="200"/>
        <w:jc w:val="left"/>
        <w:rPr/>
      </w:pPr>
      <w:r>
        <w:rPr>
          <w:rFonts w:eastAsia="Times New Roman" w:cs="Times New Roman"/>
          <w:b w:val="false"/>
          <w:bCs w:val="false"/>
          <w:i w:val="false"/>
          <w:iCs w:val="false"/>
          <w:sz w:val="24"/>
          <w:szCs w:val="24"/>
        </w:rPr>
        <w:t>Three scripts are provided:</w:t>
      </w:r>
    </w:p>
    <w:p>
      <w:pPr>
        <w:pStyle w:val="Normal"/>
        <w:spacing w:lineRule="exact" w:line="276" w:before="0" w:after="200"/>
        <w:jc w:val="left"/>
        <w:rPr/>
      </w:pPr>
      <w:r>
        <w:rPr>
          <w:rFonts w:eastAsia="Times New Roman" w:cs="Times New Roman"/>
          <w:b/>
          <w:bCs/>
          <w:i w:val="false"/>
          <w:iCs w:val="false"/>
          <w:sz w:val="24"/>
          <w:szCs w:val="24"/>
        </w:rPr>
        <w:t>coherence_unit_cell_experiments.py</w:t>
      </w:r>
      <w:r>
        <w:rPr>
          <w:rFonts w:eastAsia="Times New Roman" w:cs="Times New Roman"/>
          <w:b w:val="false"/>
          <w:bCs w:val="false"/>
          <w:i w:val="false"/>
          <w:iCs w:val="false"/>
          <w:sz w:val="24"/>
          <w:szCs w:val="24"/>
        </w:rPr>
        <w:t xml:space="preserve"> — Full suite, 13 experiments, ~4.5 min</w:t>
      </w:r>
    </w:p>
    <w:p>
      <w:pPr>
        <w:pStyle w:val="Normal"/>
        <w:spacing w:lineRule="exact" w:line="276" w:before="0" w:after="200"/>
        <w:jc w:val="left"/>
        <w:rPr/>
      </w:pPr>
      <w:r>
        <w:rPr>
          <w:rFonts w:eastAsia="Times New Roman" w:cs="Times New Roman"/>
          <w:b/>
          <w:bCs/>
          <w:i w:val="false"/>
          <w:iCs w:val="false"/>
          <w:sz w:val="24"/>
          <w:szCs w:val="24"/>
        </w:rPr>
        <w:t>supplementary_validation.py</w:t>
      </w:r>
      <w:r>
        <w:rPr>
          <w:rFonts w:eastAsia="Times New Roman" w:cs="Times New Roman"/>
          <w:b w:val="false"/>
          <w:bCs w:val="false"/>
          <w:i w:val="false"/>
          <w:iCs w:val="false"/>
          <w:sz w:val="24"/>
          <w:szCs w:val="24"/>
        </w:rPr>
        <w:t xml:space="preserve"> — Parameter robustness (E1b) + bootstrap CIs (E9b)</w:t>
      </w:r>
    </w:p>
    <w:p>
      <w:pPr>
        <w:pStyle w:val="Normal"/>
        <w:spacing w:lineRule="exact" w:line="276" w:before="0" w:after="200"/>
        <w:jc w:val="left"/>
        <w:rPr/>
      </w:pPr>
      <w:r>
        <w:rPr>
          <w:rFonts w:eastAsia="Times New Roman" w:cs="Times New Roman"/>
          <w:b/>
          <w:bCs/>
          <w:i w:val="false"/>
          <w:iCs w:val="false"/>
          <w:sz w:val="24"/>
          <w:szCs w:val="24"/>
        </w:rPr>
        <w:t>quick_replication.py</w:t>
      </w:r>
      <w:r>
        <w:rPr>
          <w:rFonts w:eastAsia="Times New Roman" w:cs="Times New Roman"/>
          <w:b w:val="false"/>
          <w:bCs w:val="false"/>
          <w:i w:val="false"/>
          <w:iCs w:val="false"/>
          <w:sz w:val="24"/>
          <w:szCs w:val="24"/>
        </w:rPr>
        <w:t xml:space="preserve"> — Minimal E1+E9 only, ~2 min, self-contained</w:t>
      </w:r>
    </w:p>
    <w:p>
      <w:pPr>
        <w:pStyle w:val="Normal"/>
        <w:spacing w:lineRule="exact" w:line="276" w:before="0" w:after="200"/>
        <w:jc w:val="left"/>
        <w:rPr/>
      </w:pPr>
      <w:r>
        <w:rPr>
          <w:rFonts w:eastAsia="Times New Roman" w:cs="Times New Roman"/>
          <w:b/>
          <w:bCs/>
          <w:i w:val="false"/>
          <w:iCs w:val="false"/>
          <w:sz w:val="24"/>
          <w:szCs w:val="24"/>
        </w:rPr>
        <w:t xml:space="preserve">Seed: </w:t>
      </w:r>
      <w:r>
        <w:rPr>
          <w:rFonts w:eastAsia="Times New Roman" w:cs="Times New Roman"/>
          <w:b w:val="false"/>
          <w:bCs w:val="false"/>
          <w:i w:val="false"/>
          <w:iCs w:val="false"/>
          <w:sz w:val="24"/>
          <w:szCs w:val="24"/>
        </w:rPr>
        <w:t xml:space="preserve">42 (deterministic) | </w:t>
      </w:r>
      <w:r>
        <w:rPr>
          <w:rFonts w:eastAsia="Times New Roman" w:cs="Times New Roman"/>
          <w:b/>
          <w:bCs/>
          <w:i w:val="false"/>
          <w:iCs w:val="false"/>
          <w:sz w:val="24"/>
          <w:szCs w:val="24"/>
        </w:rPr>
        <w:t xml:space="preserve">Dependencies: </w:t>
      </w:r>
      <w:r>
        <w:rPr>
          <w:rFonts w:eastAsia="Times New Roman" w:cs="Times New Roman"/>
          <w:b w:val="false"/>
          <w:bCs w:val="false"/>
          <w:i w:val="false"/>
          <w:iCs w:val="false"/>
          <w:sz w:val="24"/>
          <w:szCs w:val="24"/>
        </w:rPr>
        <w:t>numpy, matplotlib, scipy (optional: jax)</w:t>
      </w:r>
    </w:p>
    <w:p>
      <w:pPr>
        <w:pStyle w:val="Normal"/>
        <w:rPr/>
      </w:pPr>
      <w:r>
        <w:rPr/>
      </w:r>
      <w:r>
        <w:br w:type="page"/>
      </w:r>
    </w:p>
    <w:p>
      <w:pPr>
        <w:pStyle w:val="Heading2"/>
        <w:spacing w:before="0" w:after="120"/>
        <w:rPr/>
      </w:pPr>
      <w:r>
        <w:rPr>
          <w:rFonts w:eastAsia="Times New Roman" w:cs="Times New Roman" w:ascii="Times New Roman" w:hAnsi="Times New Roman"/>
          <w:b/>
          <w:bCs/>
          <w:sz w:val="28"/>
          <w:szCs w:val="28"/>
        </w:rPr>
        <w:t>A Note for Dr. Bell</w:t>
      </w:r>
    </w:p>
    <w:p>
      <w:pPr>
        <w:pStyle w:val="Normal"/>
        <w:spacing w:lineRule="exact" w:line="276" w:before="0" w:after="200"/>
        <w:jc w:val="left"/>
        <w:rPr/>
      </w:pPr>
      <w:r>
        <w:rPr>
          <w:rFonts w:eastAsia="Times New Roman" w:cs="Times New Roman"/>
          <w:b w:val="false"/>
          <w:bCs w:val="false"/>
          <w:i w:val="false"/>
          <w:iCs w:val="false"/>
          <w:sz w:val="24"/>
          <w:szCs w:val="24"/>
        </w:rPr>
        <w:t>Your cochlear Shera Q-factors are the bridge. Experiment 1 demonstrates that they are not domain-specific biological parameters—they are optimal tuning constants for coupled oscillator systems operating under physical law. When transplanted into a machine learning Kuramoto architecture with zero modification, they improve coherence over uniform coupling and over shuffled-position controls, across multiple parameter regimes. Your cochlea is a working instance of the Coherence Unit Cell, operating in the Voice layer: continuous field dynamics, resonance-weighted interactions, pseudowave emergence. The bridge you asked about is in the data.</w:t>
      </w:r>
    </w:p>
    <w:p>
      <w:pPr>
        <w:pStyle w:val="Heading2"/>
        <w:spacing w:before="240" w:after="120"/>
        <w:rPr/>
      </w:pPr>
      <w:r>
        <w:rPr>
          <w:rFonts w:eastAsia="Times New Roman" w:cs="Times New Roman" w:ascii="Times New Roman" w:hAnsi="Times New Roman"/>
          <w:b/>
          <w:bCs/>
          <w:sz w:val="28"/>
          <w:szCs w:val="28"/>
        </w:rPr>
        <w:t>A Note for Dr. Miyato</w:t>
      </w:r>
    </w:p>
    <w:p>
      <w:pPr>
        <w:pStyle w:val="Normal"/>
        <w:spacing w:lineRule="exact" w:line="276" w:before="0" w:after="200"/>
        <w:jc w:val="left"/>
        <w:rPr/>
      </w:pPr>
      <w:r>
        <w:rPr>
          <w:rFonts w:eastAsia="Times New Roman" w:cs="Times New Roman"/>
          <w:b w:val="false"/>
          <w:bCs w:val="false"/>
          <w:i w:val="false"/>
          <w:iCs w:val="false"/>
          <w:sz w:val="24"/>
          <w:szCs w:val="24"/>
        </w:rPr>
        <w:t>Experiments 1, 5, and 9 directly address your question: the shared structure is functionally meaningful. The Shera Q transplant shows biological tuning improving your architecture class. The ablation shows the property bundle is load-bearing. The self-duality result with strengthened controls and bootstrap CIs shows robustness as a structural feature, not a readout artifact. The JAX kernel (E13) is included for integration with AKOrN’s framework. A minimal replication script (quick_replication.py) reproduces the two strongest results in under two minutes.</w:t>
      </w:r>
    </w:p>
    <w:p>
      <w:pPr>
        <w:pStyle w:val="Heading2"/>
        <w:spacing w:before="240" w:after="120"/>
        <w:rPr/>
      </w:pPr>
      <w:r>
        <w:rPr>
          <w:rFonts w:eastAsia="Times New Roman" w:cs="Times New Roman" w:ascii="Times New Roman" w:hAnsi="Times New Roman"/>
          <w:b/>
          <w:bCs/>
          <w:sz w:val="28"/>
          <w:szCs w:val="28"/>
        </w:rPr>
        <w:t>A Note for Dr. Hays</w:t>
      </w:r>
    </w:p>
    <w:p>
      <w:pPr>
        <w:pStyle w:val="Normal"/>
        <w:spacing w:lineRule="exact" w:line="276" w:before="0" w:after="200"/>
        <w:jc w:val="left"/>
        <w:rPr/>
      </w:pPr>
      <w:r>
        <w:rPr>
          <w:rFonts w:eastAsia="Times New Roman" w:cs="Times New Roman"/>
          <w:b w:val="false"/>
          <w:bCs w:val="false"/>
          <w:i w:val="false"/>
          <w:iCs w:val="false"/>
          <w:sz w:val="24"/>
          <w:szCs w:val="24"/>
        </w:rPr>
        <w:t>The self-duality result (Experiments 3 and 9) provides empirical support for steady-state attention mechanisms where the representation is the settled state. Systems with separate readout transforms fail to recover identity after perturbation—even norm-preserving orthogonal transforms and trained decoders. This suggests that the SSA design principle (sync strength IS the attention weight) is not just elegant but appears structurally necessary for robustness under perturbation.</w:t>
      </w:r>
    </w:p>
    <w:p>
      <w:pPr>
        <w:pStyle w:val="Normal"/>
        <w:spacing w:lineRule="exact" w:line="276" w:before="0" w:after="200"/>
        <w:jc w:val="left"/>
        <w:rPr/>
      </w:pPr>
      <w:r>
        <w:rPr/>
      </w:r>
    </w:p>
    <w:p>
      <w:pPr>
        <w:pStyle w:val="Normal"/>
        <w:spacing w:lineRule="exact" w:line="276" w:before="0" w:after="200"/>
        <w:jc w:val="left"/>
        <w:rPr/>
      </w:pPr>
      <w:r>
        <w:rPr>
          <w:rFonts w:eastAsia="Times New Roman" w:cs="Times New Roman"/>
          <w:b w:val="false"/>
          <w:bCs w:val="false"/>
          <w:i w:val="false"/>
          <w:iCs w:val="false"/>
          <w:sz w:val="24"/>
          <w:szCs w:val="24"/>
        </w:rPr>
        <w:t>These experiments do not claim universality; they demonstrate that cross-domain structural convergence corresponds to measurable functional properties under controlled conditions.</w:t>
      </w:r>
    </w:p>
    <w:p>
      <w:pPr>
        <w:pStyle w:val="Normal"/>
        <w:spacing w:lineRule="exact" w:line="276" w:before="0" w:after="300"/>
        <w:jc w:val="left"/>
        <w:rPr/>
      </w:pPr>
      <w:r>
        <w:rPr>
          <w:rFonts w:eastAsia="Times New Roman" w:cs="Times New Roman"/>
          <w:b w:val="false"/>
          <w:bCs w:val="false"/>
          <w:i w:val="false"/>
          <w:iCs w:val="false"/>
          <w:sz w:val="24"/>
          <w:szCs w:val="24"/>
        </w:rPr>
        <w:t>The convergence is the hypothesis. The experiments test whether it reflects a privileged architecture class. The code is attached. The seeds are fixed. The results are reproducible. I welcome your questions and your scrutiny.</w:t>
      </w:r>
    </w:p>
    <w:p>
      <w:pPr>
        <w:pStyle w:val="Normal"/>
        <w:spacing w:lineRule="exact" w:line="276" w:before="0" w:after="40"/>
        <w:jc w:val="left"/>
        <w:rPr/>
      </w:pPr>
      <w:r>
        <w:rPr>
          <w:rFonts w:eastAsia="Times New Roman" w:cs="Times New Roman"/>
          <w:b/>
          <w:bCs/>
          <w:i w:val="false"/>
          <w:iCs w:val="false"/>
          <w:sz w:val="24"/>
          <w:szCs w:val="24"/>
        </w:rPr>
        <w:t>Matt Waltman</w:t>
      </w:r>
    </w:p>
    <w:p>
      <w:pPr>
        <w:pStyle w:val="Normal"/>
        <w:spacing w:lineRule="exact" w:line="276" w:before="0" w:after="200"/>
        <w:jc w:val="left"/>
        <w:rPr/>
      </w:pPr>
      <w:r>
        <w:rPr>
          <w:rFonts w:eastAsia="Times New Roman" w:cs="Times New Roman"/>
          <w:b w:val="false"/>
          <w:bCs w:val="false"/>
          <w:i w:val="false"/>
          <w:iCs w:val="false"/>
          <w:sz w:val="24"/>
          <w:szCs w:val="24"/>
        </w:rPr>
        <w:t>Richter Farms, Grundy County, Iowa</w:t>
      </w:r>
    </w:p>
    <w:p>
      <w:pPr>
        <w:pStyle w:val="Normal"/>
        <w:spacing w:lineRule="exact" w:line="276" w:before="0" w:after="200"/>
        <w:jc w:val="left"/>
        <w:rPr/>
      </w:pPr>
      <w:r>
        <w:rPr>
          <w:rFonts w:eastAsia="Times New Roman" w:cs="Times New Roman"/>
          <w:b w:val="false"/>
          <w:bCs w:val="false"/>
          <w:i w:val="false"/>
          <w:iCs w:val="false"/>
          <w:sz w:val="24"/>
          <w:szCs w:val="24"/>
        </w:rPr>
        <w:t>m</w:t>
      </w:r>
      <w:r>
        <w:rPr>
          <w:rFonts w:eastAsia="Times New Roman" w:cs="Times New Roman"/>
          <w:b w:val="false"/>
          <w:bCs w:val="false"/>
          <w:i w:val="false"/>
          <w:iCs w:val="false"/>
          <w:sz w:val="24"/>
          <w:szCs w:val="24"/>
        </w:rPr>
        <w:t>att.</w:t>
      </w:r>
      <w:r>
        <w:rPr>
          <w:rFonts w:eastAsia="Times New Roman" w:cs="Times New Roman"/>
          <w:b w:val="false"/>
          <w:bCs w:val="false"/>
          <w:i w:val="false"/>
          <w:iCs w:val="false"/>
          <w:sz w:val="24"/>
          <w:szCs w:val="24"/>
        </w:rPr>
        <w:t>richterfarms</w:t>
      </w:r>
      <w:r>
        <w:rPr>
          <w:rFonts w:eastAsia="Times New Roman" w:cs="Times New Roman"/>
          <w:b w:val="false"/>
          <w:bCs w:val="false"/>
          <w:i w:val="false"/>
          <w:iCs w:val="false"/>
          <w:sz w:val="24"/>
          <w:szCs w:val="24"/>
        </w:rPr>
        <w:t>@gmail</w:t>
      </w:r>
      <w:r>
        <w:rPr>
          <w:rFonts w:eastAsia="Times New Roman" w:cs="Times New Roman"/>
          <w:b w:val="false"/>
          <w:bCs w:val="false"/>
          <w:i w:val="false"/>
          <w:iCs w:val="false"/>
          <w:sz w:val="24"/>
          <w:szCs w:val="24"/>
        </w:rPr>
        <w:t>.com</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swiss"/>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val="false"/>
        <w:iCs w:val="false"/>
        <w:sz w:val="18"/>
        <w:szCs w:val="18"/>
      </w:rPr>
      <w:t xml:space="preserve">Page </w:t>
    </w: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b w:val="false"/>
        <w:bCs w:val="false"/>
        <w:i w:val="false"/>
        <w:iCs w:val="false"/>
        <w:sz w:val="18"/>
        <w:szCs w:val="18"/>
      </w:rPr>
      <w:t xml:space="preserve">Page </w:t>
    </w:r>
    <w:r>
      <w:rPr/>
      <w:fldChar w:fldCharType="begin"/>
    </w:r>
    <w:r>
      <w:rPr/>
      <w:instrText xml:space="preserve"> PAGE </w:instrText>
    </w:r>
    <w:r>
      <w:rPr/>
      <w:fldChar w:fldCharType="separate"/>
    </w:r>
    <w:r>
      <w:rPr/>
      <w:t>11</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Fonts w:eastAsia="Times New Roman" w:cs="Times New Roman"/>
        <w:b w:val="false"/>
        <w:bCs w:val="false"/>
        <w:i/>
        <w:iCs/>
        <w:sz w:val="18"/>
        <w:szCs w:val="18"/>
      </w:rPr>
      <w:t>Coherence Unit Cell — Experimental Validation</w:t>
    </w:r>
    <w:r>
      <w:rPr/>
      <w:tab/>
    </w:r>
    <w:r>
      <w:rPr>
        <w:rFonts w:eastAsia="Times New Roman" w:cs="Times New Roman"/>
        <w:b w:val="false"/>
        <w:bCs w:val="false"/>
        <w:i/>
        <w:iCs/>
        <w:sz w:val="18"/>
        <w:szCs w:val="18"/>
      </w:rPr>
      <w:t>Waltman,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Fonts w:eastAsia="Times New Roman" w:cs="Times New Roman"/>
        <w:b w:val="false"/>
        <w:bCs w:val="false"/>
        <w:i/>
        <w:iCs/>
        <w:sz w:val="18"/>
        <w:szCs w:val="18"/>
      </w:rPr>
      <w:t>Coherence Unit Cell — Experimental Validation</w:t>
    </w:r>
    <w:r>
      <w:rPr/>
      <w:tab/>
    </w:r>
    <w:r>
      <w:rPr>
        <w:rFonts w:eastAsia="Times New Roman" w:cs="Times New Roman"/>
        <w:b w:val="false"/>
        <w:bCs w:val="false"/>
        <w:i/>
        <w:iCs/>
        <w:sz w:val="18"/>
        <w:szCs w:val="18"/>
      </w:rPr>
      <w:t>Waltman, 2026</w:t>
    </w:r>
  </w:p>
</w:hdr>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120"/>
      <w:outlineLvl w:val="0"/>
    </w:pPr>
    <w:rPr>
      <w:rFonts w:ascii="Times New Roman" w:hAnsi="Times New Roman" w:eastAsia="Times New Roman" w:cs="Times New Roman"/>
      <w:b/>
      <w:bCs/>
      <w:sz w:val="32"/>
      <w:szCs w:val="32"/>
    </w:rPr>
  </w:style>
  <w:style w:type="paragraph" w:styleId="Heading2">
    <w:name w:val="Heading 2"/>
    <w:basedOn w:val="Heading"/>
    <w:qFormat/>
    <w:pPr>
      <w:spacing w:before="240" w:after="120"/>
      <w:outlineLvl w:val="1"/>
    </w:pPr>
    <w:rPr>
      <w:rFonts w:ascii="Times New Roman" w:hAnsi="Times New Roman" w:eastAsia="Times New Roman" w:cs="Times New Roman"/>
      <w:b/>
      <w:bCs/>
      <w:sz w:val="28"/>
      <w:szCs w:val="28"/>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11</Pages>
  <Words>2580</Words>
  <Characters>16436</Characters>
  <CharactersWithSpaces>18746</CharactersWithSpaces>
  <Paragraphs>263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2026-02-20T18:27:14Z</dcterms:created>
  <dc:creator>Un-named</dc:creator>
  <dc:description/>
  <dc:language>en-US</dc:language>
  <cp:lastModifiedBy/>
  <dcterms:modified xsi:type="dcterms:W3CDTF">2026-02-20T16:25:06Z</dcterms:modified>
  <cp:revision>2</cp:revision>
  <dc:subject/>
  <dc:title/>
</cp:coreProperties>
</file>