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Solution Comparison Report</w:t>
      </w:r>
    </w:p>
    <w:p>
      <w:pPr>
        <w:spacing w:after="80"/>
      </w:pPr>
      <w:r>
        <w:rPr>
          <w:b w:val="0"/>
          <w:i w:val="0"/>
          <w:color w:val="1F5BAC"/>
          <w:sz w:val="25"/>
        </w:rPr>
        <w:t>Acme Healthcare</w:t>
      </w:r>
    </w:p>
    <w:p>
      <w:pPr>
        <w:pBdr>
          <w:bottom w:val="single" w:sz="12" w:space="1" w:color="1A3A6C"/>
        </w:pBdr>
        <w:spacing w:after="80"/>
      </w:pPr>
    </w:p>
    <w:tbl>
      <w:tblPr>
        <w:tblW w:type="pct" w:w="5000"/>
        <w:tblBorders>
          <w:top w:val="nil"/>
          <w:left w:val="nil"/>
          <w:bottom w:val="nil"/>
          <w:right w:val="nil"/>
          <w:insideH w:val="nil"/>
          <w:insideV w:val="nil"/>
        </w:tblBorders>
        <w:tblLayout w:type="fixed"/>
        <w:tblLook w:firstColumn="1" w:firstRow="1" w:lastColumn="0" w:lastRow="0" w:noHBand="0" w:noVBand="1" w:val="04A0"/>
      </w:tblPr>
      <w:tblGrid>
        <w:gridCol w:w="2160"/>
        <w:gridCol w:w="7776"/>
      </w:tblGrid>
      <w:tr>
        <w:trPr>
          <w:cantSplit/>
        </w:trPr>
        <w:tc>
          <w:tcPr>
            <w:tcW w:type="dxa" w:w="2160"/>
            <w:tcMar>
              <w:top w:w="50" w:type="dxa"/>
              <w:left w:w="90" w:type="dxa"/>
              <w:bottom w:w="50" w:type="dxa"/>
              <w:right w:w="90" w:type="dxa"/>
            </w:tcMar>
          </w:tcPr>
          <w:p>
            <w:pPr>
              <w:spacing w:after="0" w:line="252" w:lineRule="auto"/>
            </w:pPr>
            <w:r/>
            <w:r>
              <w:rPr>
                <w:b/>
                <w:i w:val="0"/>
                <w:color w:val="57606A"/>
                <w:sz w:val="19"/>
              </w:rPr>
              <w:t>Prepared for</w:t>
            </w:r>
          </w:p>
        </w:tc>
        <w:tc>
          <w:tcPr>
            <w:tcW w:type="dxa" w:w="7776"/>
            <w:tcMar>
              <w:top w:w="50" w:type="dxa"/>
              <w:left w:w="90" w:type="dxa"/>
              <w:bottom w:w="50" w:type="dxa"/>
              <w:right w:w="90" w:type="dxa"/>
            </w:tcMar>
          </w:tcPr>
          <w:p>
            <w:pPr>
              <w:spacing w:after="0" w:line="252" w:lineRule="auto"/>
            </w:pPr>
            <w:r/>
            <w:r>
              <w:rPr>
                <w:b w:val="0"/>
                <w:i w:val="0"/>
                <w:sz w:val="19"/>
              </w:rPr>
              <w:t>Acme Healthcare</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Account</w:t>
            </w:r>
          </w:p>
        </w:tc>
        <w:tc>
          <w:tcPr>
            <w:tcW w:type="dxa" w:w="7776"/>
            <w:tcMar>
              <w:top w:w="50" w:type="dxa"/>
              <w:left w:w="90" w:type="dxa"/>
              <w:bottom w:w="50" w:type="dxa"/>
              <w:right w:w="90" w:type="dxa"/>
            </w:tcMar>
          </w:tcPr>
          <w:p>
            <w:pPr>
              <w:spacing w:after="0" w:line="252" w:lineRule="auto"/>
            </w:pPr>
            <w:r/>
            <w:r>
              <w:rPr>
                <w:b w:val="0"/>
                <w:i w:val="0"/>
                <w:sz w:val="19"/>
              </w:rPr>
              <w:t>Acme Healthcare</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Opportunity</w:t>
            </w:r>
          </w:p>
        </w:tc>
        <w:tc>
          <w:tcPr>
            <w:tcW w:type="dxa" w:w="7776"/>
            <w:tcMar>
              <w:top w:w="50" w:type="dxa"/>
              <w:left w:w="90" w:type="dxa"/>
              <w:bottom w:w="50" w:type="dxa"/>
              <w:right w:w="90" w:type="dxa"/>
            </w:tcMar>
          </w:tcPr>
          <w:p>
            <w:pPr>
              <w:spacing w:after="0" w:line="252" w:lineRule="auto"/>
            </w:pPr>
            <w:r/>
            <w:r>
              <w:rPr>
                <w:b w:val="0"/>
                <w:i w:val="0"/>
                <w:sz w:val="19"/>
              </w:rPr>
              <w:t>Acme Healthcare storage modernization</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Generated</w:t>
            </w:r>
          </w:p>
        </w:tc>
        <w:tc>
          <w:tcPr>
            <w:tcW w:type="dxa" w:w="7776"/>
            <w:tcMar>
              <w:top w:w="50" w:type="dxa"/>
              <w:left w:w="90" w:type="dxa"/>
              <w:bottom w:w="50" w:type="dxa"/>
              <w:right w:w="90" w:type="dxa"/>
            </w:tcMar>
          </w:tcPr>
          <w:p>
            <w:pPr>
              <w:spacing w:after="0" w:line="252" w:lineRule="auto"/>
            </w:pPr>
            <w:r/>
            <w:r>
              <w:rPr>
                <w:b w:val="0"/>
                <w:i w:val="0"/>
                <w:sz w:val="19"/>
              </w:rPr>
              <w:t>2026-10-29 21:55 UTC</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Data basis</w:t>
            </w:r>
          </w:p>
        </w:tc>
        <w:tc>
          <w:tcPr>
            <w:tcW w:type="dxa" w:w="7776"/>
            <w:tcMar>
              <w:top w:w="50" w:type="dxa"/>
              <w:left w:w="90" w:type="dxa"/>
              <w:bottom w:w="50" w:type="dxa"/>
              <w:right w:w="90" w:type="dxa"/>
            </w:tcMar>
          </w:tcPr>
          <w:p>
            <w:pPr>
              <w:spacing w:after="0" w:line="252" w:lineRule="auto"/>
            </w:pPr>
            <w:r/>
            <w:r>
              <w:rPr>
                <w:b w:val="0"/>
                <w:i w:val="0"/>
                <w:sz w:val="19"/>
              </w:rPr>
              <w:t>Synthetic demonstration CRM data</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Status</w:t>
            </w:r>
          </w:p>
        </w:tc>
        <w:tc>
          <w:tcPr>
            <w:tcW w:type="dxa" w:w="7776"/>
            <w:tcMar>
              <w:top w:w="50" w:type="dxa"/>
              <w:left w:w="90" w:type="dxa"/>
              <w:bottom w:w="50" w:type="dxa"/>
              <w:right w:w="90" w:type="dxa"/>
            </w:tcMar>
          </w:tcPr>
          <w:p>
            <w:pPr>
              <w:spacing w:after="0" w:line="252" w:lineRule="auto"/>
            </w:pPr>
            <w:r/>
            <w:r>
              <w:rPr>
                <w:b w:val="0"/>
                <w:i w:val="0"/>
                <w:sz w:val="19"/>
              </w:rPr>
              <w:t>DRAFT - for seller review before any external use</w:t>
            </w:r>
          </w:p>
        </w:tc>
      </w:tr>
    </w:tbl>
    <w:p>
      <w:pPr>
        <w:spacing w:after="40"/>
      </w:pPr>
    </w:p>
    <w:p>
      <w:pPr>
        <w:pStyle w:val="Heading1"/>
      </w:pPr>
      <w:r>
        <w:t>Executive summary</w:t>
      </w:r>
    </w:p>
    <w:tbl>
      <w:tblPr>
        <w:tblW w:type="pct" w:w="50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firstColumn="1" w:firstRow="1" w:lastColumn="0" w:lastRow="0" w:noHBand="0" w:noVBand="1" w:val="04A0"/>
      </w:tblPr>
      <w:tblGrid>
        <w:gridCol w:w="2484"/>
        <w:gridCol w:w="2484"/>
        <w:gridCol w:w="2484"/>
        <w:gridCol w:w="2484"/>
      </w:tblGrid>
      <w:tr>
        <w:trPr>
          <w:cantSplit/>
        </w:trPr>
        <w:tc>
          <w:tcPr>
            <w:tcW w:type="dxa" w:w="2484"/>
            <w:shd w:val="clear" w:color="auto" w:fill="EBF0F8"/>
            <w:tcMar>
              <w:top w:w="90" w:type="dxa"/>
              <w:left w:w="110" w:type="dxa"/>
              <w:bottom w:w="90" w:type="dxa"/>
              <w:right w:w="110" w:type="dxa"/>
            </w:tcMar>
          </w:tcPr>
          <w:p>
            <w:pPr>
              <w:spacing w:after="0"/>
              <w:jc w:val="center"/>
            </w:pPr>
            <w:r/>
            <w:r>
              <w:rPr>
                <w:b/>
                <w:i w:val="0"/>
                <w:color w:val="1A3A6C"/>
                <w:sz w:val="34"/>
              </w:rPr>
              <w:t>4</w:t>
            </w:r>
          </w:p>
          <w:p>
            <w:pPr>
              <w:spacing w:after="0"/>
              <w:jc w:val="center"/>
            </w:pPr>
            <w:r>
              <w:rPr>
                <w:b w:val="0"/>
                <w:i w:val="0"/>
                <w:color w:val="57606A"/>
                <w:sz w:val="17"/>
              </w:rPr>
              <w:t>Products compared</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7</w:t>
            </w:r>
          </w:p>
          <w:p>
            <w:pPr>
              <w:spacing w:after="0"/>
              <w:jc w:val="center"/>
            </w:pPr>
            <w:r>
              <w:rPr>
                <w:b w:val="0"/>
                <w:i w:val="0"/>
                <w:color w:val="57606A"/>
                <w:sz w:val="17"/>
              </w:rPr>
              <w:t>Requirements</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6</w:t>
            </w:r>
          </w:p>
          <w:p>
            <w:pPr>
              <w:spacing w:after="0"/>
              <w:jc w:val="center"/>
            </w:pPr>
            <w:r>
              <w:rPr>
                <w:b w:val="0"/>
                <w:i w:val="0"/>
                <w:color w:val="57606A"/>
                <w:sz w:val="17"/>
              </w:rPr>
              <w:t>Not yet validated</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0</w:t>
            </w:r>
          </w:p>
          <w:p>
            <w:pPr>
              <w:spacing w:after="0"/>
              <w:jc w:val="center"/>
            </w:pPr>
            <w:r>
              <w:rPr>
                <w:b w:val="0"/>
                <w:i w:val="0"/>
                <w:color w:val="57606A"/>
                <w:sz w:val="17"/>
              </w:rPr>
              <w:t>Unverified entries</w:t>
            </w:r>
          </w:p>
        </w:tc>
      </w:tr>
    </w:tbl>
    <w:p>
      <w:pPr>
        <w:spacing w:after="40"/>
      </w:pPr>
    </w:p>
    <w:p>
      <w:pPr>
        <w:pStyle w:val="ListBullet"/>
      </w:pPr>
      <w:r>
        <w:t>4 catalog product(s) compared against 7 customer requirement(s).</w:t>
      </w:r>
    </w:p>
    <w:p>
      <w:pPr>
        <w:pStyle w:val="ListBullet"/>
      </w:pPr>
      <w:r>
        <w:t>Fit statuses reflect documented catalog text only. Absence of documentation is shown as Unknown, not as lack of support.</w:t>
      </w:r>
    </w:p>
    <w:p>
      <w:pPr>
        <w:pStyle w:val="ListBullet"/>
      </w:pPr>
      <w:r>
        <w:t>6 requirement(s) are not yet validated by any candidate.</w:t>
      </w:r>
    </w:p>
    <w:p>
      <w:r>
        <w:rPr>
          <w:b w:val="0"/>
          <w:i/>
          <w:color w:val="57606A"/>
          <w:sz w:val="19"/>
        </w:rPr>
        <w:t>This comparison uses only documented catalog text. It contains no pricing, no guaranteed recovery times, no performance benchmarks and no competitive claims. It is a preliminary aid for seller and solutions-engineer review, not a validated configuration or quote.</w:t>
      </w:r>
    </w:p>
    <w:p>
      <w:pPr>
        <w:pStyle w:val="Heading1"/>
      </w:pPr>
      <w:r>
        <w:t>Preliminary direction</w:t>
      </w:r>
    </w:p>
    <w:p>
      <w:pPr>
        <w:keepNext/>
      </w:pPr>
      <w:r>
        <w:rPr>
          <w:b/>
          <w:i w:val="0"/>
          <w:color w:val="8A5A00"/>
          <w:sz w:val="17"/>
        </w:rPr>
        <w:t>[AI-GENERATED]</w:t>
      </w:r>
      <w:r>
        <w:rPr>
          <w:b w:val="0"/>
          <w:i w:val="0"/>
        </w:rPr>
        <w:t xml:space="preserve">  Preliminary - worth exploring, not a recommendation or validated fit</w:t>
      </w:r>
    </w:p>
    <w:p>
      <w:pPr>
        <w:pStyle w:val="ListBullet"/>
      </w:pPr>
      <w:r>
        <w:t>IBM FlashSystem 5200: 1 requirement(s) Supported and 2 Partially supported by verified catalog evidence.</w:t>
      </w:r>
    </w:p>
    <w:p>
      <w:pPr>
        <w:pStyle w:val="ListBullet"/>
      </w:pPr>
      <w:r>
        <w:t>IBM FlashSystem 7300: 0 requirement(s) Supported and 4 Partially supported by verified catalog evidence.</w:t>
      </w:r>
    </w:p>
    <w:p>
      <w:pPr>
        <w:pStyle w:val="ListBullet"/>
      </w:pPr>
      <w:r>
        <w:t>IBM Spectrum Virtualize: 0 requirement(s) Supported and 4 Partially supported by verified catalog evidence.</w:t>
      </w:r>
    </w:p>
    <w:p>
      <w:pPr>
        <w:pStyle w:val="ListBullet"/>
      </w:pPr>
      <w:r>
        <w:t>IBM Cloud Object Storage: 0 requirement(s) Supported and 2 Partially supported by verified catalog evidence.</w:t>
      </w:r>
    </w:p>
    <w:p>
      <w:pPr>
        <w:pStyle w:val="Heading3"/>
      </w:pPr>
      <w:r>
        <w:t>Caveats</w:t>
      </w:r>
    </w:p>
    <w:p>
      <w:pPr>
        <w:pStyle w:val="ListBullet"/>
      </w:pPr>
      <w:r>
        <w:t>Preliminary and based only on catalog text; not a validated configuration, sizing or quote.</w:t>
      </w:r>
    </w:p>
    <w:p>
      <w:pPr>
        <w:pStyle w:val="ListBullet"/>
      </w:pPr>
      <w:r>
        <w:t>No pricing, guaranteed recovery times, performance benchmarks or competitive claims are provided.</w:t>
      </w:r>
    </w:p>
    <w:p>
      <w:pPr>
        <w:pStyle w:val="ListBullet"/>
      </w:pPr>
      <w:r>
        <w:t>Absence of documentation is shown as Unknown, not as lack of support.</w:t>
      </w:r>
    </w:p>
    <w:p>
      <w:pPr>
        <w:pStyle w:val="ListBullet"/>
      </w:pPr>
      <w:r>
        <w:t>Every Supported or Partially supported result still needs specialist validation of sizing, topology and compatibility.</w:t>
      </w:r>
    </w:p>
    <w:p>
      <w:pPr>
        <w:pStyle w:val="Heading1"/>
      </w:pPr>
      <w:r>
        <w:t>Requirement fit matrix</w:t>
      </w:r>
    </w:p>
    <w:p>
      <w:pPr>
        <w:keepNext/>
      </w:pPr>
      <w:r>
        <w:rPr>
          <w:b/>
          <w:i w:val="0"/>
          <w:color w:val="1F5BAC"/>
          <w:sz w:val="17"/>
        </w:rPr>
        <w:t>[SYNTHETIC CRM]</w:t>
      </w:r>
      <w:r>
        <w:rPr>
          <w:b w:val="0"/>
          <w:i w:val="0"/>
        </w:rPr>
        <w:t xml:space="preserve">  Requirements come from the CRM opportunity.</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3744"/>
        <w:gridCol w:w="1548"/>
        <w:gridCol w:w="1548"/>
        <w:gridCol w:w="1548"/>
        <w:gridCol w:w="1548"/>
      </w:tblGrid>
      <w:tr>
        <w:trPr>
          <w:cantSplit/>
          <w:tblHeader/>
        </w:trPr>
        <w:tc>
          <w:tcPr>
            <w:tcW w:type="dxa" w:w="3744"/>
            <w:shd w:val="clear" w:color="auto" w:fill="1A3A6C"/>
            <w:tcMar>
              <w:top w:w="50" w:type="dxa"/>
              <w:left w:w="90" w:type="dxa"/>
              <w:bottom w:w="50" w:type="dxa"/>
              <w:right w:w="90" w:type="dxa"/>
            </w:tcMar>
          </w:tcPr>
          <w:p>
            <w:pPr>
              <w:keepNext/>
              <w:spacing w:after="0" w:line="252" w:lineRule="auto"/>
            </w:pPr>
            <w:r/>
            <w:r>
              <w:rPr>
                <w:b/>
                <w:i w:val="0"/>
                <w:color w:val="FFFFFF"/>
                <w:sz w:val="19"/>
              </w:rPr>
              <w:t>Requirement</w:t>
            </w:r>
          </w:p>
        </w:tc>
        <w:tc>
          <w:tcPr>
            <w:tcW w:type="dxa" w:w="1548"/>
            <w:shd w:val="clear" w:color="auto" w:fill="1A3A6C"/>
            <w:tcMar>
              <w:top w:w="50" w:type="dxa"/>
              <w:left w:w="90" w:type="dxa"/>
              <w:bottom w:w="50" w:type="dxa"/>
              <w:right w:w="90" w:type="dxa"/>
            </w:tcMar>
          </w:tcPr>
          <w:p>
            <w:pPr>
              <w:keepNext/>
              <w:spacing w:after="0" w:line="252" w:lineRule="auto"/>
            </w:pPr>
            <w:r/>
            <w:r>
              <w:rPr>
                <w:b/>
                <w:i w:val="0"/>
                <w:color w:val="FFFFFF"/>
                <w:sz w:val="19"/>
              </w:rPr>
              <w:t>IBM FlashSystem 7300</w:t>
            </w:r>
          </w:p>
        </w:tc>
        <w:tc>
          <w:tcPr>
            <w:tcW w:type="dxa" w:w="1548"/>
            <w:shd w:val="clear" w:color="auto" w:fill="1A3A6C"/>
            <w:tcMar>
              <w:top w:w="50" w:type="dxa"/>
              <w:left w:w="90" w:type="dxa"/>
              <w:bottom w:w="50" w:type="dxa"/>
              <w:right w:w="90" w:type="dxa"/>
            </w:tcMar>
          </w:tcPr>
          <w:p>
            <w:pPr>
              <w:keepNext/>
              <w:spacing w:after="0" w:line="252" w:lineRule="auto"/>
            </w:pPr>
            <w:r/>
            <w:r>
              <w:rPr>
                <w:b/>
                <w:i w:val="0"/>
                <w:color w:val="FFFFFF"/>
                <w:sz w:val="19"/>
              </w:rPr>
              <w:t>IBM Spectrum Virtualize</w:t>
            </w:r>
          </w:p>
        </w:tc>
        <w:tc>
          <w:tcPr>
            <w:tcW w:type="dxa" w:w="1548"/>
            <w:shd w:val="clear" w:color="auto" w:fill="1A3A6C"/>
            <w:tcMar>
              <w:top w:w="50" w:type="dxa"/>
              <w:left w:w="90" w:type="dxa"/>
              <w:bottom w:w="50" w:type="dxa"/>
              <w:right w:w="90" w:type="dxa"/>
            </w:tcMar>
          </w:tcPr>
          <w:p>
            <w:pPr>
              <w:keepNext/>
              <w:spacing w:after="0" w:line="252" w:lineRule="auto"/>
            </w:pPr>
            <w:r/>
            <w:r>
              <w:rPr>
                <w:b/>
                <w:i w:val="0"/>
                <w:color w:val="FFFFFF"/>
                <w:sz w:val="19"/>
              </w:rPr>
              <w:t>IBM FlashSystem 5200</w:t>
            </w:r>
          </w:p>
        </w:tc>
        <w:tc>
          <w:tcPr>
            <w:tcW w:type="dxa" w:w="1548"/>
            <w:shd w:val="clear" w:color="auto" w:fill="1A3A6C"/>
            <w:tcMar>
              <w:top w:w="50" w:type="dxa"/>
              <w:left w:w="90" w:type="dxa"/>
              <w:bottom w:w="50" w:type="dxa"/>
              <w:right w:w="90" w:type="dxa"/>
            </w:tcMar>
          </w:tcPr>
          <w:p>
            <w:pPr>
              <w:keepNext/>
              <w:spacing w:after="0" w:line="252" w:lineRule="auto"/>
            </w:pPr>
            <w:r/>
            <w:r>
              <w:rPr>
                <w:b/>
                <w:i w:val="0"/>
                <w:color w:val="FFFFFF"/>
                <w:sz w:val="19"/>
              </w:rPr>
              <w:t>IBM Cloud Object Storage</w:t>
            </w:r>
          </w:p>
        </w:tc>
      </w:tr>
      <w:tr>
        <w:trPr>
          <w:cantSplit/>
        </w:trPr>
        <w:tc>
          <w:tcPr>
            <w:tcW w:type="dxa" w:w="3744"/>
            <w:tcMar>
              <w:top w:w="50" w:type="dxa"/>
              <w:left w:w="90" w:type="dxa"/>
              <w:bottom w:w="50" w:type="dxa"/>
              <w:right w:w="90" w:type="dxa"/>
            </w:tcMar>
          </w:tcPr>
          <w:p>
            <w:pPr>
              <w:keepNext/>
              <w:spacing w:after="0" w:line="252" w:lineRule="auto"/>
            </w:pPr>
            <w:r/>
            <w:r>
              <w:rPr>
                <w:b w:val="0"/>
                <w:i w:val="0"/>
                <w:sz w:val="19"/>
              </w:rPr>
              <w:t>REQ-1: Replace aging primary storage arrays before end-of-support deadline (within 18 months)</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r>
      <w:tr>
        <w:trPr>
          <w:cantSplit/>
        </w:trPr>
        <w:tc>
          <w:tcPr>
            <w:tcW w:type="dxa" w:w="3744"/>
            <w:shd w:val="clear" w:color="auto" w:fill="F3F6FB"/>
            <w:tcMar>
              <w:top w:w="50" w:type="dxa"/>
              <w:left w:w="90" w:type="dxa"/>
              <w:bottom w:w="50" w:type="dxa"/>
              <w:right w:w="90" w:type="dxa"/>
            </w:tcMar>
          </w:tcPr>
          <w:p>
            <w:pPr>
              <w:keepNext/>
              <w:spacing w:after="0" w:line="252" w:lineRule="auto"/>
            </w:pPr>
            <w:r/>
            <w:r>
              <w:rPr>
                <w:b w:val="0"/>
                <w:i w:val="0"/>
                <w:sz w:val="19"/>
              </w:rPr>
              <w:t>REQ-2: High availability with no single point of failure for clinical systems</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E3F1E6"/>
            <w:tcMar>
              <w:top w:w="50" w:type="dxa"/>
              <w:left w:w="90" w:type="dxa"/>
              <w:bottom w:w="50" w:type="dxa"/>
              <w:right w:w="90" w:type="dxa"/>
            </w:tcMar>
          </w:tcPr>
          <w:p>
            <w:pPr>
              <w:keepNext/>
              <w:spacing w:after="0" w:line="252" w:lineRule="auto"/>
              <w:jc w:val="center"/>
            </w:pPr>
            <w:r/>
            <w:r>
              <w:rPr>
                <w:b/>
                <w:i w:val="0"/>
                <w:color w:val="1E6B34"/>
                <w:sz w:val="17"/>
              </w:rPr>
              <w:t>Supported</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r>
      <w:tr>
        <w:trPr>
          <w:cantSplit/>
        </w:trPr>
        <w:tc>
          <w:tcPr>
            <w:tcW w:type="dxa" w:w="3744"/>
            <w:tcMar>
              <w:top w:w="50" w:type="dxa"/>
              <w:left w:w="90" w:type="dxa"/>
              <w:bottom w:w="50" w:type="dxa"/>
              <w:right w:w="90" w:type="dxa"/>
            </w:tcMar>
          </w:tcPr>
          <w:p>
            <w:pPr>
              <w:keepNext/>
              <w:spacing w:after="0" w:line="252" w:lineRule="auto"/>
            </w:pPr>
            <w:r/>
            <w:r>
              <w:rPr>
                <w:b w:val="0"/>
                <w:i w:val="0"/>
                <w:sz w:val="19"/>
              </w:rPr>
              <w:t>REQ-3: Disaster recovery with recovery time objective under four hours</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r>
      <w:tr>
        <w:trPr>
          <w:cantSplit/>
        </w:trPr>
        <w:tc>
          <w:tcPr>
            <w:tcW w:type="dxa" w:w="3744"/>
            <w:shd w:val="clear" w:color="auto" w:fill="F3F6FB"/>
            <w:tcMar>
              <w:top w:w="50" w:type="dxa"/>
              <w:left w:w="90" w:type="dxa"/>
              <w:bottom w:w="50" w:type="dxa"/>
              <w:right w:w="90" w:type="dxa"/>
            </w:tcMar>
          </w:tcPr>
          <w:p>
            <w:pPr>
              <w:keepNext/>
              <w:spacing w:after="0" w:line="252" w:lineRule="auto"/>
            </w:pPr>
            <w:r/>
            <w:r>
              <w:rPr>
                <w:b w:val="0"/>
                <w:i w:val="0"/>
                <w:sz w:val="19"/>
              </w:rPr>
              <w:t>REQ-4: Encryption at rest for patient data (HIPAA compliance)</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r>
      <w:tr>
        <w:trPr>
          <w:cantSplit/>
        </w:trPr>
        <w:tc>
          <w:tcPr>
            <w:tcW w:type="dxa" w:w="3744"/>
            <w:tcMar>
              <w:top w:w="50" w:type="dxa"/>
              <w:left w:w="90" w:type="dxa"/>
              <w:bottom w:w="50" w:type="dxa"/>
              <w:right w:w="90" w:type="dxa"/>
            </w:tcMar>
          </w:tcPr>
          <w:p>
            <w:pPr>
              <w:keepNext/>
              <w:spacing w:after="0" w:line="252" w:lineRule="auto"/>
            </w:pPr>
            <w:r/>
            <w:r>
              <w:rPr>
                <w:b w:val="0"/>
                <w:i w:val="0"/>
                <w:sz w:val="19"/>
              </w:rPr>
              <w:t>REQ-5: Centralised management to reduce operational burden on a small IT team</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r>
      <w:tr>
        <w:trPr>
          <w:cantSplit/>
        </w:trPr>
        <w:tc>
          <w:tcPr>
            <w:tcW w:type="dxa" w:w="3744"/>
            <w:shd w:val="clear" w:color="auto" w:fill="F3F6FB"/>
            <w:tcMar>
              <w:top w:w="50" w:type="dxa"/>
              <w:left w:w="90" w:type="dxa"/>
              <w:bottom w:w="50" w:type="dxa"/>
              <w:right w:w="90" w:type="dxa"/>
            </w:tcMar>
          </w:tcPr>
          <w:p>
            <w:pPr>
              <w:keepNext/>
              <w:spacing w:after="0" w:line="252" w:lineRule="auto"/>
            </w:pPr>
            <w:r/>
            <w:r>
              <w:rPr>
                <w:b w:val="0"/>
                <w:i w:val="0"/>
                <w:sz w:val="19"/>
              </w:rPr>
              <w:t>REQ-6: Increasing storage capacity demands from medical imaging workloads</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c>
          <w:tcPr>
            <w:tcW w:type="dxa" w:w="15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 / insufficient evidence</w:t>
            </w:r>
          </w:p>
        </w:tc>
        <w:tc>
          <w:tcPr>
            <w:tcW w:type="dxa" w:w="15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Partially supported</w:t>
            </w:r>
          </w:p>
        </w:tc>
      </w:tr>
      <w:tr>
        <w:trPr>
          <w:cantSplit/>
        </w:trPr>
        <w:tc>
          <w:tcPr>
            <w:tcW w:type="dxa" w:w="3744"/>
            <w:tcMar>
              <w:top w:w="50" w:type="dxa"/>
              <w:left w:w="90" w:type="dxa"/>
              <w:bottom w:w="50" w:type="dxa"/>
              <w:right w:w="90" w:type="dxa"/>
            </w:tcMar>
          </w:tcPr>
          <w:p>
            <w:pPr>
              <w:spacing w:after="0" w:line="252" w:lineRule="auto"/>
            </w:pPr>
            <w:r/>
            <w:r>
              <w:rPr>
                <w:b w:val="0"/>
                <w:i w:val="0"/>
                <w:sz w:val="19"/>
              </w:rPr>
              <w:t>REQ-7: Regulatory compliance obligations under HIPAA for data protection and audit trails</w:t>
            </w:r>
          </w:p>
        </w:tc>
        <w:tc>
          <w:tcPr>
            <w:tcW w:type="dxa" w:w="1548"/>
            <w:shd w:val="clear" w:color="auto" w:fill="ECEEF1"/>
            <w:tcMar>
              <w:top w:w="50" w:type="dxa"/>
              <w:left w:w="90" w:type="dxa"/>
              <w:bottom w:w="50" w:type="dxa"/>
              <w:right w:w="90" w:type="dxa"/>
            </w:tcMar>
          </w:tcPr>
          <w:p>
            <w:pPr>
              <w:spacing w:after="0" w:line="252" w:lineRule="auto"/>
              <w:jc w:val="center"/>
            </w:pPr>
            <w:r/>
            <w:r>
              <w:rPr>
                <w:b/>
                <w:i w:val="0"/>
                <w:color w:val="57606A"/>
                <w:sz w:val="17"/>
              </w:rPr>
              <w:t>Unknown / insufficient evidence</w:t>
            </w:r>
          </w:p>
        </w:tc>
        <w:tc>
          <w:tcPr>
            <w:tcW w:type="dxa" w:w="1548"/>
            <w:shd w:val="clear" w:color="auto" w:fill="ECEEF1"/>
            <w:tcMar>
              <w:top w:w="50" w:type="dxa"/>
              <w:left w:w="90" w:type="dxa"/>
              <w:bottom w:w="50" w:type="dxa"/>
              <w:right w:w="90" w:type="dxa"/>
            </w:tcMar>
          </w:tcPr>
          <w:p>
            <w:pPr>
              <w:spacing w:after="0" w:line="252" w:lineRule="auto"/>
              <w:jc w:val="center"/>
            </w:pPr>
            <w:r/>
            <w:r>
              <w:rPr>
                <w:b/>
                <w:i w:val="0"/>
                <w:color w:val="57606A"/>
                <w:sz w:val="17"/>
              </w:rPr>
              <w:t>Unknown / insufficient evidence</w:t>
            </w:r>
          </w:p>
        </w:tc>
        <w:tc>
          <w:tcPr>
            <w:tcW w:type="dxa" w:w="1548"/>
            <w:shd w:val="clear" w:color="auto" w:fill="ECEEF1"/>
            <w:tcMar>
              <w:top w:w="50" w:type="dxa"/>
              <w:left w:w="90" w:type="dxa"/>
              <w:bottom w:w="50" w:type="dxa"/>
              <w:right w:w="90" w:type="dxa"/>
            </w:tcMar>
          </w:tcPr>
          <w:p>
            <w:pPr>
              <w:spacing w:after="0" w:line="252" w:lineRule="auto"/>
              <w:jc w:val="center"/>
            </w:pPr>
            <w:r/>
            <w:r>
              <w:rPr>
                <w:b/>
                <w:i w:val="0"/>
                <w:color w:val="57606A"/>
                <w:sz w:val="17"/>
              </w:rPr>
              <w:t>Unknown / insufficient evidence</w:t>
            </w:r>
          </w:p>
        </w:tc>
        <w:tc>
          <w:tcPr>
            <w:tcW w:type="dxa" w:w="1548"/>
            <w:shd w:val="clear" w:color="auto" w:fill="ECEEF1"/>
            <w:tcMar>
              <w:top w:w="50" w:type="dxa"/>
              <w:left w:w="90" w:type="dxa"/>
              <w:bottom w:w="50" w:type="dxa"/>
              <w:right w:w="90" w:type="dxa"/>
            </w:tcMar>
          </w:tcPr>
          <w:p>
            <w:pPr>
              <w:spacing w:after="0" w:line="252" w:lineRule="auto"/>
              <w:jc w:val="center"/>
            </w:pPr>
            <w:r/>
            <w:r>
              <w:rPr>
                <w:b/>
                <w:i w:val="0"/>
                <w:color w:val="57606A"/>
                <w:sz w:val="17"/>
              </w:rPr>
              <w:t>Unknown / insufficient evidence</w:t>
            </w:r>
          </w:p>
        </w:tc>
      </w:tr>
    </w:tbl>
    <w:p/>
    <w:p>
      <w:r>
        <w:rPr>
          <w:b w:val="0"/>
          <w:i w:val="0"/>
          <w:color w:val="57606A"/>
          <w:sz w:val="18"/>
        </w:rPr>
        <w:t>Statuses: Supported, Partially supported, Not supported, Unknown / insufficient evidence.</w:t>
      </w:r>
    </w:p>
    <w:p>
      <w:pPr>
        <w:pStyle w:val="Heading1"/>
      </w:pPr>
      <w:r>
        <w:t>Products compared</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3168"/>
        <w:gridCol w:w="1296"/>
        <w:gridCol w:w="1152"/>
        <w:gridCol w:w="1296"/>
        <w:gridCol w:w="1296"/>
        <w:gridCol w:w="1728"/>
      </w:tblGrid>
      <w:tr>
        <w:trPr>
          <w:cantSplit/>
          <w:tblHeader/>
        </w:trPr>
        <w:tc>
          <w:tcPr>
            <w:tcW w:type="dxa" w:w="3168"/>
            <w:shd w:val="clear" w:color="auto" w:fill="1A3A6C"/>
            <w:tcMar>
              <w:top w:w="50" w:type="dxa"/>
              <w:left w:w="90" w:type="dxa"/>
              <w:bottom w:w="50" w:type="dxa"/>
              <w:right w:w="90" w:type="dxa"/>
            </w:tcMar>
          </w:tcPr>
          <w:p>
            <w:pPr>
              <w:keepNext/>
              <w:spacing w:after="0" w:line="252" w:lineRule="auto"/>
            </w:pPr>
            <w:r/>
            <w:r>
              <w:rPr>
                <w:b/>
                <w:i w:val="0"/>
                <w:color w:val="FFFFFF"/>
                <w:sz w:val="19"/>
              </w:rPr>
              <w:t>Product</w:t>
            </w:r>
          </w:p>
        </w:tc>
        <w:tc>
          <w:tcPr>
            <w:tcW w:type="dxa" w:w="1296"/>
            <w:shd w:val="clear" w:color="auto" w:fill="1A3A6C"/>
            <w:tcMar>
              <w:top w:w="50" w:type="dxa"/>
              <w:left w:w="90" w:type="dxa"/>
              <w:bottom w:w="50" w:type="dxa"/>
              <w:right w:w="90" w:type="dxa"/>
            </w:tcMar>
          </w:tcPr>
          <w:p>
            <w:pPr>
              <w:keepNext/>
              <w:spacing w:after="0" w:line="252" w:lineRule="auto"/>
            </w:pPr>
            <w:r/>
            <w:r>
              <w:rPr>
                <w:b/>
                <w:i w:val="0"/>
                <w:color w:val="FFFFFF"/>
                <w:sz w:val="19"/>
              </w:rPr>
              <w:t>Supported</w:t>
            </w:r>
          </w:p>
        </w:tc>
        <w:tc>
          <w:tcPr>
            <w:tcW w:type="dxa" w:w="1152"/>
            <w:shd w:val="clear" w:color="auto" w:fill="1A3A6C"/>
            <w:tcMar>
              <w:top w:w="50" w:type="dxa"/>
              <w:left w:w="90" w:type="dxa"/>
              <w:bottom w:w="50" w:type="dxa"/>
              <w:right w:w="90" w:type="dxa"/>
            </w:tcMar>
          </w:tcPr>
          <w:p>
            <w:pPr>
              <w:keepNext/>
              <w:spacing w:after="0" w:line="252" w:lineRule="auto"/>
            </w:pPr>
            <w:r/>
            <w:r>
              <w:rPr>
                <w:b/>
                <w:i w:val="0"/>
                <w:color w:val="FFFFFF"/>
                <w:sz w:val="19"/>
              </w:rPr>
              <w:t>Partial</w:t>
            </w:r>
          </w:p>
        </w:tc>
        <w:tc>
          <w:tcPr>
            <w:tcW w:type="dxa" w:w="1296"/>
            <w:shd w:val="clear" w:color="auto" w:fill="1A3A6C"/>
            <w:tcMar>
              <w:top w:w="50" w:type="dxa"/>
              <w:left w:w="90" w:type="dxa"/>
              <w:bottom w:w="50" w:type="dxa"/>
              <w:right w:w="90" w:type="dxa"/>
            </w:tcMar>
          </w:tcPr>
          <w:p>
            <w:pPr>
              <w:keepNext/>
              <w:spacing w:after="0" w:line="252" w:lineRule="auto"/>
            </w:pPr>
            <w:r/>
            <w:r>
              <w:rPr>
                <w:b/>
                <w:i w:val="0"/>
                <w:color w:val="FFFFFF"/>
                <w:sz w:val="19"/>
              </w:rPr>
              <w:t>Not supported</w:t>
            </w:r>
          </w:p>
        </w:tc>
        <w:tc>
          <w:tcPr>
            <w:tcW w:type="dxa" w:w="1296"/>
            <w:shd w:val="clear" w:color="auto" w:fill="1A3A6C"/>
            <w:tcMar>
              <w:top w:w="50" w:type="dxa"/>
              <w:left w:w="90" w:type="dxa"/>
              <w:bottom w:w="50" w:type="dxa"/>
              <w:right w:w="90" w:type="dxa"/>
            </w:tcMar>
          </w:tcPr>
          <w:p>
            <w:pPr>
              <w:keepNext/>
              <w:spacing w:after="0" w:line="252" w:lineRule="auto"/>
            </w:pPr>
            <w:r/>
            <w:r>
              <w:rPr>
                <w:b/>
                <w:i w:val="0"/>
                <w:color w:val="FFFFFF"/>
                <w:sz w:val="19"/>
              </w:rPr>
              <w:t>Unknown</w:t>
            </w:r>
          </w:p>
        </w:tc>
        <w:tc>
          <w:tcPr>
            <w:tcW w:type="dxa" w:w="1728"/>
            <w:shd w:val="clear" w:color="auto" w:fill="1A3A6C"/>
            <w:tcMar>
              <w:top w:w="50" w:type="dxa"/>
              <w:left w:w="90" w:type="dxa"/>
              <w:bottom w:w="50" w:type="dxa"/>
              <w:right w:w="90" w:type="dxa"/>
            </w:tcMar>
          </w:tcPr>
          <w:p>
            <w:pPr>
              <w:keepNext/>
              <w:spacing w:after="0" w:line="252" w:lineRule="auto"/>
            </w:pPr>
            <w:r/>
            <w:r>
              <w:rPr>
                <w:b/>
                <w:i w:val="0"/>
                <w:color w:val="FFFFFF"/>
                <w:sz w:val="19"/>
              </w:rPr>
              <w:t>Catalog entry</w:t>
            </w:r>
          </w:p>
        </w:tc>
      </w:tr>
      <w:tr>
        <w:trPr>
          <w:cantSplit/>
        </w:trPr>
        <w:tc>
          <w:tcPr>
            <w:tcW w:type="dxa" w:w="3168"/>
            <w:tcMar>
              <w:top w:w="50" w:type="dxa"/>
              <w:left w:w="90" w:type="dxa"/>
              <w:bottom w:w="50" w:type="dxa"/>
              <w:right w:w="90" w:type="dxa"/>
            </w:tcMar>
          </w:tcPr>
          <w:p>
            <w:pPr>
              <w:keepNext/>
              <w:spacing w:after="0" w:line="252" w:lineRule="auto"/>
            </w:pPr>
            <w:r/>
            <w:r>
              <w:rPr>
                <w:b w:val="0"/>
                <w:i w:val="0"/>
                <w:sz w:val="19"/>
              </w:rPr>
              <w:t>IBM FlashSystem 7300</w:t>
            </w:r>
          </w:p>
        </w:tc>
        <w:tc>
          <w:tcPr>
            <w:tcW w:type="dxa" w:w="1296"/>
            <w:tcMar>
              <w:top w:w="50" w:type="dxa"/>
              <w:left w:w="90" w:type="dxa"/>
              <w:bottom w:w="50" w:type="dxa"/>
              <w:right w:w="90" w:type="dxa"/>
            </w:tcMar>
          </w:tcPr>
          <w:p>
            <w:pPr>
              <w:keepNext/>
              <w:spacing w:after="0" w:line="252" w:lineRule="auto"/>
            </w:pPr>
            <w:r/>
            <w:r>
              <w:rPr>
                <w:b w:val="0"/>
                <w:i w:val="0"/>
                <w:sz w:val="19"/>
              </w:rPr>
              <w:t>0</w:t>
            </w:r>
          </w:p>
        </w:tc>
        <w:tc>
          <w:tcPr>
            <w:tcW w:type="dxa" w:w="1152"/>
            <w:tcMar>
              <w:top w:w="50" w:type="dxa"/>
              <w:left w:w="90" w:type="dxa"/>
              <w:bottom w:w="50" w:type="dxa"/>
              <w:right w:w="90" w:type="dxa"/>
            </w:tcMar>
          </w:tcPr>
          <w:p>
            <w:pPr>
              <w:keepNext/>
              <w:spacing w:after="0" w:line="252" w:lineRule="auto"/>
            </w:pPr>
            <w:r/>
            <w:r>
              <w:rPr>
                <w:b w:val="0"/>
                <w:i w:val="0"/>
                <w:sz w:val="19"/>
              </w:rPr>
              <w:t>4</w:t>
            </w:r>
          </w:p>
        </w:tc>
        <w:tc>
          <w:tcPr>
            <w:tcW w:type="dxa" w:w="1296"/>
            <w:tcMar>
              <w:top w:w="50" w:type="dxa"/>
              <w:left w:w="90" w:type="dxa"/>
              <w:bottom w:w="50" w:type="dxa"/>
              <w:right w:w="90" w:type="dxa"/>
            </w:tcMar>
          </w:tcPr>
          <w:p>
            <w:pPr>
              <w:keepNext/>
              <w:spacing w:after="0" w:line="252" w:lineRule="auto"/>
            </w:pPr>
            <w:r/>
            <w:r>
              <w:rPr>
                <w:b w:val="0"/>
                <w:i w:val="0"/>
                <w:sz w:val="19"/>
              </w:rPr>
              <w:t>0</w:t>
            </w:r>
          </w:p>
        </w:tc>
        <w:tc>
          <w:tcPr>
            <w:tcW w:type="dxa" w:w="1296"/>
            <w:tcMar>
              <w:top w:w="50" w:type="dxa"/>
              <w:left w:w="90" w:type="dxa"/>
              <w:bottom w:w="50" w:type="dxa"/>
              <w:right w:w="90" w:type="dxa"/>
            </w:tcMar>
          </w:tcPr>
          <w:p>
            <w:pPr>
              <w:keepNext/>
              <w:spacing w:after="0" w:line="252" w:lineRule="auto"/>
            </w:pPr>
            <w:r/>
            <w:r>
              <w:rPr>
                <w:b w:val="0"/>
                <w:i w:val="0"/>
                <w:sz w:val="19"/>
              </w:rPr>
              <w:t>3</w:t>
            </w:r>
          </w:p>
        </w:tc>
        <w:tc>
          <w:tcPr>
            <w:tcW w:type="dxa" w:w="1728"/>
            <w:tcMar>
              <w:top w:w="50" w:type="dxa"/>
              <w:left w:w="90" w:type="dxa"/>
              <w:bottom w:w="50" w:type="dxa"/>
              <w:right w:w="90" w:type="dxa"/>
            </w:tcMar>
          </w:tcPr>
          <w:p>
            <w:pPr>
              <w:keepNext/>
              <w:spacing w:after="0" w:line="252" w:lineRule="auto"/>
            </w:pPr>
            <w:r/>
            <w:r>
              <w:rPr>
                <w:b w:val="0"/>
                <w:i w:val="0"/>
                <w:sz w:val="19"/>
              </w:rPr>
              <w:t>verified</w:t>
            </w:r>
          </w:p>
        </w:tc>
      </w:tr>
      <w:tr>
        <w:trPr>
          <w:cantSplit/>
        </w:trPr>
        <w:tc>
          <w:tcPr>
            <w:tcW w:type="dxa" w:w="3168"/>
            <w:shd w:val="clear" w:color="auto" w:fill="F3F6FB"/>
            <w:tcMar>
              <w:top w:w="50" w:type="dxa"/>
              <w:left w:w="90" w:type="dxa"/>
              <w:bottom w:w="50" w:type="dxa"/>
              <w:right w:w="90" w:type="dxa"/>
            </w:tcMar>
          </w:tcPr>
          <w:p>
            <w:pPr>
              <w:keepNext/>
              <w:spacing w:after="0" w:line="252" w:lineRule="auto"/>
            </w:pPr>
            <w:r/>
            <w:r>
              <w:rPr>
                <w:b w:val="0"/>
                <w:i w:val="0"/>
                <w:sz w:val="19"/>
              </w:rPr>
              <w:t>IBM Spectrum Virtualize</w:t>
            </w:r>
          </w:p>
        </w:tc>
        <w:tc>
          <w:tcPr>
            <w:tcW w:type="dxa" w:w="1296"/>
            <w:shd w:val="clear" w:color="auto" w:fill="F3F6FB"/>
            <w:tcMar>
              <w:top w:w="50" w:type="dxa"/>
              <w:left w:w="90" w:type="dxa"/>
              <w:bottom w:w="50" w:type="dxa"/>
              <w:right w:w="90" w:type="dxa"/>
            </w:tcMar>
          </w:tcPr>
          <w:p>
            <w:pPr>
              <w:keepNext/>
              <w:spacing w:after="0" w:line="252" w:lineRule="auto"/>
            </w:pPr>
            <w:r/>
            <w:r>
              <w:rPr>
                <w:b w:val="0"/>
                <w:i w:val="0"/>
                <w:sz w:val="19"/>
              </w:rPr>
              <w:t>0</w:t>
            </w:r>
          </w:p>
        </w:tc>
        <w:tc>
          <w:tcPr>
            <w:tcW w:type="dxa" w:w="1152"/>
            <w:shd w:val="clear" w:color="auto" w:fill="F3F6FB"/>
            <w:tcMar>
              <w:top w:w="50" w:type="dxa"/>
              <w:left w:w="90" w:type="dxa"/>
              <w:bottom w:w="50" w:type="dxa"/>
              <w:right w:w="90" w:type="dxa"/>
            </w:tcMar>
          </w:tcPr>
          <w:p>
            <w:pPr>
              <w:keepNext/>
              <w:spacing w:after="0" w:line="252" w:lineRule="auto"/>
            </w:pPr>
            <w:r/>
            <w:r>
              <w:rPr>
                <w:b w:val="0"/>
                <w:i w:val="0"/>
                <w:sz w:val="19"/>
              </w:rPr>
              <w:t>4</w:t>
            </w:r>
          </w:p>
        </w:tc>
        <w:tc>
          <w:tcPr>
            <w:tcW w:type="dxa" w:w="1296"/>
            <w:shd w:val="clear" w:color="auto" w:fill="F3F6FB"/>
            <w:tcMar>
              <w:top w:w="50" w:type="dxa"/>
              <w:left w:w="90" w:type="dxa"/>
              <w:bottom w:w="50" w:type="dxa"/>
              <w:right w:w="90" w:type="dxa"/>
            </w:tcMar>
          </w:tcPr>
          <w:p>
            <w:pPr>
              <w:keepNext/>
              <w:spacing w:after="0" w:line="252" w:lineRule="auto"/>
            </w:pPr>
            <w:r/>
            <w:r>
              <w:rPr>
                <w:b w:val="0"/>
                <w:i w:val="0"/>
                <w:sz w:val="19"/>
              </w:rPr>
              <w:t>0</w:t>
            </w:r>
          </w:p>
        </w:tc>
        <w:tc>
          <w:tcPr>
            <w:tcW w:type="dxa" w:w="1296"/>
            <w:shd w:val="clear" w:color="auto" w:fill="F3F6FB"/>
            <w:tcMar>
              <w:top w:w="50" w:type="dxa"/>
              <w:left w:w="90" w:type="dxa"/>
              <w:bottom w:w="50" w:type="dxa"/>
              <w:right w:w="90" w:type="dxa"/>
            </w:tcMar>
          </w:tcPr>
          <w:p>
            <w:pPr>
              <w:keepNext/>
              <w:spacing w:after="0" w:line="252" w:lineRule="auto"/>
            </w:pPr>
            <w:r/>
            <w:r>
              <w:rPr>
                <w:b w:val="0"/>
                <w:i w:val="0"/>
                <w:sz w:val="19"/>
              </w:rPr>
              <w:t>3</w:t>
            </w:r>
          </w:p>
        </w:tc>
        <w:tc>
          <w:tcPr>
            <w:tcW w:type="dxa" w:w="1728"/>
            <w:shd w:val="clear" w:color="auto" w:fill="F3F6FB"/>
            <w:tcMar>
              <w:top w:w="50" w:type="dxa"/>
              <w:left w:w="90" w:type="dxa"/>
              <w:bottom w:w="50" w:type="dxa"/>
              <w:right w:w="90" w:type="dxa"/>
            </w:tcMar>
          </w:tcPr>
          <w:p>
            <w:pPr>
              <w:keepNext/>
              <w:spacing w:after="0" w:line="252" w:lineRule="auto"/>
            </w:pPr>
            <w:r/>
            <w:r>
              <w:rPr>
                <w:b w:val="0"/>
                <w:i w:val="0"/>
                <w:sz w:val="19"/>
              </w:rPr>
              <w:t>verified</w:t>
            </w:r>
          </w:p>
        </w:tc>
      </w:tr>
      <w:tr>
        <w:trPr>
          <w:cantSplit/>
        </w:trPr>
        <w:tc>
          <w:tcPr>
            <w:tcW w:type="dxa" w:w="3168"/>
            <w:tcMar>
              <w:top w:w="50" w:type="dxa"/>
              <w:left w:w="90" w:type="dxa"/>
              <w:bottom w:w="50" w:type="dxa"/>
              <w:right w:w="90" w:type="dxa"/>
            </w:tcMar>
          </w:tcPr>
          <w:p>
            <w:pPr>
              <w:keepNext/>
              <w:spacing w:after="0" w:line="252" w:lineRule="auto"/>
            </w:pPr>
            <w:r/>
            <w:r>
              <w:rPr>
                <w:b w:val="0"/>
                <w:i w:val="0"/>
                <w:sz w:val="19"/>
              </w:rPr>
              <w:t>IBM FlashSystem 5200</w:t>
            </w:r>
          </w:p>
        </w:tc>
        <w:tc>
          <w:tcPr>
            <w:tcW w:type="dxa" w:w="1296"/>
            <w:tcMar>
              <w:top w:w="50" w:type="dxa"/>
              <w:left w:w="90" w:type="dxa"/>
              <w:bottom w:w="50" w:type="dxa"/>
              <w:right w:w="90" w:type="dxa"/>
            </w:tcMar>
          </w:tcPr>
          <w:p>
            <w:pPr>
              <w:keepNext/>
              <w:spacing w:after="0" w:line="252" w:lineRule="auto"/>
            </w:pPr>
            <w:r/>
            <w:r>
              <w:rPr>
                <w:b w:val="0"/>
                <w:i w:val="0"/>
                <w:sz w:val="19"/>
              </w:rPr>
              <w:t>1</w:t>
            </w:r>
          </w:p>
        </w:tc>
        <w:tc>
          <w:tcPr>
            <w:tcW w:type="dxa" w:w="1152"/>
            <w:tcMar>
              <w:top w:w="50" w:type="dxa"/>
              <w:left w:w="90" w:type="dxa"/>
              <w:bottom w:w="50" w:type="dxa"/>
              <w:right w:w="90" w:type="dxa"/>
            </w:tcMar>
          </w:tcPr>
          <w:p>
            <w:pPr>
              <w:keepNext/>
              <w:spacing w:after="0" w:line="252" w:lineRule="auto"/>
            </w:pPr>
            <w:r/>
            <w:r>
              <w:rPr>
                <w:b w:val="0"/>
                <w:i w:val="0"/>
                <w:sz w:val="19"/>
              </w:rPr>
              <w:t>2</w:t>
            </w:r>
          </w:p>
        </w:tc>
        <w:tc>
          <w:tcPr>
            <w:tcW w:type="dxa" w:w="1296"/>
            <w:tcMar>
              <w:top w:w="50" w:type="dxa"/>
              <w:left w:w="90" w:type="dxa"/>
              <w:bottom w:w="50" w:type="dxa"/>
              <w:right w:w="90" w:type="dxa"/>
            </w:tcMar>
          </w:tcPr>
          <w:p>
            <w:pPr>
              <w:keepNext/>
              <w:spacing w:after="0" w:line="252" w:lineRule="auto"/>
            </w:pPr>
            <w:r/>
            <w:r>
              <w:rPr>
                <w:b w:val="0"/>
                <w:i w:val="0"/>
                <w:sz w:val="19"/>
              </w:rPr>
              <w:t>0</w:t>
            </w:r>
          </w:p>
        </w:tc>
        <w:tc>
          <w:tcPr>
            <w:tcW w:type="dxa" w:w="1296"/>
            <w:tcMar>
              <w:top w:w="50" w:type="dxa"/>
              <w:left w:w="90" w:type="dxa"/>
              <w:bottom w:w="50" w:type="dxa"/>
              <w:right w:w="90" w:type="dxa"/>
            </w:tcMar>
          </w:tcPr>
          <w:p>
            <w:pPr>
              <w:keepNext/>
              <w:spacing w:after="0" w:line="252" w:lineRule="auto"/>
            </w:pPr>
            <w:r/>
            <w:r>
              <w:rPr>
                <w:b w:val="0"/>
                <w:i w:val="0"/>
                <w:sz w:val="19"/>
              </w:rPr>
              <w:t>4</w:t>
            </w:r>
          </w:p>
        </w:tc>
        <w:tc>
          <w:tcPr>
            <w:tcW w:type="dxa" w:w="1728"/>
            <w:tcMar>
              <w:top w:w="50" w:type="dxa"/>
              <w:left w:w="90" w:type="dxa"/>
              <w:bottom w:w="50" w:type="dxa"/>
              <w:right w:w="90" w:type="dxa"/>
            </w:tcMar>
          </w:tcPr>
          <w:p>
            <w:pPr>
              <w:keepNext/>
              <w:spacing w:after="0" w:line="252" w:lineRule="auto"/>
            </w:pPr>
            <w:r/>
            <w:r>
              <w:rPr>
                <w:b w:val="0"/>
                <w:i w:val="0"/>
                <w:sz w:val="19"/>
              </w:rPr>
              <w:t>verified</w:t>
            </w:r>
          </w:p>
        </w:tc>
      </w:tr>
      <w:tr>
        <w:trPr>
          <w:cantSplit/>
        </w:trPr>
        <w:tc>
          <w:tcPr>
            <w:tcW w:type="dxa" w:w="3168"/>
            <w:shd w:val="clear" w:color="auto" w:fill="F3F6FB"/>
            <w:tcMar>
              <w:top w:w="50" w:type="dxa"/>
              <w:left w:w="90" w:type="dxa"/>
              <w:bottom w:w="50" w:type="dxa"/>
              <w:right w:w="90" w:type="dxa"/>
            </w:tcMar>
          </w:tcPr>
          <w:p>
            <w:pPr>
              <w:spacing w:after="0" w:line="252" w:lineRule="auto"/>
            </w:pPr>
            <w:r/>
            <w:r>
              <w:rPr>
                <w:b w:val="0"/>
                <w:i w:val="0"/>
                <w:sz w:val="19"/>
              </w:rPr>
              <w:t>IBM Cloud Object Storage</w:t>
            </w:r>
          </w:p>
        </w:tc>
        <w:tc>
          <w:tcPr>
            <w:tcW w:type="dxa" w:w="1296"/>
            <w:shd w:val="clear" w:color="auto" w:fill="F3F6FB"/>
            <w:tcMar>
              <w:top w:w="50" w:type="dxa"/>
              <w:left w:w="90" w:type="dxa"/>
              <w:bottom w:w="50" w:type="dxa"/>
              <w:right w:w="90" w:type="dxa"/>
            </w:tcMar>
          </w:tcPr>
          <w:p>
            <w:pPr>
              <w:spacing w:after="0" w:line="252" w:lineRule="auto"/>
            </w:pPr>
            <w:r/>
            <w:r>
              <w:rPr>
                <w:b w:val="0"/>
                <w:i w:val="0"/>
                <w:sz w:val="19"/>
              </w:rPr>
              <w:t>0</w:t>
            </w:r>
          </w:p>
        </w:tc>
        <w:tc>
          <w:tcPr>
            <w:tcW w:type="dxa" w:w="1152"/>
            <w:shd w:val="clear" w:color="auto" w:fill="F3F6FB"/>
            <w:tcMar>
              <w:top w:w="50" w:type="dxa"/>
              <w:left w:w="90" w:type="dxa"/>
              <w:bottom w:w="50" w:type="dxa"/>
              <w:right w:w="90" w:type="dxa"/>
            </w:tcMar>
          </w:tcPr>
          <w:p>
            <w:pPr>
              <w:spacing w:after="0" w:line="252" w:lineRule="auto"/>
            </w:pPr>
            <w:r/>
            <w:r>
              <w:rPr>
                <w:b w:val="0"/>
                <w:i w:val="0"/>
                <w:sz w:val="19"/>
              </w:rPr>
              <w:t>2</w:t>
            </w:r>
          </w:p>
        </w:tc>
        <w:tc>
          <w:tcPr>
            <w:tcW w:type="dxa" w:w="1296"/>
            <w:shd w:val="clear" w:color="auto" w:fill="F3F6FB"/>
            <w:tcMar>
              <w:top w:w="50" w:type="dxa"/>
              <w:left w:w="90" w:type="dxa"/>
              <w:bottom w:w="50" w:type="dxa"/>
              <w:right w:w="90" w:type="dxa"/>
            </w:tcMar>
          </w:tcPr>
          <w:p>
            <w:pPr>
              <w:spacing w:after="0" w:line="252" w:lineRule="auto"/>
            </w:pPr>
            <w:r/>
            <w:r>
              <w:rPr>
                <w:b w:val="0"/>
                <w:i w:val="0"/>
                <w:sz w:val="19"/>
              </w:rPr>
              <w:t>0</w:t>
            </w:r>
          </w:p>
        </w:tc>
        <w:tc>
          <w:tcPr>
            <w:tcW w:type="dxa" w:w="1296"/>
            <w:shd w:val="clear" w:color="auto" w:fill="F3F6FB"/>
            <w:tcMar>
              <w:top w:w="50" w:type="dxa"/>
              <w:left w:w="90" w:type="dxa"/>
              <w:bottom w:w="50" w:type="dxa"/>
              <w:right w:w="90" w:type="dxa"/>
            </w:tcMar>
          </w:tcPr>
          <w:p>
            <w:pPr>
              <w:spacing w:after="0" w:line="252" w:lineRule="auto"/>
            </w:pPr>
            <w:r/>
            <w:r>
              <w:rPr>
                <w:b w:val="0"/>
                <w:i w:val="0"/>
                <w:sz w:val="19"/>
              </w:rPr>
              <w:t>5</w:t>
            </w:r>
          </w:p>
        </w:tc>
        <w:tc>
          <w:tcPr>
            <w:tcW w:type="dxa" w:w="1728"/>
            <w:shd w:val="clear" w:color="auto" w:fill="F3F6FB"/>
            <w:tcMar>
              <w:top w:w="50" w:type="dxa"/>
              <w:left w:w="90" w:type="dxa"/>
              <w:bottom w:w="50" w:type="dxa"/>
              <w:right w:w="90" w:type="dxa"/>
            </w:tcMar>
          </w:tcPr>
          <w:p>
            <w:pPr>
              <w:spacing w:after="0" w:line="252" w:lineRule="auto"/>
            </w:pPr>
            <w:r/>
            <w:r>
              <w:rPr>
                <w:b w:val="0"/>
                <w:i w:val="0"/>
                <w:sz w:val="19"/>
              </w:rPr>
              <w:t>verified</w:t>
            </w:r>
          </w:p>
        </w:tc>
      </w:tr>
    </w:tbl>
    <w:p/>
    <w:p>
      <w:pPr>
        <w:pStyle w:val="Heading2"/>
      </w:pPr>
      <w:r>
        <w:t>IBM FlashSystem 7300</w:t>
      </w:r>
    </w:p>
    <w:p>
      <w:pPr>
        <w:keepNext/>
      </w:pPr>
      <w:r>
        <w:rPr>
          <w:b/>
          <w:i w:val="0"/>
          <w:color w:val="1E6B34"/>
          <w:sz w:val="17"/>
        </w:rPr>
        <w:t>[VERIFIED]</w:t>
      </w:r>
      <w:r>
        <w:rPr>
          <w:b w:val="0"/>
          <w:i w:val="0"/>
        </w:rPr>
        <w:t xml:space="preserve">  Catalog entry verified on 2026-10-01.</w:t>
      </w:r>
    </w:p>
    <w:p>
      <w:pPr>
        <w:pStyle w:val="Heading3"/>
      </w:pPr>
      <w:r>
        <w:t>Documented capabilities matched to requirements</w:t>
      </w:r>
    </w:p>
    <w:p>
      <w:pPr>
        <w:pStyle w:val="ListBullet"/>
      </w:pPr>
      <w:r>
        <w:t>REQ-2: IBM HyperSwap for active-active high availability across two sites (Partially supported)</w:t>
      </w:r>
    </w:p>
    <w:p>
      <w:pPr>
        <w:pStyle w:val="ListBullet"/>
      </w:pPr>
      <w:r>
        <w:t>REQ-3: IBM Safeguarded Copy for immutable, air-gapped backup snapshots (Partially supported)</w:t>
      </w:r>
    </w:p>
    <w:p>
      <w:pPr>
        <w:pStyle w:val="ListBullet"/>
      </w:pPr>
      <w:r>
        <w:t>REQ-4: Encryption at rest with FIPS 140-2 validated drives (Partially supported)</w:t>
      </w:r>
    </w:p>
    <w:p>
      <w:pPr>
        <w:pStyle w:val="ListBullet"/>
      </w:pPr>
      <w:r>
        <w:t>REQ-5: IBM Spectrum Virtualize for unified management across heterogeneous storage (Partially supported)</w:t>
      </w:r>
    </w:p>
    <w:p>
      <w:pPr>
        <w:pStyle w:val="Heading3"/>
      </w:pPr>
      <w:r>
        <w:t>Documented limitations</w:t>
      </w:r>
    </w:p>
    <w:p>
      <w:pPr>
        <w:pStyle w:val="ListBullet"/>
      </w:pPr>
      <w:r>
        <w:t>Higher performance tier — validate whether workload requirements justify the additional capability</w:t>
      </w:r>
    </w:p>
    <w:p>
      <w:pPr>
        <w:pStyle w:val="ListBullet"/>
      </w:pPr>
      <w:r>
        <w:t>Safeguarded Copy schedules must be planned; recovery from immutable copies requires a tested runbook</w:t>
      </w:r>
    </w:p>
    <w:p>
      <w:pPr>
        <w:pStyle w:val="ListBullet"/>
      </w:pPr>
      <w:r>
        <w:t>AI-driven compression effectiveness depends on data type — validate with a proof of concept for specific workloads</w:t>
      </w:r>
    </w:p>
    <w:p>
      <w:pPr>
        <w:pStyle w:val="Heading3"/>
      </w:pPr>
      <w:r>
        <w:t>Needs specialist validation</w:t>
      </w:r>
    </w:p>
    <w:p>
      <w:pPr>
        <w:pStyle w:val="ListBullet"/>
      </w:pPr>
      <w:r>
        <w:t>Workload IOPS and latency requirements</w:t>
      </w:r>
    </w:p>
    <w:p>
      <w:pPr>
        <w:pStyle w:val="ListBullet"/>
      </w:pPr>
      <w:r>
        <w:t>Ransomware detection sensitivity tuning for specific data patterns</w:t>
      </w:r>
    </w:p>
    <w:p>
      <w:pPr>
        <w:pStyle w:val="ListBullet"/>
      </w:pPr>
      <w:r>
        <w:t>Safeguarded Copy retention schedule and recovery runbook</w:t>
      </w:r>
    </w:p>
    <w:p>
      <w:pPr>
        <w:pStyle w:val="Heading2"/>
      </w:pPr>
      <w:r>
        <w:t>IBM Spectrum Virtualize</w:t>
      </w:r>
    </w:p>
    <w:p>
      <w:pPr>
        <w:keepNext/>
      </w:pPr>
      <w:r>
        <w:rPr>
          <w:b/>
          <w:i w:val="0"/>
          <w:color w:val="1E6B34"/>
          <w:sz w:val="17"/>
        </w:rPr>
        <w:t>[VERIFIED]</w:t>
      </w:r>
      <w:r>
        <w:rPr>
          <w:b w:val="0"/>
          <w:i w:val="0"/>
        </w:rPr>
        <w:t xml:space="preserve">  Catalog entry verified on 2026-10-01.</w:t>
      </w:r>
    </w:p>
    <w:p>
      <w:pPr>
        <w:pStyle w:val="Heading3"/>
      </w:pPr>
      <w:r>
        <w:t>Documented capabilities matched to requirements</w:t>
      </w:r>
    </w:p>
    <w:p>
      <w:pPr>
        <w:pStyle w:val="ListBullet"/>
      </w:pPr>
      <w:r>
        <w:t>REQ-1: Virtualisation of third-party storage arrays into a unified pool; Non-disruptive data migration between storage systems (Partially supported)</w:t>
      </w:r>
    </w:p>
    <w:p>
      <w:pPr>
        <w:pStyle w:val="ListBullet"/>
      </w:pPr>
      <w:r>
        <w:t>REQ-2: IBM HyperSwap for active-active HA across two sites (Partially supported)</w:t>
      </w:r>
    </w:p>
    <w:p>
      <w:pPr>
        <w:pStyle w:val="ListBullet"/>
      </w:pPr>
      <w:r>
        <w:t>REQ-3: Synchronous and asynchronous replication for disaster recovery; IBM Safeguarded Copy for immutable point-in-time recovery (Partially supported)</w:t>
      </w:r>
    </w:p>
    <w:p>
      <w:pPr>
        <w:pStyle w:val="ListBullet"/>
      </w:pPr>
      <w:r>
        <w:t>REQ-5: Virtualisation of third-party storage arrays into a unified pool; Consistent management interface across IBM FlashSystem family (Partially supported)</w:t>
      </w:r>
    </w:p>
    <w:p>
      <w:pPr>
        <w:pStyle w:val="Heading3"/>
      </w:pPr>
      <w:r>
        <w:t>Documented limitations</w:t>
      </w:r>
    </w:p>
    <w:p>
      <w:pPr>
        <w:pStyle w:val="ListBullet"/>
      </w:pPr>
      <w:r>
        <w:t>Virtualising third-party arrays requires a compatibility check against the IBM Interoperability Matrix</w:t>
      </w:r>
    </w:p>
    <w:p>
      <w:pPr>
        <w:pStyle w:val="ListBullet"/>
      </w:pPr>
      <w:r>
        <w:t>Replication performance depends on inter-site bandwidth and latency</w:t>
      </w:r>
    </w:p>
    <w:p>
      <w:pPr>
        <w:pStyle w:val="ListBullet"/>
      </w:pPr>
      <w:r>
        <w:t>Non-disruptive migration timelines depend on data volume and I/O load</w:t>
      </w:r>
    </w:p>
    <w:p>
      <w:pPr>
        <w:pStyle w:val="Heading3"/>
      </w:pPr>
      <w:r>
        <w:t>Needs specialist validation</w:t>
      </w:r>
    </w:p>
    <w:p>
      <w:pPr>
        <w:pStyle w:val="ListBullet"/>
      </w:pPr>
      <w:r>
        <w:t>Compatibility of existing third-party storage with Spectrum Virtualize</w:t>
      </w:r>
    </w:p>
    <w:p>
      <w:pPr>
        <w:pStyle w:val="ListBullet"/>
      </w:pPr>
      <w:r>
        <w:t>Network bandwidth for replication and migration</w:t>
      </w:r>
    </w:p>
    <w:p>
      <w:pPr>
        <w:pStyle w:val="ListBullet"/>
      </w:pPr>
      <w:r>
        <w:t>Licensing model for specific features</w:t>
      </w:r>
    </w:p>
    <w:p>
      <w:pPr>
        <w:pStyle w:val="Heading2"/>
      </w:pPr>
      <w:r>
        <w:t>IBM FlashSystem 5200</w:t>
      </w:r>
    </w:p>
    <w:p>
      <w:pPr>
        <w:keepNext/>
      </w:pPr>
      <w:r>
        <w:rPr>
          <w:b/>
          <w:i w:val="0"/>
          <w:color w:val="1E6B34"/>
          <w:sz w:val="17"/>
        </w:rPr>
        <w:t>[VERIFIED]</w:t>
      </w:r>
      <w:r>
        <w:rPr>
          <w:b w:val="0"/>
          <w:i w:val="0"/>
        </w:rPr>
        <w:t xml:space="preserve">  Catalog entry verified on 2026-10-01.</w:t>
      </w:r>
    </w:p>
    <w:p>
      <w:pPr>
        <w:pStyle w:val="Heading3"/>
      </w:pPr>
      <w:r>
        <w:t>Documented capabilities matched to requirements</w:t>
      </w:r>
    </w:p>
    <w:p>
      <w:pPr>
        <w:pStyle w:val="ListBullet"/>
      </w:pPr>
      <w:r>
        <w:t>REQ-2: High availability with no single point of failure; IBM HyperSwap for transparent failover between sites (Supported)</w:t>
      </w:r>
    </w:p>
    <w:p>
      <w:pPr>
        <w:pStyle w:val="ListBullet"/>
      </w:pPr>
      <w:r>
        <w:t>REQ-3: Replication to on-premises or IBM Cloud for disaster recovery (Partially supported)</w:t>
      </w:r>
    </w:p>
    <w:p>
      <w:pPr>
        <w:pStyle w:val="ListBullet"/>
      </w:pPr>
      <w:r>
        <w:t>REQ-4: Encryption at rest using FIPS 140-2 validated drives (Partially supported)</w:t>
      </w:r>
    </w:p>
    <w:p>
      <w:pPr>
        <w:pStyle w:val="Heading3"/>
      </w:pPr>
      <w:r>
        <w:t>Documented limitations</w:t>
      </w:r>
    </w:p>
    <w:p>
      <w:pPr>
        <w:pStyle w:val="ListBullet"/>
      </w:pPr>
      <w:r>
        <w:t>HyperSwap requires two storage systems at separate sites — validate site topology with a specialist</w:t>
      </w:r>
    </w:p>
    <w:p>
      <w:pPr>
        <w:pStyle w:val="ListBullet"/>
      </w:pPr>
      <w:r>
        <w:t>Maximum raw capacity scales with enclosure count — sizing must be confirmed for specific workloads</w:t>
      </w:r>
    </w:p>
    <w:p>
      <w:pPr>
        <w:pStyle w:val="ListBullet"/>
      </w:pPr>
      <w:r>
        <w:t>Replication bandwidth requirements must be assessed for the customer's network</w:t>
      </w:r>
    </w:p>
    <w:p>
      <w:pPr>
        <w:pStyle w:val="Heading3"/>
      </w:pPr>
      <w:r>
        <w:t>Needs specialist validation</w:t>
      </w:r>
    </w:p>
    <w:p>
      <w:pPr>
        <w:pStyle w:val="ListBullet"/>
      </w:pPr>
      <w:r>
        <w:t>Workload sizing and performance requirements</w:t>
      </w:r>
    </w:p>
    <w:p>
      <w:pPr>
        <w:pStyle w:val="ListBullet"/>
      </w:pPr>
      <w:r>
        <w:t>Network topology for replication</w:t>
      </w:r>
    </w:p>
    <w:p>
      <w:pPr>
        <w:pStyle w:val="ListBullet"/>
      </w:pPr>
      <w:r>
        <w:t>Compatibility with existing host bus adapters and switches</w:t>
      </w:r>
    </w:p>
    <w:p>
      <w:pPr>
        <w:pStyle w:val="Heading2"/>
      </w:pPr>
      <w:r>
        <w:t>IBM Cloud Object Storage</w:t>
      </w:r>
    </w:p>
    <w:p>
      <w:pPr>
        <w:keepNext/>
      </w:pPr>
      <w:r>
        <w:rPr>
          <w:b/>
          <w:i w:val="0"/>
          <w:color w:val="1E6B34"/>
          <w:sz w:val="17"/>
        </w:rPr>
        <w:t>[VERIFIED]</w:t>
      </w:r>
      <w:r>
        <w:rPr>
          <w:b w:val="0"/>
          <w:i w:val="0"/>
        </w:rPr>
        <w:t xml:space="preserve">  Catalog entry verified on 2026-10-01.</w:t>
      </w:r>
    </w:p>
    <w:p>
      <w:pPr>
        <w:pStyle w:val="Heading3"/>
      </w:pPr>
      <w:r>
        <w:t>Documented capabilities matched to requirements</w:t>
      </w:r>
    </w:p>
    <w:p>
      <w:pPr>
        <w:pStyle w:val="ListBullet"/>
      </w:pPr>
      <w:r>
        <w:t>REQ-4: Data encryption in transit (TLS) and at rest (Partially supported)</w:t>
      </w:r>
    </w:p>
    <w:p>
      <w:pPr>
        <w:pStyle w:val="ListBullet"/>
      </w:pPr>
      <w:r>
        <w:t>REQ-6: Petabyte-scale storage for unstructured and backup data (Partially supported)</w:t>
      </w:r>
    </w:p>
    <w:p>
      <w:pPr>
        <w:pStyle w:val="Heading3"/>
      </w:pPr>
      <w:r>
        <w:t>Documented limitations</w:t>
      </w:r>
    </w:p>
    <w:p>
      <w:pPr>
        <w:pStyle w:val="ListBullet"/>
      </w:pPr>
      <w:r>
        <w:t>Object storage is optimised for large, infrequently-modified objects — not a replacement for block storage in transactional workloads</w:t>
      </w:r>
    </w:p>
    <w:p>
      <w:pPr>
        <w:pStyle w:val="ListBullet"/>
      </w:pPr>
      <w:r>
        <w:t>Erasure coding schemes must be selected based on durability and space efficiency trade-offs</w:t>
      </w:r>
    </w:p>
    <w:p>
      <w:pPr>
        <w:pStyle w:val="ListBullet"/>
      </w:pPr>
      <w:r>
        <w:t>On-premises deployment requires physical hardware planning</w:t>
      </w:r>
    </w:p>
    <w:p>
      <w:pPr>
        <w:pStyle w:val="Heading3"/>
      </w:pPr>
      <w:r>
        <w:t>Needs specialist validation</w:t>
      </w:r>
    </w:p>
    <w:p>
      <w:pPr>
        <w:pStyle w:val="ListBullet"/>
      </w:pPr>
      <w:r>
        <w:t>Data type and access patterns — confirm object storage is appropriate for the workload</w:t>
      </w:r>
    </w:p>
    <w:p>
      <w:pPr>
        <w:pStyle w:val="ListBullet"/>
      </w:pPr>
      <w:r>
        <w:t>Durability and erasure coding scheme selection</w:t>
      </w:r>
    </w:p>
    <w:p>
      <w:pPr>
        <w:pStyle w:val="ListBullet"/>
      </w:pPr>
      <w:r>
        <w:t>Network throughput for ingest and retrieval</w:t>
      </w:r>
    </w:p>
    <w:p>
      <w:pPr>
        <w:pStyle w:val="Heading1"/>
      </w:pPr>
      <w:r>
        <w:t>Requirements not yet validated</w:t>
      </w:r>
    </w:p>
    <w:p>
      <w:pPr>
        <w:keepNext/>
      </w:pPr>
      <w:r>
        <w:rPr>
          <w:b/>
          <w:i w:val="0"/>
          <w:color w:val="57606A"/>
          <w:sz w:val="17"/>
        </w:rPr>
        <w:t>[UNKNOWN]</w:t>
      </w:r>
      <w:r>
        <w:rPr>
          <w:b w:val="0"/>
          <w:i w:val="0"/>
        </w:rPr>
        <w:t xml:space="preserve">  No candidate has full documented evidence for these.</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4032"/>
        <w:gridCol w:w="1728"/>
        <w:gridCol w:w="4176"/>
      </w:tblGrid>
      <w:tr>
        <w:trPr>
          <w:cantSplit/>
          <w:tblHeader/>
        </w:trPr>
        <w:tc>
          <w:tcPr>
            <w:tcW w:type="dxa" w:w="4032"/>
            <w:shd w:val="clear" w:color="auto" w:fill="1A3A6C"/>
            <w:tcMar>
              <w:top w:w="50" w:type="dxa"/>
              <w:left w:w="90" w:type="dxa"/>
              <w:bottom w:w="50" w:type="dxa"/>
              <w:right w:w="90" w:type="dxa"/>
            </w:tcMar>
          </w:tcPr>
          <w:p>
            <w:pPr>
              <w:keepNext/>
              <w:spacing w:after="0" w:line="252" w:lineRule="auto"/>
            </w:pPr>
            <w:r/>
            <w:r>
              <w:rPr>
                <w:b/>
                <w:i w:val="0"/>
                <w:color w:val="FFFFFF"/>
                <w:sz w:val="19"/>
              </w:rPr>
              <w:t>Requirement</w:t>
            </w:r>
          </w:p>
        </w:tc>
        <w:tc>
          <w:tcPr>
            <w:tcW w:type="dxa" w:w="1728"/>
            <w:shd w:val="clear" w:color="auto" w:fill="1A3A6C"/>
            <w:tcMar>
              <w:top w:w="50" w:type="dxa"/>
              <w:left w:w="90" w:type="dxa"/>
              <w:bottom w:w="50" w:type="dxa"/>
              <w:right w:w="90" w:type="dxa"/>
            </w:tcMar>
          </w:tcPr>
          <w:p>
            <w:pPr>
              <w:keepNext/>
              <w:spacing w:after="0" w:line="252" w:lineRule="auto"/>
            </w:pPr>
            <w:r/>
            <w:r>
              <w:rPr>
                <w:b/>
                <w:i w:val="0"/>
                <w:color w:val="FFFFFF"/>
                <w:sz w:val="19"/>
              </w:rPr>
              <w:t>Best status</w:t>
            </w:r>
          </w:p>
        </w:tc>
        <w:tc>
          <w:tcPr>
            <w:tcW w:type="dxa" w:w="4176"/>
            <w:shd w:val="clear" w:color="auto" w:fill="1A3A6C"/>
            <w:tcMar>
              <w:top w:w="50" w:type="dxa"/>
              <w:left w:w="90" w:type="dxa"/>
              <w:bottom w:w="50" w:type="dxa"/>
              <w:right w:w="90" w:type="dxa"/>
            </w:tcMar>
          </w:tcPr>
          <w:p>
            <w:pPr>
              <w:keepNext/>
              <w:spacing w:after="0" w:line="252" w:lineRule="auto"/>
            </w:pPr>
            <w:r/>
            <w:r>
              <w:rPr>
                <w:b/>
                <w:i w:val="0"/>
                <w:color w:val="FFFFFF"/>
                <w:sz w:val="19"/>
              </w:rPr>
              <w:t>Why</w:t>
            </w:r>
          </w:p>
        </w:tc>
      </w:tr>
      <w:tr>
        <w:trPr>
          <w:cantSplit/>
        </w:trPr>
        <w:tc>
          <w:tcPr>
            <w:tcW w:type="dxa" w:w="4032"/>
            <w:tcMar>
              <w:top w:w="50" w:type="dxa"/>
              <w:left w:w="90" w:type="dxa"/>
              <w:bottom w:w="50" w:type="dxa"/>
              <w:right w:w="90" w:type="dxa"/>
            </w:tcMar>
          </w:tcPr>
          <w:p>
            <w:pPr>
              <w:keepNext/>
              <w:spacing w:after="0" w:line="252" w:lineRule="auto"/>
            </w:pPr>
            <w:r/>
            <w:r>
              <w:rPr>
                <w:b w:val="0"/>
                <w:i w:val="0"/>
                <w:sz w:val="19"/>
              </w:rPr>
              <w:t>REQ-1: Replace aging primary storage arrays before end-of-support deadline (within 18 months)</w:t>
            </w:r>
          </w:p>
        </w:tc>
        <w:tc>
          <w:tcPr>
            <w:tcW w:type="dxa" w:w="1728"/>
            <w:tcMar>
              <w:top w:w="50" w:type="dxa"/>
              <w:left w:w="90" w:type="dxa"/>
              <w:bottom w:w="50" w:type="dxa"/>
              <w:right w:w="90" w:type="dxa"/>
            </w:tcMar>
          </w:tcPr>
          <w:p>
            <w:pPr>
              <w:keepNext/>
              <w:spacing w:after="0" w:line="252" w:lineRule="auto"/>
            </w:pPr>
            <w:r/>
            <w:r>
              <w:rPr>
                <w:b w:val="0"/>
                <w:i w:val="0"/>
                <w:sz w:val="19"/>
              </w:rPr>
              <w:t>Partially supported</w:t>
            </w:r>
          </w:p>
        </w:tc>
        <w:tc>
          <w:tcPr>
            <w:tcW w:type="dxa" w:w="4176"/>
            <w:tcMar>
              <w:top w:w="50" w:type="dxa"/>
              <w:left w:w="90" w:type="dxa"/>
              <w:bottom w:w="50" w:type="dxa"/>
              <w:right w:w="90" w:type="dxa"/>
            </w:tcMar>
          </w:tcPr>
          <w:p>
            <w:pPr>
              <w:keepNext/>
              <w:spacing w:after="40" w:line="252" w:lineRule="auto"/>
            </w:pPr>
            <w:r/>
            <w:r>
              <w:rPr>
                <w:b w:val="0"/>
                <w:i w:val="0"/>
                <w:sz w:val="19"/>
              </w:rPr>
              <w:t>• No documented capability for this area in the catalog entry.</w:t>
            </w:r>
          </w:p>
          <w:p>
            <w:pPr>
              <w:keepNext/>
              <w:spacing w:after="40" w:line="252" w:lineRule="auto"/>
            </w:pPr>
            <w:r>
              <w:rPr>
                <w:b w:val="0"/>
                <w:i w:val="0"/>
                <w:sz w:val="19"/>
              </w:rPr>
              <w:t>• The catalog documents data migration, not replacement scope, hardware support status or cutover timelines.</w:t>
            </w:r>
          </w:p>
          <w:p>
            <w:pPr>
              <w:keepNext/>
              <w:spacing w:after="40" w:line="252" w:lineRule="auto"/>
            </w:pPr>
            <w:r>
              <w:rPr>
                <w:b w:val="0"/>
                <w:i w:val="0"/>
                <w:sz w:val="19"/>
              </w:rPr>
              <w:t>• Compatibility of existing third-party storage with Spectrum Virtualize</w:t>
            </w:r>
          </w:p>
        </w:tc>
      </w:tr>
      <w:tr>
        <w:trPr>
          <w:cantSplit/>
        </w:trPr>
        <w:tc>
          <w:tcPr>
            <w:tcW w:type="dxa" w:w="4032"/>
            <w:shd w:val="clear" w:color="auto" w:fill="F3F6FB"/>
            <w:tcMar>
              <w:top w:w="50" w:type="dxa"/>
              <w:left w:w="90" w:type="dxa"/>
              <w:bottom w:w="50" w:type="dxa"/>
              <w:right w:w="90" w:type="dxa"/>
            </w:tcMar>
          </w:tcPr>
          <w:p>
            <w:pPr>
              <w:keepNext/>
              <w:spacing w:after="0" w:line="252" w:lineRule="auto"/>
            </w:pPr>
            <w:r/>
            <w:r>
              <w:rPr>
                <w:b w:val="0"/>
                <w:i w:val="0"/>
                <w:sz w:val="19"/>
              </w:rPr>
              <w:t>REQ-3: Disaster recovery with recovery time objective under four hours</w:t>
            </w:r>
          </w:p>
        </w:tc>
        <w:tc>
          <w:tcPr>
            <w:tcW w:type="dxa" w:w="1728"/>
            <w:shd w:val="clear" w:color="auto" w:fill="F3F6FB"/>
            <w:tcMar>
              <w:top w:w="50" w:type="dxa"/>
              <w:left w:w="90" w:type="dxa"/>
              <w:bottom w:w="50" w:type="dxa"/>
              <w:right w:w="90" w:type="dxa"/>
            </w:tcMar>
          </w:tcPr>
          <w:p>
            <w:pPr>
              <w:keepNext/>
              <w:spacing w:after="0" w:line="252" w:lineRule="auto"/>
            </w:pPr>
            <w:r/>
            <w:r>
              <w:rPr>
                <w:b w:val="0"/>
                <w:i w:val="0"/>
                <w:sz w:val="19"/>
              </w:rPr>
              <w:t>Partially supported</w:t>
            </w:r>
          </w:p>
        </w:tc>
        <w:tc>
          <w:tcPr>
            <w:tcW w:type="dxa" w:w="4176"/>
            <w:shd w:val="clear" w:color="auto" w:fill="F3F6FB"/>
            <w:tcMar>
              <w:top w:w="50" w:type="dxa"/>
              <w:left w:w="90" w:type="dxa"/>
              <w:bottom w:w="50" w:type="dxa"/>
              <w:right w:w="90" w:type="dxa"/>
            </w:tcMar>
          </w:tcPr>
          <w:p>
            <w:pPr>
              <w:keepNext/>
              <w:spacing w:after="40" w:line="252" w:lineRule="auto"/>
            </w:pPr>
            <w:r/>
            <w:r>
              <w:rPr>
                <w:b w:val="0"/>
                <w:i w:val="0"/>
                <w:sz w:val="19"/>
              </w:rPr>
              <w:t>• Target 'four hours' is not documented in the catalog evidence.</w:t>
            </w:r>
          </w:p>
          <w:p>
            <w:pPr>
              <w:keepNext/>
              <w:spacing w:after="40" w:line="252" w:lineRule="auto"/>
            </w:pPr>
            <w:r>
              <w:rPr>
                <w:b w:val="0"/>
                <w:i w:val="0"/>
                <w:sz w:val="19"/>
              </w:rPr>
              <w:t>• Workload IOPS and latency requirements</w:t>
            </w:r>
          </w:p>
          <w:p>
            <w:pPr>
              <w:keepNext/>
              <w:spacing w:after="40" w:line="252" w:lineRule="auto"/>
            </w:pPr>
            <w:r>
              <w:rPr>
                <w:b w:val="0"/>
                <w:i w:val="0"/>
                <w:sz w:val="19"/>
              </w:rPr>
              <w:t>• Safeguarded Copy retention schedule and recovery runbook</w:t>
            </w:r>
          </w:p>
        </w:tc>
      </w:tr>
      <w:tr>
        <w:trPr>
          <w:cantSplit/>
        </w:trPr>
        <w:tc>
          <w:tcPr>
            <w:tcW w:type="dxa" w:w="4032"/>
            <w:tcMar>
              <w:top w:w="50" w:type="dxa"/>
              <w:left w:w="90" w:type="dxa"/>
              <w:bottom w:w="50" w:type="dxa"/>
              <w:right w:w="90" w:type="dxa"/>
            </w:tcMar>
          </w:tcPr>
          <w:p>
            <w:pPr>
              <w:keepNext/>
              <w:spacing w:after="0" w:line="252" w:lineRule="auto"/>
            </w:pPr>
            <w:r/>
            <w:r>
              <w:rPr>
                <w:b w:val="0"/>
                <w:i w:val="0"/>
                <w:sz w:val="19"/>
              </w:rPr>
              <w:t>REQ-4: Encryption at rest for patient data (HIPAA compliance)</w:t>
            </w:r>
          </w:p>
        </w:tc>
        <w:tc>
          <w:tcPr>
            <w:tcW w:type="dxa" w:w="1728"/>
            <w:tcMar>
              <w:top w:w="50" w:type="dxa"/>
              <w:left w:w="90" w:type="dxa"/>
              <w:bottom w:w="50" w:type="dxa"/>
              <w:right w:w="90" w:type="dxa"/>
            </w:tcMar>
          </w:tcPr>
          <w:p>
            <w:pPr>
              <w:keepNext/>
              <w:spacing w:after="0" w:line="252" w:lineRule="auto"/>
            </w:pPr>
            <w:r/>
            <w:r>
              <w:rPr>
                <w:b w:val="0"/>
                <w:i w:val="0"/>
                <w:sz w:val="19"/>
              </w:rPr>
              <w:t>Partially supported</w:t>
            </w:r>
          </w:p>
        </w:tc>
        <w:tc>
          <w:tcPr>
            <w:tcW w:type="dxa" w:w="4176"/>
            <w:tcMar>
              <w:top w:w="50" w:type="dxa"/>
              <w:left w:w="90" w:type="dxa"/>
              <w:bottom w:w="50" w:type="dxa"/>
              <w:right w:w="90" w:type="dxa"/>
            </w:tcMar>
          </w:tcPr>
          <w:p>
            <w:pPr>
              <w:keepNext/>
              <w:spacing w:after="40" w:line="252" w:lineRule="auto"/>
            </w:pPr>
            <w:r/>
            <w:r>
              <w:rPr>
                <w:b w:val="0"/>
                <w:i w:val="0"/>
                <w:sz w:val="19"/>
              </w:rPr>
              <w:t>• Target 'HIPAA' is not documented in the catalog evidence.</w:t>
            </w:r>
          </w:p>
          <w:p>
            <w:pPr>
              <w:keepNext/>
              <w:spacing w:after="40" w:line="252" w:lineRule="auto"/>
            </w:pPr>
            <w:r>
              <w:rPr>
                <w:b w:val="0"/>
                <w:i w:val="0"/>
                <w:sz w:val="19"/>
              </w:rPr>
              <w:t>• No documented capability for this area in the catalog entry.</w:t>
            </w:r>
          </w:p>
        </w:tc>
      </w:tr>
      <w:tr>
        <w:trPr>
          <w:cantSplit/>
        </w:trPr>
        <w:tc>
          <w:tcPr>
            <w:tcW w:type="dxa" w:w="4032"/>
            <w:shd w:val="clear" w:color="auto" w:fill="F3F6FB"/>
            <w:tcMar>
              <w:top w:w="50" w:type="dxa"/>
              <w:left w:w="90" w:type="dxa"/>
              <w:bottom w:w="50" w:type="dxa"/>
              <w:right w:w="90" w:type="dxa"/>
            </w:tcMar>
          </w:tcPr>
          <w:p>
            <w:pPr>
              <w:keepNext/>
              <w:spacing w:after="0" w:line="252" w:lineRule="auto"/>
            </w:pPr>
            <w:r/>
            <w:r>
              <w:rPr>
                <w:b w:val="0"/>
                <w:i w:val="0"/>
                <w:sz w:val="19"/>
              </w:rPr>
              <w:t>REQ-5: Centralised management to reduce operational burden on a small IT team</w:t>
            </w:r>
          </w:p>
        </w:tc>
        <w:tc>
          <w:tcPr>
            <w:tcW w:type="dxa" w:w="1728"/>
            <w:shd w:val="clear" w:color="auto" w:fill="F3F6FB"/>
            <w:tcMar>
              <w:top w:w="50" w:type="dxa"/>
              <w:left w:w="90" w:type="dxa"/>
              <w:bottom w:w="50" w:type="dxa"/>
              <w:right w:w="90" w:type="dxa"/>
            </w:tcMar>
          </w:tcPr>
          <w:p>
            <w:pPr>
              <w:keepNext/>
              <w:spacing w:after="0" w:line="252" w:lineRule="auto"/>
            </w:pPr>
            <w:r/>
            <w:r>
              <w:rPr>
                <w:b w:val="0"/>
                <w:i w:val="0"/>
                <w:sz w:val="19"/>
              </w:rPr>
              <w:t>Partially supported</w:t>
            </w:r>
          </w:p>
        </w:tc>
        <w:tc>
          <w:tcPr>
            <w:tcW w:type="dxa" w:w="4176"/>
            <w:shd w:val="clear" w:color="auto" w:fill="F3F6FB"/>
            <w:tcMar>
              <w:top w:w="50" w:type="dxa"/>
              <w:left w:w="90" w:type="dxa"/>
              <w:bottom w:w="50" w:type="dxa"/>
              <w:right w:w="90" w:type="dxa"/>
            </w:tcMar>
          </w:tcPr>
          <w:p>
            <w:pPr>
              <w:keepNext/>
              <w:spacing w:after="40" w:line="252" w:lineRule="auto"/>
            </w:pPr>
            <w:r/>
            <w:r>
              <w:rPr>
                <w:b w:val="0"/>
                <w:i w:val="0"/>
                <w:sz w:val="19"/>
              </w:rPr>
              <w:t>• The outcome 'reduce' is not documented; the catalog describes capabilities, not results.</w:t>
            </w:r>
          </w:p>
          <w:p>
            <w:pPr>
              <w:keepNext/>
              <w:spacing w:after="40" w:line="252" w:lineRule="auto"/>
            </w:pPr>
            <w:r>
              <w:rPr>
                <w:b w:val="0"/>
                <w:i w:val="0"/>
                <w:sz w:val="19"/>
              </w:rPr>
              <w:t>• No documented capability for this area in the catalog entry.</w:t>
            </w:r>
          </w:p>
        </w:tc>
      </w:tr>
      <w:tr>
        <w:trPr>
          <w:cantSplit/>
        </w:trPr>
        <w:tc>
          <w:tcPr>
            <w:tcW w:type="dxa" w:w="4032"/>
            <w:tcMar>
              <w:top w:w="50" w:type="dxa"/>
              <w:left w:w="90" w:type="dxa"/>
              <w:bottom w:w="50" w:type="dxa"/>
              <w:right w:w="90" w:type="dxa"/>
            </w:tcMar>
          </w:tcPr>
          <w:p>
            <w:pPr>
              <w:keepNext/>
              <w:spacing w:after="0" w:line="252" w:lineRule="auto"/>
            </w:pPr>
            <w:r/>
            <w:r>
              <w:rPr>
                <w:b w:val="0"/>
                <w:i w:val="0"/>
                <w:sz w:val="19"/>
              </w:rPr>
              <w:t>REQ-6: Increasing storage capacity demands from medical imaging workloads</w:t>
            </w:r>
          </w:p>
        </w:tc>
        <w:tc>
          <w:tcPr>
            <w:tcW w:type="dxa" w:w="1728"/>
            <w:tcMar>
              <w:top w:w="50" w:type="dxa"/>
              <w:left w:w="90" w:type="dxa"/>
              <w:bottom w:w="50" w:type="dxa"/>
              <w:right w:w="90" w:type="dxa"/>
            </w:tcMar>
          </w:tcPr>
          <w:p>
            <w:pPr>
              <w:keepNext/>
              <w:spacing w:after="0" w:line="252" w:lineRule="auto"/>
            </w:pPr>
            <w:r/>
            <w:r>
              <w:rPr>
                <w:b w:val="0"/>
                <w:i w:val="0"/>
                <w:sz w:val="19"/>
              </w:rPr>
              <w:t>Partially supported</w:t>
            </w:r>
          </w:p>
        </w:tc>
        <w:tc>
          <w:tcPr>
            <w:tcW w:type="dxa" w:w="4176"/>
            <w:tcMar>
              <w:top w:w="50" w:type="dxa"/>
              <w:left w:w="90" w:type="dxa"/>
              <w:bottom w:w="50" w:type="dxa"/>
              <w:right w:w="90" w:type="dxa"/>
            </w:tcMar>
          </w:tcPr>
          <w:p>
            <w:pPr>
              <w:keepNext/>
              <w:spacing w:after="40" w:line="252" w:lineRule="auto"/>
            </w:pPr>
            <w:r/>
            <w:r>
              <w:rPr>
                <w:b w:val="0"/>
                <w:i w:val="0"/>
                <w:sz w:val="19"/>
              </w:rPr>
              <w:t>• No documented capability for this area in the catalog entry.</w:t>
            </w:r>
          </w:p>
          <w:p>
            <w:pPr>
              <w:keepNext/>
              <w:spacing w:after="40" w:line="252" w:lineRule="auto"/>
            </w:pPr>
            <w:r>
              <w:rPr>
                <w:b w:val="0"/>
                <w:i w:val="0"/>
                <w:sz w:val="19"/>
              </w:rPr>
              <w:t>• Workload sizing and performance requirements</w:t>
            </w:r>
          </w:p>
          <w:p>
            <w:pPr>
              <w:keepNext/>
              <w:spacing w:after="40" w:line="252" w:lineRule="auto"/>
            </w:pPr>
            <w:r>
              <w:rPr>
                <w:b w:val="0"/>
                <w:i w:val="0"/>
                <w:sz w:val="19"/>
              </w:rPr>
              <w:t>• The requirement has no quantified target, so sizing cannot be compared.</w:t>
            </w:r>
          </w:p>
        </w:tc>
      </w:tr>
      <w:tr>
        <w:trPr>
          <w:cantSplit/>
        </w:trPr>
        <w:tc>
          <w:tcPr>
            <w:tcW w:type="dxa" w:w="4032"/>
            <w:shd w:val="clear" w:color="auto" w:fill="F3F6FB"/>
            <w:tcMar>
              <w:top w:w="50" w:type="dxa"/>
              <w:left w:w="90" w:type="dxa"/>
              <w:bottom w:w="50" w:type="dxa"/>
              <w:right w:w="90" w:type="dxa"/>
            </w:tcMar>
          </w:tcPr>
          <w:p>
            <w:pPr>
              <w:spacing w:after="0" w:line="252" w:lineRule="auto"/>
            </w:pPr>
            <w:r/>
            <w:r>
              <w:rPr>
                <w:b w:val="0"/>
                <w:i w:val="0"/>
                <w:sz w:val="19"/>
              </w:rPr>
              <w:t>REQ-7: Regulatory compliance obligations under HIPAA for data protection and audit trails</w:t>
            </w:r>
          </w:p>
        </w:tc>
        <w:tc>
          <w:tcPr>
            <w:tcW w:type="dxa" w:w="1728"/>
            <w:shd w:val="clear" w:color="auto" w:fill="F3F6FB"/>
            <w:tcMar>
              <w:top w:w="50" w:type="dxa"/>
              <w:left w:w="90" w:type="dxa"/>
              <w:bottom w:w="50" w:type="dxa"/>
              <w:right w:w="90" w:type="dxa"/>
            </w:tcMar>
          </w:tcPr>
          <w:p>
            <w:pPr>
              <w:spacing w:after="0" w:line="252" w:lineRule="auto"/>
            </w:pPr>
            <w:r/>
            <w:r>
              <w:rPr>
                <w:b w:val="0"/>
                <w:i w:val="0"/>
                <w:sz w:val="19"/>
              </w:rPr>
              <w:t>Unknown / insufficient evidence</w:t>
            </w:r>
          </w:p>
        </w:tc>
        <w:tc>
          <w:tcPr>
            <w:tcW w:type="dxa" w:w="4176"/>
            <w:shd w:val="clear" w:color="auto" w:fill="F3F6FB"/>
            <w:tcMar>
              <w:top w:w="50" w:type="dxa"/>
              <w:left w:w="90" w:type="dxa"/>
              <w:bottom w:w="50" w:type="dxa"/>
              <w:right w:w="90" w:type="dxa"/>
            </w:tcMar>
          </w:tcPr>
          <w:p>
            <w:pPr>
              <w:spacing w:after="40" w:line="252" w:lineRule="auto"/>
            </w:pPr>
            <w:r/>
            <w:r>
              <w:rPr>
                <w:b w:val="0"/>
                <w:i w:val="0"/>
                <w:sz w:val="19"/>
              </w:rPr>
              <w:t>No documented capability for this area in the catalog entry.</w:t>
            </w:r>
          </w:p>
        </w:tc>
      </w:tr>
    </w:tbl>
    <w:p/>
    <w:p>
      <w:pPr>
        <w:pStyle w:val="Heading1"/>
      </w:pPr>
      <w:r>
        <w:t>Recommended discovery questions</w:t>
      </w:r>
    </w:p>
    <w:p>
      <w:pPr>
        <w:keepNext/>
      </w:pPr>
      <w:r>
        <w:rPr>
          <w:b/>
          <w:i w:val="0"/>
          <w:color w:val="8A5A00"/>
          <w:sz w:val="17"/>
        </w:rPr>
        <w:t>[AI-GENERATED]</w:t>
      </w:r>
      <w:r>
        <w:rPr>
          <w:b w:val="0"/>
          <w:i w:val="0"/>
        </w:rPr>
        <w:t xml:space="preserve">  Questions that would close the gaps above.</w:t>
      </w:r>
    </w:p>
    <w:p>
      <w:pPr>
        <w:pStyle w:val="ListNumber"/>
      </w:pPr>
      <w:r>
        <w:t>What make, model and age are the arrays being replaced, and which hosts, adapters and switches attach to them? (REQ-1)</w:t>
      </w:r>
    </w:p>
    <w:p>
      <w:pPr>
        <w:pStyle w:val="ListNumber"/>
      </w:pPr>
      <w:r>
        <w:t>What cutover window and tolerance for migration disruption apply to each clinical or business system? (REQ-1)</w:t>
      </w:r>
    </w:p>
    <w:p>
      <w:pPr>
        <w:pStyle w:val="ListNumber"/>
      </w:pPr>
      <w:r>
        <w:t>What recovery time and recovery point objectives apply to each workload tier? (REQ-3)</w:t>
      </w:r>
    </w:p>
    <w:p>
      <w:pPr>
        <w:pStyle w:val="ListNumber"/>
      </w:pPr>
      <w:r>
        <w:t>Where is the recovery site, and what inter-site bandwidth and latency are available? (REQ-3)</w:t>
      </w:r>
    </w:p>
    <w:p>
      <w:pPr>
        <w:pStyle w:val="ListNumber"/>
      </w:pPr>
      <w:r>
        <w:t>How often is disaster recovery tested today, and what happened in the last test? (REQ-3)</w:t>
      </w:r>
    </w:p>
    <w:p>
      <w:pPr>
        <w:pStyle w:val="ListNumber"/>
      </w:pPr>
      <w:r>
        <w:t>Is 'four hours' a firm customer target? If so, ask a product specialist to confirm it against product documentation. (REQ-3)</w:t>
      </w:r>
    </w:p>
    <w:p>
      <w:pPr>
        <w:pStyle w:val="ListNumber"/>
      </w:pPr>
      <w:r>
        <w:t>Which encryption standard and key-management approach does the customer require? (REQ-4)</w:t>
      </w:r>
    </w:p>
    <w:p>
      <w:pPr>
        <w:pStyle w:val="ListNumber"/>
      </w:pPr>
      <w:r>
        <w:t>Which compliance framework must the encryption support evidence for, and who owns that evidence? (REQ-4)</w:t>
      </w:r>
    </w:p>
    <w:p>
      <w:pPr>
        <w:pStyle w:val="ListNumber"/>
      </w:pPr>
      <w:r>
        <w:t>Is 'HIPAA' a firm customer target? If so, ask a product specialist to confirm it against product documentation. (REQ-4)</w:t>
      </w:r>
    </w:p>
    <w:p>
      <w:pPr>
        <w:pStyle w:val="ListNumber"/>
      </w:pPr>
      <w:r>
        <w:t>Who will administer the platform day to day, and which management tools do they use today? (REQ-5)</w:t>
      </w:r>
    </w:p>
    <w:p>
      <w:pPr>
        <w:pStyle w:val="ListNumber"/>
      </w:pPr>
      <w:r>
        <w:t>Which existing arrays or platforms must be managed from the same interface? (REQ-5)</w:t>
      </w:r>
    </w:p>
    <w:p>
      <w:pPr>
        <w:pStyle w:val="ListNumber"/>
      </w:pPr>
      <w:r>
        <w:t>What is the current usable capacity and expected growth over the next three to five years? (REQ-6)</w:t>
      </w:r>
    </w:p>
    <w:p>
      <w:pPr>
        <w:pStyle w:val="ListNumber"/>
      </w:pPr>
      <w:r>
        <w:t>What are the data types and access patterns of the largest consumers (for example imaging)? (REQ-6)</w:t>
      </w:r>
    </w:p>
    <w:p>
      <w:pPr>
        <w:pStyle w:val="ListNumber"/>
      </w:pPr>
      <w:r>
        <w:t>Which regulations or frameworks apply, and what evidence must be produced for auditors? (REQ-7)</w:t>
      </w:r>
    </w:p>
    <w:p>
      <w:pPr>
        <w:pStyle w:val="ListNumber"/>
      </w:pPr>
      <w:r>
        <w:t>Which data sources and systems are in scope for audit and monitoring? (REQ-7)</w:t>
      </w:r>
    </w:p>
    <w:p>
      <w:pPr>
        <w:pStyle w:val="ListNumber"/>
      </w:pPr>
      <w:r>
        <w:t>Can the customer provide: budget?</w:t>
      </w:r>
    </w:p>
    <w:p>
      <w:pPr>
        <w:pStyle w:val="ListNumber"/>
      </w:pPr>
      <w:r>
        <w:t>Can the customer provide: decision maker?</w:t>
      </w:r>
    </w:p>
    <w:p>
      <w:pPr>
        <w:pStyle w:val="ListNumber"/>
      </w:pPr>
      <w:r>
        <w:t>Can the customer provide: usable capacity?</w:t>
      </w:r>
    </w:p>
    <w:p>
      <w:pPr>
        <w:pStyle w:val="ListNumber"/>
      </w:pPr>
      <w:r>
        <w:t>Can the customer provide: Annual IT budget and capital expenditure approval process?</w:t>
      </w:r>
    </w:p>
    <w:p>
      <w:pPr>
        <w:pStyle w:val="ListNumber"/>
      </w:pPr>
      <w:r>
        <w:t>Can the customer provide: Total usable storage capacity currently deployed?</w:t>
      </w:r>
    </w:p>
    <w:p>
      <w:pPr>
        <w:pStyle w:val="ListNumber"/>
      </w:pPr>
      <w:r>
        <w:t>Can the customer provide: Identity of the economic buyer and decision-making process?</w:t>
      </w:r>
    </w:p>
    <w:p>
      <w:pPr>
        <w:pStyle w:val="ListNumber"/>
      </w:pPr>
      <w:r>
        <w:t>Can the customer provide: Whether a formal RFP process is required?</w:t>
      </w:r>
    </w:p>
    <w:p>
      <w:pPr>
        <w:pStyle w:val="ListNumber"/>
      </w:pPr>
      <w:r>
        <w:t>Validate with a specialist (IBM FlashSystem 7300): Workload IOPS and latency requirements</w:t>
      </w:r>
    </w:p>
    <w:p>
      <w:pPr>
        <w:pStyle w:val="ListNumber"/>
      </w:pPr>
      <w:r>
        <w:t>Validate with a specialist (IBM FlashSystem 7300): Ransomware detection sensitivity tuning for specific data patterns</w:t>
      </w:r>
    </w:p>
    <w:p>
      <w:pPr>
        <w:pStyle w:val="ListNumber"/>
      </w:pPr>
      <w:r>
        <w:t>Validate with a specialist (IBM FlashSystem 7300): Safeguarded Copy retention schedule and recovery runbook</w:t>
      </w:r>
    </w:p>
    <w:p>
      <w:pPr>
        <w:pStyle w:val="ListNumber"/>
      </w:pPr>
      <w:r>
        <w:t>Validate with a specialist (IBM Spectrum Virtualize): Compatibility of existing third-party storage with Spectrum Virtualize</w:t>
      </w:r>
    </w:p>
    <w:p>
      <w:pPr>
        <w:pStyle w:val="ListNumber"/>
      </w:pPr>
      <w:r>
        <w:t>Validate with a specialist (IBM Spectrum Virtualize): Network bandwidth for replication and migration</w:t>
      </w:r>
    </w:p>
    <w:p>
      <w:pPr>
        <w:pStyle w:val="ListNumber"/>
      </w:pPr>
      <w:r>
        <w:t>Validate with a specialist (IBM Spectrum Virtualize): Licensing model for specific features</w:t>
      </w:r>
    </w:p>
    <w:p>
      <w:pPr>
        <w:pStyle w:val="ListNumber"/>
      </w:pPr>
      <w:r>
        <w:t>Validate with a specialist (IBM FlashSystem 5200): Workload sizing and performance requirements</w:t>
      </w:r>
    </w:p>
    <w:p>
      <w:pPr>
        <w:pStyle w:val="ListNumber"/>
      </w:pPr>
      <w:r>
        <w:t>Validate with a specialist (IBM FlashSystem 5200): Network topology for replication</w:t>
      </w:r>
    </w:p>
    <w:p>
      <w:pPr>
        <w:pStyle w:val="Heading1"/>
      </w:pPr>
      <w:r>
        <w:t>Unknown information</w:t>
      </w:r>
    </w:p>
    <w:p>
      <w:pPr>
        <w:keepNext/>
      </w:pPr>
      <w:r>
        <w:rPr>
          <w:b/>
          <w:i w:val="0"/>
          <w:color w:val="57606A"/>
          <w:sz w:val="17"/>
        </w:rPr>
        <w:t>[UNKNOWN]</w:t>
      </w:r>
      <w:r>
        <w:rPr>
          <w:b w:val="0"/>
          <w:i w:val="0"/>
        </w:rPr>
        <w:t xml:space="preserve">  Items below are not in the data and must be confirmed.</w:t>
      </w:r>
    </w:p>
    <w:p>
      <w:pPr>
        <w:pStyle w:val="ListBullet"/>
      </w:pPr>
      <w:r>
        <w:t>Replace aging primary storage arrays before end-of-support deadline (within 18 months)</w:t>
      </w:r>
    </w:p>
    <w:p>
      <w:pPr>
        <w:pStyle w:val="ListBullet"/>
      </w:pPr>
      <w:r>
        <w:t>Disaster recovery with recovery time objective under four hours</w:t>
      </w:r>
    </w:p>
    <w:p>
      <w:pPr>
        <w:pStyle w:val="ListBullet"/>
      </w:pPr>
      <w:r>
        <w:t>Encryption at rest for patient data (HIPAA compliance)</w:t>
      </w:r>
    </w:p>
    <w:p>
      <w:pPr>
        <w:pStyle w:val="ListBullet"/>
      </w:pPr>
      <w:r>
        <w:t>Centralised management to reduce operational burden on a small IT team</w:t>
      </w:r>
    </w:p>
    <w:p>
      <w:pPr>
        <w:pStyle w:val="ListBullet"/>
      </w:pPr>
      <w:r>
        <w:t>Increasing storage capacity demands from medical imaging workloads</w:t>
      </w:r>
    </w:p>
    <w:p>
      <w:pPr>
        <w:pStyle w:val="ListBullet"/>
      </w:pPr>
      <w:r>
        <w:t>Regulatory compliance obligations under HIPAA for data protection and audit trails</w:t>
      </w:r>
    </w:p>
    <w:p>
      <w:pPr>
        <w:pStyle w:val="Heading1"/>
      </w:pPr>
      <w:r>
        <w:t>Information integrity</w:t>
      </w:r>
    </w:p>
    <w:p>
      <w:r>
        <w:rPr>
          <w:b w:val="0"/>
          <w:i w:val="0"/>
        </w:rPr>
        <w:t>Content in this document is tagged so you can tell how far to trust it.</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448"/>
        <w:gridCol w:w="7488"/>
      </w:tblGrid>
      <w:tr>
        <w:trPr>
          <w:cantSplit/>
          <w:tblHeader/>
        </w:trPr>
        <w:tc>
          <w:tcPr>
            <w:tcW w:type="dxa" w:w="2448"/>
            <w:shd w:val="clear" w:color="auto" w:fill="1A3A6C"/>
            <w:tcMar>
              <w:top w:w="50" w:type="dxa"/>
              <w:left w:w="90" w:type="dxa"/>
              <w:bottom w:w="50" w:type="dxa"/>
              <w:right w:w="90" w:type="dxa"/>
            </w:tcMar>
          </w:tcPr>
          <w:p>
            <w:pPr>
              <w:keepNext/>
              <w:spacing w:after="0" w:line="252" w:lineRule="auto"/>
            </w:pPr>
            <w:r/>
            <w:r>
              <w:rPr>
                <w:b/>
                <w:i w:val="0"/>
                <w:color w:val="FFFFFF"/>
                <w:sz w:val="19"/>
              </w:rPr>
              <w:t>Label</w:t>
            </w:r>
          </w:p>
        </w:tc>
        <w:tc>
          <w:tcPr>
            <w:tcW w:type="dxa" w:w="7488"/>
            <w:shd w:val="clear" w:color="auto" w:fill="1A3A6C"/>
            <w:tcMar>
              <w:top w:w="50" w:type="dxa"/>
              <w:left w:w="90" w:type="dxa"/>
              <w:bottom w:w="50" w:type="dxa"/>
              <w:right w:w="90" w:type="dxa"/>
            </w:tcMar>
          </w:tcPr>
          <w:p>
            <w:pPr>
              <w:keepNext/>
              <w:spacing w:after="0" w:line="252" w:lineRule="auto"/>
            </w:pPr>
            <w:r/>
            <w:r>
              <w:rPr>
                <w:b/>
                <w:i w:val="0"/>
                <w:color w:val="FFFFFF"/>
                <w:sz w:val="19"/>
              </w:rPr>
              <w:t>Meaning</w:t>
            </w:r>
          </w:p>
        </w:tc>
      </w:tr>
      <w:tr>
        <w:trPr>
          <w:cantSplit/>
        </w:trPr>
        <w:tc>
          <w:tcPr>
            <w:tcW w:type="dxa" w:w="2448"/>
            <w:shd w:val="clear" w:color="auto" w:fill="E3F1E6"/>
            <w:tcMar>
              <w:top w:w="50" w:type="dxa"/>
              <w:left w:w="90" w:type="dxa"/>
              <w:bottom w:w="50" w:type="dxa"/>
              <w:right w:w="90" w:type="dxa"/>
            </w:tcMar>
          </w:tcPr>
          <w:p>
            <w:pPr>
              <w:keepNext/>
              <w:spacing w:after="0" w:line="252" w:lineRule="auto"/>
              <w:jc w:val="center"/>
            </w:pPr>
            <w:r/>
            <w:r>
              <w:rPr>
                <w:b/>
                <w:i w:val="0"/>
                <w:color w:val="1E6B34"/>
                <w:sz w:val="17"/>
              </w:rPr>
              <w:t>Verified</w:t>
            </w:r>
          </w:p>
        </w:tc>
        <w:tc>
          <w:tcPr>
            <w:tcW w:type="dxa" w:w="7488"/>
            <w:tcMar>
              <w:top w:w="50" w:type="dxa"/>
              <w:left w:w="90" w:type="dxa"/>
              <w:bottom w:w="50" w:type="dxa"/>
              <w:right w:w="90" w:type="dxa"/>
            </w:tcMar>
          </w:tcPr>
          <w:p>
            <w:pPr>
              <w:keepNext/>
              <w:spacing w:after="0" w:line="252" w:lineRule="auto"/>
            </w:pPr>
            <w:r/>
            <w:r>
              <w:rPr>
                <w:b w:val="0"/>
                <w:i w:val="0"/>
                <w:sz w:val="18"/>
              </w:rPr>
              <w:t>Confirmed by a cited source that the seller can check.</w:t>
            </w:r>
          </w:p>
        </w:tc>
      </w:tr>
      <w:tr>
        <w:trPr>
          <w:cantSplit/>
        </w:trPr>
        <w:tc>
          <w:tcPr>
            <w:tcW w:type="dxa" w:w="2448"/>
            <w:shd w:val="clear" w:color="auto" w:fill="E3ECF8"/>
            <w:tcMar>
              <w:top w:w="50" w:type="dxa"/>
              <w:left w:w="90" w:type="dxa"/>
              <w:bottom w:w="50" w:type="dxa"/>
              <w:right w:w="90" w:type="dxa"/>
            </w:tcMar>
          </w:tcPr>
          <w:p>
            <w:pPr>
              <w:keepNext/>
              <w:spacing w:after="0" w:line="252" w:lineRule="auto"/>
              <w:jc w:val="center"/>
            </w:pPr>
            <w:r/>
            <w:r>
              <w:rPr>
                <w:b/>
                <w:i w:val="0"/>
                <w:color w:val="1F5BAC"/>
                <w:sz w:val="17"/>
              </w:rPr>
              <w:t>Synthetic CRM</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Fictional demonstration CRM data; not a real customer record.</w:t>
            </w:r>
          </w:p>
        </w:tc>
      </w:tr>
      <w:tr>
        <w:trPr>
          <w:cantSplit/>
        </w:trPr>
        <w:tc>
          <w:tcPr>
            <w:tcW w:type="dxa" w:w="24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c>
          <w:tcPr>
            <w:tcW w:type="dxa" w:w="7488"/>
            <w:tcMar>
              <w:top w:w="50" w:type="dxa"/>
              <w:left w:w="90" w:type="dxa"/>
              <w:bottom w:w="50" w:type="dxa"/>
              <w:right w:w="90" w:type="dxa"/>
            </w:tcMar>
          </w:tcPr>
          <w:p>
            <w:pPr>
              <w:keepNext/>
              <w:spacing w:after="0" w:line="252" w:lineRule="auto"/>
            </w:pPr>
            <w:r/>
            <w:r>
              <w:rPr>
                <w:b w:val="0"/>
                <w:i w:val="0"/>
                <w:sz w:val="18"/>
              </w:rPr>
              <w:t>Produced by the assistant (a recommendation or an extraction) from the data shown; needs seller judgement.</w:t>
            </w:r>
          </w:p>
        </w:tc>
      </w:tr>
      <w:tr>
        <w:trPr>
          <w:cantSplit/>
        </w:trPr>
        <w:tc>
          <w:tcPr>
            <w:tcW w:type="dxa" w:w="24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Not present in the data. Must be confirmed before relying on it.</w:t>
            </w:r>
          </w:p>
        </w:tc>
      </w:tr>
      <w:tr>
        <w:trPr>
          <w:cantSplit/>
        </w:trPr>
        <w:tc>
          <w:tcPr>
            <w:tcW w:type="dxa" w:w="2448"/>
            <w:shd w:val="clear" w:color="auto" w:fill="FBE3E3"/>
            <w:tcMar>
              <w:top w:w="50" w:type="dxa"/>
              <w:left w:w="90" w:type="dxa"/>
              <w:bottom w:w="50" w:type="dxa"/>
              <w:right w:w="90" w:type="dxa"/>
            </w:tcMar>
          </w:tcPr>
          <w:p>
            <w:pPr>
              <w:spacing w:after="0" w:line="252" w:lineRule="auto"/>
              <w:jc w:val="center"/>
            </w:pPr>
            <w:r/>
            <w:r>
              <w:rPr>
                <w:b/>
                <w:i w:val="0"/>
                <w:color w:val="9B1C1C"/>
                <w:sz w:val="17"/>
              </w:rPr>
              <w:t>Unverified spec</w:t>
            </w:r>
          </w:p>
        </w:tc>
        <w:tc>
          <w:tcPr>
            <w:tcW w:type="dxa" w:w="7488"/>
            <w:tcMar>
              <w:top w:w="50" w:type="dxa"/>
              <w:left w:w="90" w:type="dxa"/>
              <w:bottom w:w="50" w:type="dxa"/>
              <w:right w:w="90" w:type="dxa"/>
            </w:tcMar>
          </w:tcPr>
          <w:p>
            <w:pPr>
              <w:spacing w:after="0" w:line="252" w:lineRule="auto"/>
            </w:pPr>
            <w:r/>
            <w:r>
              <w:rPr>
                <w:b w:val="0"/>
                <w:i w:val="0"/>
                <w:sz w:val="18"/>
              </w:rPr>
              <w:t>Product capability from an unverified or placeholder catalog entry.</w:t>
            </w:r>
          </w:p>
        </w:tc>
      </w:tr>
    </w:tbl>
    <w:p/>
    <w:p>
      <w:pPr>
        <w:pStyle w:val="Heading1"/>
      </w:pPr>
      <w:r>
        <w:t>Sources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1679"/>
        <w:gridCol w:w="3358"/>
        <w:gridCol w:w="1539"/>
        <w:gridCol w:w="3358"/>
      </w:tblGrid>
      <w:tr>
        <w:trPr>
          <w:cantSplit/>
          <w:tblHeader/>
        </w:trPr>
        <w:tc>
          <w:tcPr>
            <w:tcW w:type="dxa" w:w="1679"/>
            <w:shd w:val="clear" w:color="auto" w:fill="1A3A6C"/>
            <w:tcMar>
              <w:top w:w="50" w:type="dxa"/>
              <w:left w:w="90" w:type="dxa"/>
              <w:bottom w:w="50" w:type="dxa"/>
              <w:right w:w="90" w:type="dxa"/>
            </w:tcMar>
          </w:tcPr>
          <w:p>
            <w:pPr>
              <w:keepNext/>
              <w:spacing w:after="0" w:line="252" w:lineRule="auto"/>
            </w:pPr>
            <w:r/>
            <w:r>
              <w:rPr>
                <w:b/>
                <w:i w:val="0"/>
                <w:color w:val="FFFFFF"/>
                <w:sz w:val="19"/>
              </w:rPr>
              <w:t>ID</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Source</w:t>
            </w:r>
          </w:p>
        </w:tc>
        <w:tc>
          <w:tcPr>
            <w:tcW w:type="dxa" w:w="1539"/>
            <w:shd w:val="clear" w:color="auto" w:fill="1A3A6C"/>
            <w:tcMar>
              <w:top w:w="50" w:type="dxa"/>
              <w:left w:w="90" w:type="dxa"/>
              <w:bottom w:w="50" w:type="dxa"/>
              <w:right w:w="90" w:type="dxa"/>
            </w:tcMar>
          </w:tcPr>
          <w:p>
            <w:pPr>
              <w:keepNext/>
              <w:spacing w:after="0" w:line="252" w:lineRule="auto"/>
            </w:pPr>
            <w:r/>
            <w:r>
              <w:rPr>
                <w:b/>
                <w:i w:val="0"/>
                <w:color w:val="FFFFFF"/>
                <w:sz w:val="19"/>
              </w:rPr>
              <w:t>Type</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Note</w:t>
            </w:r>
          </w:p>
        </w:tc>
      </w:tr>
      <w:tr>
        <w:trPr>
          <w:cantSplit/>
        </w:trPr>
        <w:tc>
          <w:tcPr>
            <w:tcW w:type="dxa" w:w="1679"/>
            <w:tcMar>
              <w:top w:w="50" w:type="dxa"/>
              <w:left w:w="90" w:type="dxa"/>
              <w:bottom w:w="50" w:type="dxa"/>
              <w:right w:w="90" w:type="dxa"/>
            </w:tcMar>
          </w:tcPr>
          <w:p>
            <w:pPr>
              <w:keepNext/>
              <w:spacing w:after="0" w:line="252" w:lineRule="auto"/>
            </w:pPr>
            <w:r/>
            <w:r>
              <w:rPr>
                <w:b w:val="0"/>
                <w:i w:val="0"/>
                <w:sz w:val="18"/>
              </w:rPr>
              <w:t>src_crm_opp_acme_001</w:t>
            </w:r>
          </w:p>
        </w:tc>
        <w:tc>
          <w:tcPr>
            <w:tcW w:type="dxa" w:w="3359"/>
            <w:tcMar>
              <w:top w:w="50" w:type="dxa"/>
              <w:left w:w="90" w:type="dxa"/>
              <w:bottom w:w="50" w:type="dxa"/>
              <w:right w:w="90" w:type="dxa"/>
            </w:tcMar>
          </w:tcPr>
          <w:p>
            <w:pPr>
              <w:keepNext/>
              <w:spacing w:after="0" w:line="252" w:lineRule="auto"/>
            </w:pPr>
            <w:r/>
            <w:r>
              <w:rPr>
                <w:b w:val="0"/>
                <w:i w:val="0"/>
                <w:sz w:val="18"/>
              </w:rPr>
              <w:t>Synthetic CRM record</w:t>
            </w:r>
          </w:p>
        </w:tc>
        <w:tc>
          <w:tcPr>
            <w:tcW w:type="dxa" w:w="1539"/>
            <w:tcMar>
              <w:top w:w="50" w:type="dxa"/>
              <w:left w:w="90" w:type="dxa"/>
              <w:bottom w:w="50" w:type="dxa"/>
              <w:right w:w="90" w:type="dxa"/>
            </w:tcMar>
          </w:tcPr>
          <w:p>
            <w:pPr>
              <w:keepNext/>
              <w:spacing w:after="0" w:line="252" w:lineRule="auto"/>
            </w:pPr>
            <w:r/>
            <w:r>
              <w:rPr>
                <w:b w:val="0"/>
                <w:i w:val="0"/>
                <w:sz w:val="18"/>
              </w:rPr>
              <w:t>Synthetic CRM</w:t>
            </w:r>
          </w:p>
        </w:tc>
        <w:tc>
          <w:tcPr>
            <w:tcW w:type="dxa" w:w="3359"/>
            <w:tcMar>
              <w:top w:w="50" w:type="dxa"/>
              <w:left w:w="90" w:type="dxa"/>
              <w:bottom w:w="50" w:type="dxa"/>
              <w:right w:w="90" w:type="dxa"/>
            </w:tcMar>
          </w:tcPr>
          <w:p>
            <w:pPr>
              <w:keepNext/>
              <w:spacing w:after="0" w:line="252" w:lineRule="auto"/>
            </w:pPr>
            <w:r/>
            <w:r>
              <w:rPr>
                <w:b w:val="0"/>
                <w:i w:val="0"/>
                <w:sz w:val="18"/>
              </w:rPr>
              <w:t>-</w:t>
            </w:r>
          </w:p>
        </w:tc>
      </w:tr>
      <w:tr>
        <w:trPr>
          <w:cantSplit/>
        </w:trPr>
        <w:tc>
          <w:tcPr>
            <w:tcW w:type="dxa" w:w="1679"/>
            <w:shd w:val="clear" w:color="auto" w:fill="F3F6FB"/>
            <w:tcMar>
              <w:top w:w="50" w:type="dxa"/>
              <w:left w:w="90" w:type="dxa"/>
              <w:bottom w:w="50" w:type="dxa"/>
              <w:right w:w="90" w:type="dxa"/>
            </w:tcMar>
          </w:tcPr>
          <w:p>
            <w:pPr>
              <w:keepNext/>
              <w:spacing w:after="0" w:line="252" w:lineRule="auto"/>
            </w:pPr>
            <w:r/>
            <w:r>
              <w:rPr>
                <w:b w:val="0"/>
                <w:i w:val="0"/>
                <w:sz w:val="18"/>
              </w:rPr>
              <w:t>src_prod_flashsystem7300_001</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Product catalog entry</w:t>
              <w:br/>
              <w:t>https://www.ibm.com/products/flashsystem-7300</w:t>
            </w:r>
          </w:p>
        </w:tc>
        <w:tc>
          <w:tcPr>
            <w:tcW w:type="dxa" w:w="1539"/>
            <w:shd w:val="clear" w:color="auto" w:fill="F3F6FB"/>
            <w:tcMar>
              <w:top w:w="50" w:type="dxa"/>
              <w:left w:w="90" w:type="dxa"/>
              <w:bottom w:w="50" w:type="dxa"/>
              <w:right w:w="90" w:type="dxa"/>
            </w:tcMar>
          </w:tcPr>
          <w:p>
            <w:pPr>
              <w:keepNext/>
              <w:spacing w:after="0" w:line="252" w:lineRule="auto"/>
            </w:pPr>
            <w:r/>
            <w:r>
              <w:rPr>
                <w:b w:val="0"/>
                <w:i w:val="0"/>
                <w:sz w:val="18"/>
              </w:rPr>
              <w:t>Product catalog</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verified 2026-10-01</w:t>
            </w:r>
          </w:p>
        </w:tc>
      </w:tr>
      <w:tr>
        <w:trPr>
          <w:cantSplit/>
        </w:trPr>
        <w:tc>
          <w:tcPr>
            <w:tcW w:type="dxa" w:w="1679"/>
            <w:tcMar>
              <w:top w:w="50" w:type="dxa"/>
              <w:left w:w="90" w:type="dxa"/>
              <w:bottom w:w="50" w:type="dxa"/>
              <w:right w:w="90" w:type="dxa"/>
            </w:tcMar>
          </w:tcPr>
          <w:p>
            <w:pPr>
              <w:keepNext/>
              <w:spacing w:after="0" w:line="252" w:lineRule="auto"/>
            </w:pPr>
            <w:r/>
            <w:r>
              <w:rPr>
                <w:b w:val="0"/>
                <w:i w:val="0"/>
                <w:sz w:val="18"/>
              </w:rPr>
              <w:t>src_prod_specvirt_001</w:t>
            </w:r>
          </w:p>
        </w:tc>
        <w:tc>
          <w:tcPr>
            <w:tcW w:type="dxa" w:w="3359"/>
            <w:tcMar>
              <w:top w:w="50" w:type="dxa"/>
              <w:left w:w="90" w:type="dxa"/>
              <w:bottom w:w="50" w:type="dxa"/>
              <w:right w:w="90" w:type="dxa"/>
            </w:tcMar>
          </w:tcPr>
          <w:p>
            <w:pPr>
              <w:keepNext/>
              <w:spacing w:after="0" w:line="252" w:lineRule="auto"/>
            </w:pPr>
            <w:r/>
            <w:r>
              <w:rPr>
                <w:b w:val="0"/>
                <w:i w:val="0"/>
                <w:sz w:val="18"/>
              </w:rPr>
              <w:t>Product catalog entry</w:t>
              <w:br/>
              <w:t>https://www.ibm.com/products/spectrum-virtualize</w:t>
            </w:r>
          </w:p>
        </w:tc>
        <w:tc>
          <w:tcPr>
            <w:tcW w:type="dxa" w:w="1539"/>
            <w:tcMar>
              <w:top w:w="50" w:type="dxa"/>
              <w:left w:w="90" w:type="dxa"/>
              <w:bottom w:w="50" w:type="dxa"/>
              <w:right w:w="90" w:type="dxa"/>
            </w:tcMar>
          </w:tcPr>
          <w:p>
            <w:pPr>
              <w:keepNext/>
              <w:spacing w:after="0" w:line="252" w:lineRule="auto"/>
            </w:pPr>
            <w:r/>
            <w:r>
              <w:rPr>
                <w:b w:val="0"/>
                <w:i w:val="0"/>
                <w:sz w:val="18"/>
              </w:rPr>
              <w:t>Product catalog</w:t>
            </w:r>
          </w:p>
        </w:tc>
        <w:tc>
          <w:tcPr>
            <w:tcW w:type="dxa" w:w="3359"/>
            <w:tcMar>
              <w:top w:w="50" w:type="dxa"/>
              <w:left w:w="90" w:type="dxa"/>
              <w:bottom w:w="50" w:type="dxa"/>
              <w:right w:w="90" w:type="dxa"/>
            </w:tcMar>
          </w:tcPr>
          <w:p>
            <w:pPr>
              <w:keepNext/>
              <w:spacing w:after="0" w:line="252" w:lineRule="auto"/>
            </w:pPr>
            <w:r/>
            <w:r>
              <w:rPr>
                <w:b w:val="0"/>
                <w:i w:val="0"/>
                <w:sz w:val="18"/>
              </w:rPr>
              <w:t>verified 2026-10-01</w:t>
            </w:r>
          </w:p>
        </w:tc>
      </w:tr>
      <w:tr>
        <w:trPr>
          <w:cantSplit/>
        </w:trPr>
        <w:tc>
          <w:tcPr>
            <w:tcW w:type="dxa" w:w="1679"/>
            <w:shd w:val="clear" w:color="auto" w:fill="F3F6FB"/>
            <w:tcMar>
              <w:top w:w="50" w:type="dxa"/>
              <w:left w:w="90" w:type="dxa"/>
              <w:bottom w:w="50" w:type="dxa"/>
              <w:right w:w="90" w:type="dxa"/>
            </w:tcMar>
          </w:tcPr>
          <w:p>
            <w:pPr>
              <w:keepNext/>
              <w:spacing w:after="0" w:line="252" w:lineRule="auto"/>
            </w:pPr>
            <w:r/>
            <w:r>
              <w:rPr>
                <w:b w:val="0"/>
                <w:i w:val="0"/>
                <w:sz w:val="18"/>
              </w:rPr>
              <w:t>src_prod_flashsystem5200_001</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Product catalog entry</w:t>
              <w:br/>
              <w:t>https://www.ibm.com/products/flashsystem-5200</w:t>
            </w:r>
          </w:p>
        </w:tc>
        <w:tc>
          <w:tcPr>
            <w:tcW w:type="dxa" w:w="1539"/>
            <w:shd w:val="clear" w:color="auto" w:fill="F3F6FB"/>
            <w:tcMar>
              <w:top w:w="50" w:type="dxa"/>
              <w:left w:w="90" w:type="dxa"/>
              <w:bottom w:w="50" w:type="dxa"/>
              <w:right w:w="90" w:type="dxa"/>
            </w:tcMar>
          </w:tcPr>
          <w:p>
            <w:pPr>
              <w:keepNext/>
              <w:spacing w:after="0" w:line="252" w:lineRule="auto"/>
            </w:pPr>
            <w:r/>
            <w:r>
              <w:rPr>
                <w:b w:val="0"/>
                <w:i w:val="0"/>
                <w:sz w:val="18"/>
              </w:rPr>
              <w:t>Product catalog</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verified 2026-10-01</w:t>
            </w:r>
          </w:p>
        </w:tc>
      </w:tr>
      <w:tr>
        <w:trPr>
          <w:cantSplit/>
        </w:trPr>
        <w:tc>
          <w:tcPr>
            <w:tcW w:type="dxa" w:w="1679"/>
            <w:tcMar>
              <w:top w:w="50" w:type="dxa"/>
              <w:left w:w="90" w:type="dxa"/>
              <w:bottom w:w="50" w:type="dxa"/>
              <w:right w:w="90" w:type="dxa"/>
            </w:tcMar>
          </w:tcPr>
          <w:p>
            <w:pPr>
              <w:spacing w:after="0" w:line="252" w:lineRule="auto"/>
            </w:pPr>
            <w:r/>
            <w:r>
              <w:rPr>
                <w:b w:val="0"/>
                <w:i w:val="0"/>
                <w:sz w:val="18"/>
              </w:rPr>
              <w:t>src_prod_cos_001</w:t>
            </w:r>
          </w:p>
        </w:tc>
        <w:tc>
          <w:tcPr>
            <w:tcW w:type="dxa" w:w="3359"/>
            <w:tcMar>
              <w:top w:w="50" w:type="dxa"/>
              <w:left w:w="90" w:type="dxa"/>
              <w:bottom w:w="50" w:type="dxa"/>
              <w:right w:w="90" w:type="dxa"/>
            </w:tcMar>
          </w:tcPr>
          <w:p>
            <w:pPr>
              <w:spacing w:after="0" w:line="252" w:lineRule="auto"/>
            </w:pPr>
            <w:r/>
            <w:r>
              <w:rPr>
                <w:b w:val="0"/>
                <w:i w:val="0"/>
                <w:sz w:val="18"/>
              </w:rPr>
              <w:t>Product catalog entry</w:t>
              <w:br/>
              <w:t>https://www.ibm.com/products/cloud-object-storage</w:t>
            </w:r>
          </w:p>
        </w:tc>
        <w:tc>
          <w:tcPr>
            <w:tcW w:type="dxa" w:w="1539"/>
            <w:tcMar>
              <w:top w:w="50" w:type="dxa"/>
              <w:left w:w="90" w:type="dxa"/>
              <w:bottom w:w="50" w:type="dxa"/>
              <w:right w:w="90" w:type="dxa"/>
            </w:tcMar>
          </w:tcPr>
          <w:p>
            <w:pPr>
              <w:spacing w:after="0" w:line="252" w:lineRule="auto"/>
            </w:pPr>
            <w:r/>
            <w:r>
              <w:rPr>
                <w:b w:val="0"/>
                <w:i w:val="0"/>
                <w:sz w:val="18"/>
              </w:rPr>
              <w:t>Product catalog</w:t>
            </w:r>
          </w:p>
        </w:tc>
        <w:tc>
          <w:tcPr>
            <w:tcW w:type="dxa" w:w="3359"/>
            <w:tcMar>
              <w:top w:w="50" w:type="dxa"/>
              <w:left w:w="90" w:type="dxa"/>
              <w:bottom w:w="50" w:type="dxa"/>
              <w:right w:w="90" w:type="dxa"/>
            </w:tcMar>
          </w:tcPr>
          <w:p>
            <w:pPr>
              <w:spacing w:after="0" w:line="252" w:lineRule="auto"/>
            </w:pPr>
            <w:r/>
            <w:r>
              <w:rPr>
                <w:b w:val="0"/>
                <w:i w:val="0"/>
                <w:sz w:val="18"/>
              </w:rPr>
              <w:t>verified 2026-10-01</w:t>
            </w:r>
          </w:p>
        </w:tc>
      </w:tr>
    </w:tbl>
    <w:p/>
    <w:p>
      <w:pPr>
        <w:pStyle w:val="Heading1"/>
      </w:pPr>
      <w:r>
        <w:t>Disclaimer</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9936"/>
      </w:tblGrid>
      <w:tr>
        <w:trPr>
          <w:cantSplit/>
        </w:trPr>
        <w:tc>
          <w:tcPr>
            <w:tcW w:type="dxa" w:w="9936"/>
            <w:shd w:val="clear" w:color="auto" w:fill="F7F8FA"/>
            <w:tcMar>
              <w:top w:w="50" w:type="dxa"/>
              <w:left w:w="90" w:type="dxa"/>
              <w:bottom w:w="50" w:type="dxa"/>
              <w:right w:w="90" w:type="dxa"/>
            </w:tcMar>
          </w:tcPr>
          <w:p>
            <w:pPr>
              <w:spacing w:after="0" w:line="252" w:lineRule="auto"/>
            </w:pPr>
            <w:r/>
            <w:r>
              <w:rPr>
                <w:b w:val="0"/>
                <w:i/>
                <w:color w:val="57606A"/>
                <w:sz w:val="18"/>
              </w:rPr>
              <w:t>Prepared for seller review. This document is formatted for client-ready presentation but has not been reviewed by a person: check every statement and remove anything unsuitable before sharing it outside your team. Customer and CRM data shown here is synthetic demonstration data unless a section states otherwise. Product statements come from catalog text and are not validated configurations. This document contains no pricing, quotes, performance guarantees or financial projections. Deal values are CRM records, not forecasts. This comparison uses only documented catalog text. It contains no pricing, no guaranteed recovery times, no performance benchmarks and no competitive claims. It is a preliminary aid for seller and solutions-engineer review, not a validated configuration or quote.</w:t>
            </w:r>
          </w:p>
        </w:tc>
      </w:tr>
    </w:tbl>
    <w:p>
      <w:pPr>
        <w:spacing w:after="40"/>
      </w:pPr>
    </w:p>
    <w:sectPr w:rsidR="00FC693F" w:rsidRPr="0006063C" w:rsidSect="00034616">
      <w:headerReference w:type="default" r:id="rId9"/>
      <w:footerReference w:type="default" r:id="rId10"/>
      <w:pgSz w:w="12240" w:h="15840"/>
      <w:pgMar w:top="1296"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3"/>
      </w:pBdr>
      <w:tabs>
        <w:tab w:val="right" w:pos="9936"/>
      </w:tabs>
    </w:pPr>
    <w:r/>
    <w:r>
      <w:rPr>
        <w:b w:val="0"/>
        <w:i w:val="0"/>
        <w:color w:val="57606A"/>
        <w:sz w:val="16"/>
      </w:rPr>
      <w:t>Synthetic demo data. Review before external use.</w:t>
    </w:r>
    <w:r>
      <w:rPr>
        <w:b w:val="0"/>
        <w:i w:val="0"/>
        <w:color w:val="57606A"/>
        <w:sz w:val="17"/>
      </w:rPr>
      <w:tab/>
      <w:t xml:space="preserve">Page </w:t>
    </w:r>
    <w:r>
      <w:rPr>
        <w:color w:val="57606A"/>
        <w:sz w:val="17"/>
      </w:rPr>
      <w:fldChar w:fldCharType="begin"/>
    </w:r>
    <w:r>
      <w:rPr>
        <w:color w:val="57606A"/>
        <w:sz w:val="17"/>
      </w:rPr>
      <w:instrText xml:space="preserve"> PAGE </w:instrText>
    </w:r>
    <w:r>
      <w:rPr>
        <w:color w:val="57606A"/>
        <w:sz w:val="17"/>
      </w:rPr>
      <w:fldChar w:fldCharType="separate"/>
    </w:r>
    <w:r>
      <w:rPr>
        <w:color w:val="57606A"/>
        <w:sz w:val="17"/>
      </w:rPr>
      <w:t>1</w:t>
    </w:r>
    <w:r>
      <w:rPr>
        <w:color w:val="57606A"/>
        <w:sz w:val="17"/>
      </w:rPr>
      <w:fldChar w:fldCharType="end"/>
    </w:r>
    <w:r>
      <w:rPr>
        <w:b w:val="0"/>
        <w:i w:val="0"/>
        <w:color w:val="57606A"/>
        <w:sz w:val="17"/>
      </w:rPr>
      <w:t xml:space="preserve"> of </w:t>
    </w:r>
    <w:r>
      <w:rPr>
        <w:color w:val="57606A"/>
        <w:sz w:val="17"/>
      </w:rPr>
      <w:fldChar w:fldCharType="begin"/>
    </w:r>
    <w:r>
      <w:rPr>
        <w:color w:val="57606A"/>
        <w:sz w:val="17"/>
      </w:rPr>
      <w:instrText xml:space="preserve"> NUMPAGES </w:instrText>
    </w:r>
    <w:r>
      <w:rPr>
        <w:color w:val="57606A"/>
        <w:sz w:val="17"/>
      </w:rPr>
      <w:fldChar w:fldCharType="separate"/>
    </w:r>
    <w:r>
      <w:rPr>
        <w:color w:val="57606A"/>
        <w:sz w:val="17"/>
      </w:rPr>
      <w:t>1</w:t>
    </w:r>
    <w:r>
      <w:rPr>
        <w:color w:val="57606A"/>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9D3E3"/>
      </w:pBdr>
      <w:tabs>
        <w:tab w:val="right" w:pos="9936"/>
      </w:tabs>
    </w:pPr>
    <w:r/>
    <w:r>
      <w:rPr>
        <w:b w:val="0"/>
        <w:i w:val="0"/>
        <w:color w:val="57606A"/>
        <w:sz w:val="17"/>
      </w:rPr>
      <w:t>Solution Comparison Report: Acme Healthcare</w:t>
    </w:r>
    <w:r>
      <w:rPr>
        <w:b w:val="0"/>
        <w:i/>
        <w:color w:val="57606A"/>
        <w:sz w:val="17"/>
      </w:rPr>
      <w:tab/>
      <w:t>DRAFT - for seller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b w:val="0"/>
      <w:i w:val="0"/>
      <w:color w:val="1F2328"/>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A3A6C"/>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libri" w:hAnsi="Calibri" w:eastAsia="Calibri" w:cs="Calibri"/>
      <w:b/>
      <w:bCs/>
      <w:i w:val="0"/>
      <w:color w:val="1F5BA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Calibri" w:hAnsi="Calibri" w:eastAsia="Calibri" w:cs="Calibri"/>
      <w:b/>
      <w:bCs/>
      <w:i w:val="0"/>
      <w:color w:val="1F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Calibri" w:hAnsi="Calibri" w:eastAsia="Calibri" w:cs="Calibri"/>
      <w:b/>
      <w:i w:val="0"/>
      <w:color w:val="1A3A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b w:val="0"/>
      <w:i w:val="0"/>
      <w:color w:val="1F23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s="Calibri"/>
      <w:b w:val="0"/>
      <w:i w:val="0"/>
      <w:color w:val="1F23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Comparison Report: Acme Healthcare</dc:title>
  <dc:subject/>
  <dc:creator>SalesFlow Document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