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5B5B5"/>
          <w:left w:val="single" w:sz="4" w:color="B5B5B5"/>
          <w:bottom w:val="single" w:sz="4" w:color="B5B5B5"/>
          <w:right w:val="single" w:sz="4" w:color="B5B5B5"/>
          <w:insideH w:val="single" w:sz="4" w:color="B5B5B5"/>
          <w:insideV w:val="single" w:sz="4" w:color="B5B5B5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vAlign w:val="center"/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Header"/>
            </w:pPr>
            <w:r>
              <w:t>Servicio</w:t>
            </w:r>
          </w:p>
        </w:tc>
        <w:tc>
          <w:tcPr>
            <w:tcW w:type="dxa" w:w="6660"/>
            <w:vAlign w:val="center"/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Header"/>
            </w:pPr>
            <w:r>
              <w:t>Función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Empleados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Registra y actualiza los datos de los empleados: sueldo, puesto, departamento y fecha de ingreso. Permite desactivarlos y conservar su historial.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Asistencias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Registra asistencias, faltas y permisos pagados por empleado y fecha. Determina los días que se pagan al generar la nómina.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Incidencias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Registra bonos y deducciones con fecha, concepto e importe. Los bonos se suman y las deducciones se restan al calcular la nómina.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Nóminas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Reúne empleados, asistencias e incidencias para generar nóminas. Permite revisar la vista previa, consultar el detalle y el historial, y cancelar borradores.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Reportes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Muestra los indicadores del sistema y exporta la información de empleados y nóminas a archivos CSV.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Autenticación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Verifica el correo y la contraseña, controla el acceso por rol y administra las sesiones. Permite cerrar sesiones y cambiar la contraseña.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Cálculo de nóminas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Calcula el sueldo proporcional a los días pagados, suma bonos y resta deducciones. Valida los periodos y los importes usando centavos enteros.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Pagos de nóminas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Marca una nómina como pagada y guarda la fecha. Permite consultar los pagos registrados; no realiza transferencias bancarias.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Administración de usuarios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Pendiente por hacer: crear y modificar cuentas de acceso y asignar roles de administrador o solo consulta desde el sistema.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Auditoría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ServiceTableText"/>
            </w:pPr>
            <w:r>
              <w:t>Pendiente por hacer: registrar y consultar quién realizó cada cambio, qué acción ejecutó y cuándo ocurrió.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left"/>
    </w:pPr>
    <w:rPr>
      <w:rFonts w:ascii="Calibri" w:hAnsi="Calibri" w:eastAsia="Calibri"/>
      <w:b w:val="0"/>
      <w:color w:val="000000"/>
      <w:sz w:val="22"/>
      <w:lang w:val="es-MX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  <w:lang w:val="es-MX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  <w:lang w:val="es-MX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jc w:val="left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  <w:lang w:val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264" w:lineRule="auto" w:before="0"/>
      <w:contextualSpacing/>
      <w:jc w:val="left"/>
    </w:pPr>
    <w:rPr>
      <w:rFonts w:asciiTheme="majorHAnsi" w:eastAsiaTheme="majorEastAsia" w:hAnsiTheme="majorHAnsi" w:cstheme="majorBidi" w:ascii="Calibri" w:hAnsi="Calibri" w:eastAsia="Calibri"/>
      <w:b w:val="0"/>
      <w:color w:val="000000"/>
      <w:spacing w:val="5"/>
      <w:kern w:val="28"/>
      <w:sz w:val="48"/>
      <w:szCs w:val="52"/>
      <w:lang w:val="es-MX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64" w:lineRule="auto"/>
      <w:jc w:val="left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555555"/>
      <w:spacing w:val="15"/>
      <w:sz w:val="22"/>
      <w:szCs w:val="24"/>
      <w:lang w:val="es-MX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rviceTableText">
    <w:name w:val="Service Table Text"/>
    <w:pPr>
      <w:widowControl/>
      <w:spacing w:before="0" w:after="0" w:line="264" w:lineRule="auto"/>
      <w:jc w:val="left"/>
    </w:pPr>
    <w:rPr>
      <w:rFonts w:ascii="Calibri" w:hAnsi="Calibri" w:eastAsia="Calibri"/>
      <w:b w:val="0"/>
      <w:color w:val="000000"/>
      <w:sz w:val="22"/>
      <w:lang w:val="es-MX"/>
    </w:rPr>
  </w:style>
  <w:style w:type="paragraph" w:customStyle="1" w:styleId="ServiceTableHeader">
    <w:name w:val="Service Table Header"/>
    <w:pPr>
      <w:widowControl/>
      <w:spacing w:before="0" w:after="0" w:line="264" w:lineRule="auto"/>
      <w:jc w:val="left"/>
    </w:pPr>
    <w:rPr>
      <w:rFonts w:ascii="Calibri" w:hAnsi="Calibri" w:eastAsia="Calibri"/>
      <w:b/>
      <w:color w:val="000000"/>
      <w:sz w:val="22"/>
      <w:lang w:val="es-MX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servicios</dc:title>
  <dc:subject>Servicios y funciones del proyecto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