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096" w:hRule="atLeas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50"/>
              </w:rPr>
              <w:t>CLIENT AGREEMENT   ·   MASTER SERVICES</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680" w:after="0"/>
              <w:jc w:val="left"/>
            </w:pPr>
            <w:r>
              <w:rPr>
                <w:rFonts w:ascii="Tw Cen MT" w:hAnsi="Tw Cen MT" w:cs="Tw Cen MT" w:eastAsia="Tw Cen MT"/>
                <w:b w:val="0"/>
                <w:color w:val="FFFFFF"/>
                <w:sz w:val="48"/>
              </w:rPr>
              <w:t>Master Services Agreement</w:t>
            </w:r>
          </w:p>
          <w:p>
            <w:pPr>
              <w:spacing w:before="0" w:after="80"/>
              <w:jc w:val="left"/>
              <w:pBdr>
                <w:bottom w:val="single" w:sz="4" w:space="4" w:color="555555"/>
              </w:pBdr>
            </w:pPr>
            <w:r>
              <w:rPr>
                <w:rFonts w:ascii="Tw Cen MT" w:hAnsi="Tw Cen MT" w:cs="Tw Cen MT" w:eastAsia="Tw Cen MT"/>
                <w:b w:val="0"/>
                <w:color w:val="B87333"/>
                <w:sz w:val="26"/>
              </w:rPr>
              <w:t>Luwah Technologies LLC standard terms for automation, web and technology services</w:t>
            </w:r>
          </w:p>
          <w:p>
            <w:pPr>
              <w:spacing w:before="120" w:after="0"/>
              <w:jc w:val="left"/>
            </w:pPr>
            <w:r>
              <w:rPr>
                <w:rFonts w:ascii="Open Sans" w:hAnsi="Open Sans" w:cs="Open Sans" w:eastAsia="Open Sans"/>
                <w:b w:val="0"/>
                <w:color w:val="CCCCCC"/>
                <w:sz w:val="21"/>
              </w:rPr>
              <w:t>[Client name]   |   [Client website or project]</w:t>
            </w:r>
          </w:p>
          <w:p>
            <w:pPr>
              <w:spacing w:before="168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[MSA-YYYY-NN]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Master Services Agreement</w:t>
      </w:r>
    </w:p>
    <w:p>
      <w:pPr>
        <w:spacing w:after="200"/>
      </w:pPr>
      <w:r>
        <w:rPr>
          <w:rFonts w:ascii="Tw Cen MT" w:hAnsi="Tw Cen MT" w:cs="Tw Cen MT" w:eastAsia="Tw Cen MT"/>
          <w:b w:val="0"/>
          <w:color w:val="4A90A4"/>
          <w:sz w:val="22"/>
        </w:rPr>
        <w:t>Luwah Technologies LLC standard terms for automation, web and technology services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[MSA-YYYY-NN]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Client contact</w:t>
            </w:r>
          </w:p>
        </w:tc>
        <w:tc>
          <w:tcPr>
            <w:tcW w:type="dxa" w:w="6480"/>
          </w:tcPr>
          <w:p>
            <w:pPr>
              <w:spacing w:after="40" w:before="40"/>
            </w:pPr>
            <w:r/>
            <w:r>
              <w:rPr>
                <w:rFonts w:ascii="Open Sans" w:hAnsi="Open Sans" w:cs="Open Sans" w:eastAsia="Open Sans"/>
                <w:b/>
                <w:i w:val="0"/>
                <w:color w:val="B87333"/>
                <w:sz w:val="19"/>
              </w:rPr>
              <w:t>[Name, title, email]</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SOW reference</w:t>
            </w:r>
          </w:p>
        </w:tc>
        <w:tc>
          <w:tcPr>
            <w:tcW w:type="dxa" w:w="6480"/>
          </w:tcPr>
          <w:p>
            <w:pPr>
              <w:spacing w:after="40" w:before="40"/>
            </w:pPr>
            <w:r/>
            <w:r>
              <w:rPr>
                <w:rFonts w:ascii="Open Sans" w:hAnsi="Open Sans" w:cs="Open Sans" w:eastAsia="Open Sans"/>
                <w:b/>
                <w:i w:val="0"/>
                <w:color w:val="B87333"/>
                <w:sz w:val="19"/>
              </w:rPr>
              <w:t>[SOW-YYYY-NN,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[Sum of signed SOWs, updated as SOWs are added]</w:t>
            </w:r>
          </w:p>
        </w:tc>
      </w:tr>
      <w:tr>
        <w:tc>
          <w:tcPr>
            <w:tcW w:type="dxa" w:w="2880"/>
            <w:shd w:val="clear" w:color="auto" w:fill="F3F6F7"/>
          </w:tcPr>
          <w:p>
            <w:pPr>
              <w:spacing w:after="40" w:before="40"/>
            </w:pPr>
            <w:r/>
            <w:r>
              <w:rPr>
                <w:rFonts w:ascii="Open Sans" w:hAnsi="Open Sans" w:cs="Open Sans" w:eastAsia="Open Sans"/>
                <w:b/>
                <w:i w:val="0"/>
                <w:color w:val="262626"/>
                <w:sz w:val="19"/>
              </w:rPr>
              <w:t>Initial Term end</w:t>
            </w:r>
          </w:p>
        </w:tc>
        <w:tc>
          <w:tcPr>
            <w:tcW w:type="dxa" w:w="6480"/>
          </w:tcPr>
          <w:p>
            <w:pPr>
              <w:spacing w:after="40" w:before="40"/>
            </w:pPr>
            <w:r/>
            <w:r>
              <w:rPr>
                <w:rFonts w:ascii="Open Sans" w:hAnsi="Open Sans" w:cs="Open Sans" w:eastAsia="Open Sans"/>
                <w:b/>
                <w:i w:val="0"/>
                <w:color w:val="B87333"/>
                <w:sz w:val="19"/>
              </w:rPr>
              <w:t>[Effective Date plus 12 months]</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Master Services Agreement (the "Agreement") is between Luwah Technologies LLC, a Colorado limited liability company ("Provider"), and the client named in the Agreement Summary above ("Client"). Provider and Client are each a "Party" and together the "Parties". The Agreement takes effect on the Effective Date.</w:t>
      </w:r>
    </w:p>
    <w:p>
      <w:r>
        <w:rPr>
          <w:rFonts w:ascii="Open Sans" w:hAnsi="Open Sans" w:cs="Open Sans" w:eastAsia="Open Sans"/>
          <w:b w:val="0"/>
          <w:i w:val="0"/>
          <w:color w:val="262626"/>
          <w:sz w:val="21"/>
        </w:rPr>
        <w:t>This Agreement sets the terms that apply to every project. Each project is described in a Statement of Work. Signing a Statement of Work does not reopen these terms.</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"Statement of Work" or "SOW" </w:t>
      </w:r>
      <w:r>
        <w:rPr>
          <w:rFonts w:ascii="Open Sans" w:hAnsi="Open Sans" w:cs="Open Sans" w:eastAsia="Open Sans"/>
          <w:b w:val="0"/>
          <w:i w:val="0"/>
          <w:color w:val="262626"/>
          <w:sz w:val="21"/>
        </w:rPr>
        <w:t>means a document in substantially the form of Exhibit A, signed by both Parties, that describes the Services, Deliverables, fees and dates for a project or a recurring service.</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Provider performs under an SOW.</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"Deliverables" </w:t>
      </w:r>
      <w:r>
        <w:rPr>
          <w:rFonts w:ascii="Open Sans" w:hAnsi="Open Sans" w:cs="Open Sans" w:eastAsia="Open Sans"/>
          <w:b w:val="0"/>
          <w:i w:val="0"/>
          <w:color w:val="262626"/>
          <w:sz w:val="21"/>
        </w:rPr>
        <w:t>means the items an SOW identifies for delivery to Client.</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the Deliverables and any other original material Provider creates specifically for Client under an SOW. Work Product excludes Background IP.</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Services, or creates during the Services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1.6</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1.7</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in any form, that is marked confidential or that a reasonable person would treat as confidential. It includes business data, credentials, pricing, customer lists, source code and the terms of this Agreement.</w:t>
      </w:r>
    </w:p>
    <w:p>
      <w:pPr>
        <w:tabs>
          <w:tab w:pos="648" w:val="left"/>
        </w:tabs>
        <w:ind w:left="648" w:hanging="648"/>
      </w:pPr>
      <w:r>
        <w:rPr>
          <w:rFonts w:ascii="Open Sans" w:hAnsi="Open Sans" w:cs="Open Sans" w:eastAsia="Open Sans"/>
          <w:b/>
          <w:i w:val="0"/>
          <w:color w:val="4A90A4"/>
          <w:sz w:val="21"/>
        </w:rPr>
        <w:t>1.8</w:t>
        <w:tab/>
      </w:r>
      <w:r>
        <w:rPr>
          <w:rFonts w:ascii="Open Sans" w:hAnsi="Open Sans" w:cs="Open Sans" w:eastAsia="Open Sans"/>
          <w:b/>
          <w:i w:val="0"/>
          <w:color w:val="262626"/>
          <w:sz w:val="21"/>
        </w:rPr>
        <w:t xml:space="preserve">"Change Order" </w:t>
      </w:r>
      <w:r>
        <w:rPr>
          <w:rFonts w:ascii="Open Sans" w:hAnsi="Open Sans" w:cs="Open Sans" w:eastAsia="Open Sans"/>
          <w:b w:val="0"/>
          <w:i w:val="0"/>
          <w:color w:val="262626"/>
          <w:sz w:val="21"/>
        </w:rPr>
        <w:t>means a document in substantially the form of Exhibit C, signed by both Parties.</w:t>
      </w:r>
    </w:p>
    <w:p>
      <w:pPr>
        <w:tabs>
          <w:tab w:pos="648" w:val="left"/>
        </w:tabs>
        <w:ind w:left="648" w:hanging="648"/>
      </w:pPr>
      <w:r>
        <w:rPr>
          <w:rFonts w:ascii="Open Sans" w:hAnsi="Open Sans" w:cs="Open Sans" w:eastAsia="Open Sans"/>
          <w:b/>
          <w:i w:val="0"/>
          <w:color w:val="4A90A4"/>
          <w:sz w:val="21"/>
        </w:rPr>
        <w:t>1.9</w:t>
        <w:tab/>
      </w:r>
      <w:r>
        <w:rPr>
          <w:rFonts w:ascii="Open Sans" w:hAnsi="Open Sans" w:cs="Open Sans" w:eastAsia="Open Sans"/>
          <w:b/>
          <w:i w:val="0"/>
          <w:color w:val="262626"/>
          <w:sz w:val="21"/>
        </w:rPr>
        <w:t xml:space="preserve">"Acceptance" and "Project Completion" </w:t>
      </w:r>
      <w:r>
        <w:rPr>
          <w:rFonts w:ascii="Open Sans" w:hAnsi="Open Sans" w:cs="Open Sans" w:eastAsia="Open Sans"/>
          <w:b w:val="0"/>
          <w:i w:val="0"/>
          <w:color w:val="262626"/>
          <w:sz w:val="21"/>
        </w:rPr>
        <w:t>have the meanings in Section 10.</w:t>
      </w:r>
    </w:p>
    <w:p>
      <w:pPr>
        <w:pStyle w:val="Heading1"/>
      </w:pPr>
      <w:r>
        <w:t>2. How This Agreement and SOWs Work Together</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This Agreement applies to every SOW. Each SOW incorporates this Agreement. Together they form one contract for that SOW.</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An SOW may change a term of this Agreement only by naming the section it changes. The change applies to that SOW only.</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If the Parties signed a proposal, letter of agreement or quote for the same work, this Agreement and the SOW control over it.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Each SOW is a separate obligation. Ending one SOW does not end this Agreement or any other SOW.</w:t>
      </w:r>
    </w:p>
    <w:p>
      <w:pPr>
        <w:pStyle w:val="Heading1"/>
      </w:pPr>
      <w:r>
        <w:t>3. Services</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Provider will perform the Services and deliver the Deliverables described in each SOW with reasonable skill and care, consistent with industry standards.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Where an SOW defines a Deliverable by its outcome, Provider chooses the method, tools and platforms used to reach that outcome. A change to a third-party platform, API or service that requires a different method is not a change in scope.</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Work not described in an SOW is out of scope. Out-of-scope work needs a signed Change Order before it starts. Provider may decline a change request.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Provider may use subcontractors. Provider remains responsible for their work and binds each of them in writing to confidentiality and intellectual property terms at least as protective as this Agreement.</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Provider may use AI-assisted tools in creating Work Product. Provider applies human authorship, review, selection and arrangement to all Work Product and remains responsible for it. Provider will not submit Client Confidential Information to an AI tool that trains on submitted data. Client acknowledges that the copyright status of material generated by an AI tool without human authorship is unsettled, and that Provider does not warrant copyright protection for any such portion.</w:t>
      </w:r>
    </w:p>
    <w:p>
      <w:pPr>
        <w:pStyle w:val="Heading1"/>
      </w:pPr>
      <w:r>
        <w:t>4. Client Responsibilities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Client will provide, at its own cost, the access, information, decisions and approvals each SOW requires, and will respond to Provider's requests within 3 business days unless the SOW says otherwise.</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Client will name one point of contact with authority to approve Deliverables and Change Orders.</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Client is responsible for the accuracy and lawful use of Client Materials, for holding the rights needed to give them to Provider, and for backups of Client data before, during and after the Services, unless an SOW assigns backups to Provider.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val="0"/>
          <w:i w:val="0"/>
          <w:color w:val="262626"/>
          <w:sz w:val="21"/>
        </w:rPr>
        <w:t>Delay caused by Client extends every affected date by at least the length of the delay. If Client delay exceeds 30 days, Provider may invoice the work completed to date and pause the SOW until Client is ready to continue.</w:t>
      </w:r>
    </w:p>
    <w:p>
      <w:pPr>
        <w:pStyle w:val="Heading1"/>
      </w:pPr>
      <w:r>
        <w:t>5. Fees and Payment</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pays the fees stated in each SOW. All amounts are in US dollars.</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Unless the SOW says otherwise, a deposit of 50% of any fixed fee is due when the SOW is signed. Work starts when the SOW is signed and the deposit has cleared.</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val="0"/>
          <w:i w:val="0"/>
          <w:color w:val="262626"/>
          <w:sz w:val="21"/>
        </w:rPr>
        <w:t>Hourly work is billed in 15-minute increments at the rate schedule in the SOW. Provider invoices hourly work monthly with an itemized summary, unless the SOW says otherwise.</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val="0"/>
          <w:i w:val="0"/>
          <w:color w:val="262626"/>
          <w:sz w:val="21"/>
        </w:rPr>
        <w:t>Invoices are due within 14 days of the invoice date (Net 14). Client pays by ACH, credit card, debit card, or another method Provider accepts in writing.</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val="0"/>
          <w:i w:val="0"/>
          <w:color w:val="262626"/>
          <w:sz w:val="21"/>
        </w:rPr>
        <w:t>Overdue amounts accrue a late charge of 1.5% per month, or the highest rate the law allows if that is lower. If an invoice is more than 10 days overdue, Provider may suspend the Services and withhold Deliverables after 5 days' written notice, until payment clears.</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val="0"/>
          <w:i w:val="0"/>
          <w:color w:val="262626"/>
          <w:sz w:val="21"/>
        </w:rPr>
        <w:t>Client must dispute an invoice in writing within 7 days of the invoice date and state the reason. Client pays the undisputed part on time. The Parties resolve the dispute in good faith.</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val="0"/>
          <w:i w:val="0"/>
          <w:color w:val="262626"/>
          <w:sz w:val="21"/>
        </w:rPr>
        <w:t>Third-party costs an SOW requires, such as hosting, software licenses, domain registrations and API usage, are pass-through costs. Client pays them directly where possible. Where Provider pays them, Provider invoices them at cost with receipts, and obtains Client's prior written approval for any single item over $100.</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val="0"/>
          <w:i w:val="0"/>
          <w:color w:val="262626"/>
          <w:sz w:val="21"/>
        </w:rPr>
        <w:t>Fees exclude taxes. Client pays any sales, use or similar tax that applies to the Services, other than tax on Provider's income.</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val="0"/>
          <w:i w:val="0"/>
          <w:color w:val="262626"/>
          <w:sz w:val="21"/>
        </w:rPr>
        <w:t>Provider applies each deposit to the amounts due under the SOW. Deposits are not refunded once work has started, except as Section 6.3 provides.</w:t>
      </w:r>
    </w:p>
    <w:p>
      <w:pPr>
        <w:pStyle w:val="Heading1"/>
      </w:pPr>
      <w:r>
        <w:t>6. Term and Termination</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This Agreement starts on the Effective Date and continues for 12 months (the "Initial Term"). It then renews for successive 12-month terms unless either Party gives written notice of non-renewal at least 30 days before the current term ends. Expiry of this Agreement does not end an SOW already in progress. This Agreement continues to govern that SOW until it is complete or terminated.</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An SOW for a recurring service, such as hosting, maintenance or a retainer, runs month to month after any initial period stated in the SOW. Either Party may end it with 30 days' written notice.</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Either Party may terminate an SOW for convenience with 14 days' written notice. Client pays for all Services performed and expenses incurred up to the termination date, including work in progress, at the SOW rates. For a fixed fee, Client pays the greater of the deposit already paid and a proportionate share of the fee for the work completed. Provider refunds any part of the deposit above that amount, and Client pays any shortfall within 14 days.</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Either Party may terminate this Agreement or an SOW for material breach if the breach is not cured within 10 days of written notice describing it. Non-payment is a material breach.</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val="0"/>
          <w:i w:val="0"/>
          <w:color w:val="262626"/>
          <w:sz w:val="21"/>
        </w:rPr>
        <w:t>When an SOW ends for any reason:</w:t>
      </w:r>
    </w:p>
    <w:p>
      <w:pPr>
        <w:pStyle w:val="ListBullet"/>
        <w:spacing w:after="60"/>
        <w:ind w:left="1152" w:hanging="360"/>
      </w:pPr>
      <w:r>
        <w:rPr>
          <w:rFonts w:ascii="Open Sans" w:hAnsi="Open Sans" w:cs="Open Sans" w:eastAsia="Open Sans"/>
          <w:b w:val="0"/>
          <w:i w:val="0"/>
          <w:color w:val="262626"/>
          <w:sz w:val="21"/>
        </w:rPr>
        <w:t>Client pays all amounts due within 14 days.</w:t>
      </w:r>
    </w:p>
    <w:p>
      <w:pPr>
        <w:pStyle w:val="ListBullet"/>
        <w:spacing w:after="60"/>
        <w:ind w:left="1152" w:hanging="360"/>
      </w:pPr>
      <w:r>
        <w:rPr>
          <w:rFonts w:ascii="Open Sans" w:hAnsi="Open Sans" w:cs="Open Sans" w:eastAsia="Open Sans"/>
          <w:b w:val="0"/>
          <w:i w:val="0"/>
          <w:color w:val="262626"/>
          <w:sz w:val="21"/>
        </w:rPr>
        <w:t>On receipt of payment, Provider delivers the Work Product completed to that date.</w:t>
      </w:r>
    </w:p>
    <w:p>
      <w:pPr>
        <w:pStyle w:val="ListBullet"/>
        <w:spacing w:after="60"/>
        <w:ind w:left="1152" w:hanging="360"/>
      </w:pPr>
      <w:r>
        <w:rPr>
          <w:rFonts w:ascii="Open Sans" w:hAnsi="Open Sans" w:cs="Open Sans" w:eastAsia="Open Sans"/>
          <w:b w:val="0"/>
          <w:i w:val="0"/>
          <w:color w:val="262626"/>
          <w:sz w:val="21"/>
        </w:rPr>
        <w:t>Provider returns or deletes Client Materials and Client Confidential Information within 30 days, except copies held in routine backups or that the law requires Provider to keep.</w:t>
      </w:r>
    </w:p>
    <w:p>
      <w:pPr>
        <w:pStyle w:val="ListBullet"/>
        <w:spacing w:after="60"/>
        <w:ind w:left="1152" w:hanging="360"/>
      </w:pPr>
      <w:r>
        <w:rPr>
          <w:rFonts w:ascii="Open Sans" w:hAnsi="Open Sans" w:cs="Open Sans" w:eastAsia="Open Sans"/>
          <w:b w:val="0"/>
          <w:i w:val="0"/>
          <w:color w:val="262626"/>
          <w:sz w:val="21"/>
        </w:rPr>
        <w:t>Client revokes Provider's access to Client systems, and Provider deletes any Client credentials it holds, within 5 business days.</w:t>
      </w:r>
    </w:p>
    <w:p>
      <w:pPr>
        <w:pStyle w:val="ListBullet"/>
        <w:spacing w:after="60"/>
        <w:ind w:left="1152" w:hanging="360"/>
      </w:pPr>
      <w:r>
        <w:rPr>
          <w:rFonts w:ascii="Open Sans" w:hAnsi="Open Sans" w:cs="Open Sans" w:eastAsia="Open Sans"/>
          <w:b w:val="0"/>
          <w:i w:val="0"/>
          <w:color w:val="262626"/>
          <w:sz w:val="21"/>
        </w:rPr>
        <w:t>If Client asks, Provider gives reasonable transition assistance at the hourly rate in the SOW or Provider's then-current rate.</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val="0"/>
          <w:i w:val="0"/>
          <w:color w:val="262626"/>
          <w:sz w:val="21"/>
        </w:rPr>
        <w:t>Sections 5, 7, 8, 9, 10.3 to 10.5, 11, 12, 14 and 15, and any other term that by its nature should survive, survive the end of this Agreement.</w:t>
      </w:r>
    </w:p>
    <w:p>
      <w:pPr>
        <w:pStyle w:val="Heading1"/>
      </w:pPr>
      <w:r>
        <w:t>7. Intellectual Property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Client keeps all rights in Client Materials. Client grants Provider a non-exclusive license to use Client Materials only to perform the Services.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When Client has paid in full all fees due under the applicable SOW, the Work Product is a "work made for hire" for Client to the extent the law allows. To the extent any Work Product is not a work made for hire, Provider assigns to Client, on that payment, all right, title and interest in it worldwide, including copyright. Until payment in full, Provider owns the Work Product and Client may use it only to review it.</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Provider keeps all rights in Background IP. Where Background IP is incorporated into a Deliverable, Provider grants Client a perpetual, worldwide, non-exclusive, royalty-free license to use, copy, modify and distribute that Background IP as part of the Deliverable for Client's business purposes. Client may not sell or license the Background IP on its own or separate it from the Deliverable for that purpose.</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i w:val="0"/>
          <w:color w:val="262626"/>
          <w:sz w:val="21"/>
        </w:rPr>
        <w:t xml:space="preserve">Third-party and open source components. </w:t>
      </w:r>
      <w:r>
        <w:rPr>
          <w:rFonts w:ascii="Open Sans" w:hAnsi="Open Sans" w:cs="Open Sans" w:eastAsia="Open Sans"/>
          <w:b w:val="0"/>
          <w:i w:val="0"/>
          <w:color w:val="262626"/>
          <w:sz w:val="21"/>
        </w:rPr>
        <w:t>Deliverables may include third-party or open source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stops Provider from using the general skills, knowledge, experience and techniques it gains while performing the Services, provided Provider does not use or disclose Client Confidential Information.</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i w:val="0"/>
          <w:color w:val="262626"/>
          <w:sz w:val="21"/>
        </w:rPr>
        <w:t xml:space="preserve">Portfolio. </w:t>
      </w:r>
      <w:r>
        <w:rPr>
          <w:rFonts w:ascii="Open Sans" w:hAnsi="Open Sans" w:cs="Open Sans" w:eastAsia="Open Sans"/>
          <w:b w:val="0"/>
          <w:i w:val="0"/>
          <w:color w:val="262626"/>
          <w:sz w:val="21"/>
        </w:rPr>
        <w:t>Provider may name Client and describe the general nature of the Services in Provider's portfolio and marketing only with Client's prior written consent, which may be given by email, and without disclosing Confidential Information. Client may withdraw consent at any time by written notice.</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Each Party will sign the documents reasonably needed to record the rights granted in this Section.</w:t>
      </w:r>
    </w:p>
    <w:p>
      <w:pPr>
        <w:pStyle w:val="Heading1"/>
      </w:pPr>
      <w:r>
        <w:t>8. Confidentiality</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Each Party will use the other Party's Confidential Information only to perform or receive the Services. Each Party will protect it with at least the care it uses for its own confidential information, and never less than reasonable care. Each Party will disclose it only to its employees, contractors and advisers who need to know it and who are bound by written confidentiality obligations at least as protective as this Section.</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Confidential Information does not include information that (a) is or becomes public through no fault of the receiving Party, (b) the receiving Party already knew without a duty of confidence, (c) the receiving Party lawfully receives from a third party without a duty of confidence, or (d) the receiving Party develops independently without using the other Party's Confidential Information.</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A Party may disclose Confidential Information when the law or a court requires it, after giving the other Party prompt notice where lawful and cooperating with any effort to limit the disclosure.</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8.5</w:t>
        <w:tab/>
      </w:r>
      <w:r>
        <w:rPr>
          <w:rFonts w:ascii="Open Sans" w:hAnsi="Open Sans" w:cs="Open Sans" w:eastAsia="Open Sans"/>
          <w:b w:val="0"/>
          <w:i w:val="0"/>
          <w:color w:val="262626"/>
          <w:sz w:val="21"/>
        </w:rPr>
        <w:t>If a mutual non-disclosure agreement between the Parties is in force, this Section applies in addition to it. Where they conflict, the term that gives the disclosing Party more protection applies.</w:t>
      </w:r>
    </w:p>
    <w:p>
      <w:pPr>
        <w:pStyle w:val="Heading1"/>
      </w:pPr>
      <w:r>
        <w:t>9. Credentials, Data and Security</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Client will grant Provider the least access needed for the Services, through named accounts or roles where the platform allows, rather than shared passwords.</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Provider stores Client credentials in an encrypted password manager, enables multi-factor authentication where the platform offers it, does not share credentials with anyone not working on the Services, and does not store them in email, chat or source code.</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Provider will notify Client within 72 hours of learning of unauthorized access to Client systems or data that arises from the Services, and will cooperate with Client's response.</w:t>
      </w:r>
    </w:p>
    <w:p>
      <w:pPr>
        <w:tabs>
          <w:tab w:pos="648" w:val="left"/>
        </w:tabs>
        <w:ind w:left="648" w:hanging="648"/>
      </w:pPr>
      <w:r>
        <w:rPr>
          <w:rFonts w:ascii="Open Sans" w:hAnsi="Open Sans" w:cs="Open Sans" w:eastAsia="Open Sans"/>
          <w:b/>
          <w:i w:val="0"/>
          <w:color w:val="4A90A4"/>
          <w:sz w:val="21"/>
        </w:rPr>
        <w:t>9.4</w:t>
        <w:tab/>
      </w:r>
      <w:r>
        <w:rPr>
          <w:rFonts w:ascii="Open Sans" w:hAnsi="Open Sans" w:cs="Open Sans" w:eastAsia="Open Sans"/>
          <w:b w:val="0"/>
          <w:i w:val="0"/>
          <w:color w:val="262626"/>
          <w:sz w:val="21"/>
        </w:rPr>
        <w:t>Client remains responsible for its own data and for the legal obligations that apply to it, including any privacy or sector-specific law. Provider will follow Client's reasonable written instructions about Client data. Where the Services involve regulated data, the SOW must say so and may add terms.</w:t>
      </w:r>
    </w:p>
    <w:p>
      <w:pPr>
        <w:tabs>
          <w:tab w:pos="648" w:val="left"/>
        </w:tabs>
        <w:ind w:left="648" w:hanging="648"/>
      </w:pPr>
      <w:r>
        <w:rPr>
          <w:rFonts w:ascii="Open Sans" w:hAnsi="Open Sans" w:cs="Open Sans" w:eastAsia="Open Sans"/>
          <w:b/>
          <w:i w:val="0"/>
          <w:color w:val="4A90A4"/>
          <w:sz w:val="21"/>
        </w:rPr>
        <w:t>9.5</w:t>
        <w:tab/>
      </w:r>
      <w:r>
        <w:rPr>
          <w:rFonts w:ascii="Open Sans" w:hAnsi="Open Sans" w:cs="Open Sans" w:eastAsia="Open Sans"/>
          <w:b w:val="0"/>
          <w:i w:val="0"/>
          <w:color w:val="262626"/>
          <w:sz w:val="21"/>
        </w:rPr>
        <w:t>Provider is not responsible for the availability, performance or changes of third-party platforms, services or APIs, or for problems caused by changes Client or a third party makes to a Deliverable after Acceptance.</w:t>
      </w:r>
    </w:p>
    <w:p>
      <w:pPr>
        <w:tabs>
          <w:tab w:pos="648" w:val="left"/>
        </w:tabs>
        <w:ind w:left="648" w:hanging="648"/>
      </w:pPr>
      <w:r>
        <w:rPr>
          <w:rFonts w:ascii="Open Sans" w:hAnsi="Open Sans" w:cs="Open Sans" w:eastAsia="Open Sans"/>
          <w:b/>
          <w:i w:val="0"/>
          <w:color w:val="4A90A4"/>
          <w:sz w:val="21"/>
        </w:rPr>
        <w:t>9.6</w:t>
        <w:tab/>
      </w:r>
      <w:r>
        <w:rPr>
          <w:rFonts w:ascii="Open Sans" w:hAnsi="Open Sans" w:cs="Open Sans" w:eastAsia="Open Sans"/>
          <w:b w:val="0"/>
          <w:i w:val="0"/>
          <w:color w:val="262626"/>
          <w:sz w:val="21"/>
        </w:rPr>
        <w:t>Access ends with the SOW. Section 6.5 applies.</w:t>
      </w:r>
    </w:p>
    <w:p>
      <w:pPr>
        <w:pStyle w:val="Heading1"/>
      </w:pPr>
      <w:r>
        <w:t>10. Acceptance and Warranty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i w:val="0"/>
          <w:color w:val="262626"/>
          <w:sz w:val="21"/>
        </w:rPr>
        <w:t xml:space="preserve">Acceptance. </w:t>
      </w:r>
      <w:r>
        <w:rPr>
          <w:rFonts w:ascii="Open Sans" w:hAnsi="Open Sans" w:cs="Open Sans" w:eastAsia="Open Sans"/>
          <w:b w:val="0"/>
          <w:i w:val="0"/>
          <w:color w:val="262626"/>
          <w:sz w:val="21"/>
        </w:rPr>
        <w:t>When Provider delivers a Deliverable, Client has 7 business days (the "Review Period") to test it against the acceptance criteria in the SOW and to report any material non-conformance in writing. Provider corrects each reported non-conformance and redelivers, and a new Review Period of 5 business days starts. A Deliverable is accepted ("Acceptance") on the earlier of Client's written acceptance or the end of a Review Period with no written report. Client's use of a Deliverable for its business before the Review Period ends is also Acceptance, except use needed to test it and operation that is part of delivery, such as a Deliverable Provider deploys to Client's live systems in order to deliver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i w:val="0"/>
          <w:color w:val="262626"/>
          <w:sz w:val="21"/>
        </w:rPr>
        <w:t xml:space="preserve">Project Completion. </w:t>
      </w:r>
      <w:r>
        <w:rPr>
          <w:rFonts w:ascii="Open Sans" w:hAnsi="Open Sans" w:cs="Open Sans" w:eastAsia="Open Sans"/>
          <w:b w:val="0"/>
          <w:i w:val="0"/>
          <w:color w:val="262626"/>
          <w:sz w:val="21"/>
        </w:rPr>
        <w:t>Acceptance of the final Deliverable in an SOW completes that SOW ("Project Completion"). The final invoice for fixed-fee work is issued on Project Completion unless the SOW says otherwise.</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i w:val="0"/>
          <w:color w:val="262626"/>
          <w:sz w:val="21"/>
        </w:rPr>
        <w:t xml:space="preserve">Warranty. </w:t>
      </w:r>
      <w:r>
        <w:rPr>
          <w:rFonts w:ascii="Open Sans" w:hAnsi="Open Sans" w:cs="Open Sans" w:eastAsia="Open Sans"/>
          <w:b w:val="0"/>
          <w:i w:val="0"/>
          <w:color w:val="262626"/>
          <w:sz w:val="21"/>
        </w:rPr>
        <w:t>For 30 days after Acceptance, Provider warrants that each Deliverable will materially conform to the SOW. Client's sole remedy is that Provider will correct the non-conformance at no charge within a reasonable time or, if Provider cannot, refund the fee paid for that Deliverable. This warranty does not cover problems caused by Client Materials, by changes Client or a third party makes, by third-party platform changes, or by use outside the SOW.</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i w:val="0"/>
          <w:color w:val="262626"/>
          <w:sz w:val="21"/>
        </w:rPr>
        <w:t xml:space="preserve">Authority and non-infringement. </w:t>
      </w:r>
      <w:r>
        <w:rPr>
          <w:rFonts w:ascii="Open Sans" w:hAnsi="Open Sans" w:cs="Open Sans" w:eastAsia="Open Sans"/>
          <w:b w:val="0"/>
          <w:i w:val="0"/>
          <w:color w:val="262626"/>
          <w:sz w:val="21"/>
        </w:rPr>
        <w:t>Provider warrants that it has the right to enter this Agreement and that, to its knowledge, the Work Product will not infringe a third party's intellectual property rights.</w:t>
      </w:r>
    </w:p>
    <w:p>
      <w:pPr>
        <w:tabs>
          <w:tab w:pos="648" w:val="left"/>
        </w:tabs>
        <w:ind w:left="648" w:hanging="648"/>
      </w:pPr>
      <w:r>
        <w:rPr>
          <w:rFonts w:ascii="Open Sans" w:hAnsi="Open Sans" w:cs="Open Sans" w:eastAsia="Open Sans"/>
          <w:b/>
          <w:i w:val="0"/>
          <w:color w:val="4A90A4"/>
          <w:sz w:val="21"/>
        </w:rPr>
        <w:t>10.5</w:t>
        <w:tab/>
      </w:r>
      <w:r>
        <w:rPr>
          <w:rFonts w:ascii="Open Sans" w:hAnsi="Open Sans" w:cs="Open Sans" w:eastAsia="Open Sans"/>
          <w:b/>
          <w:i w:val="0"/>
          <w:color w:val="262626"/>
          <w:sz w:val="21"/>
        </w:rPr>
        <w:t xml:space="preserve">Disclaimer. </w:t>
      </w:r>
      <w:r>
        <w:rPr>
          <w:rFonts w:ascii="Open Sans" w:hAnsi="Open Sans" w:cs="Open Sans" w:eastAsia="Open Sans"/>
          <w:b w:val="0"/>
          <w:i w:val="0"/>
          <w:color w:val="262626"/>
          <w:sz w:val="21"/>
        </w:rPr>
        <w:t>Except as stated in this Section, Provider provides the Services and Deliverables as is and disclaims all other warranties, express or implied, including merchantability, fitness for a particular purpose and non-infringement. Provider does not warrant that a Deliverable will run without interruption or error, or that it will produce any business result, revenue or saving. Recommendations are advisory. Client decides whether to act on them.</w:t>
      </w:r>
    </w:p>
    <w:p>
      <w:pPr>
        <w:pStyle w:val="Heading1"/>
      </w:pPr>
      <w:r>
        <w:t>11. Limitation of Liability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however caused, even if told they were possible.</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Each Party's total liability arising out of or related to an SOW is limited to the fees Client paid to Provider under that SOW in the 12 months before the event that gave rise to the claim.</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The limits in this Section do not apply to (a) a Party's breach of Section 8, (b) Client's payment obligations, (c) a Party's gross negligence, fraud or willful misconduct, (d) a Party's infringement of the other Party's intellectual property, or (e) a Party's obligations under Section 12.</w:t>
      </w:r>
    </w:p>
    <w:p>
      <w:pPr>
        <w:tabs>
          <w:tab w:pos="648" w:val="left"/>
        </w:tabs>
        <w:ind w:left="648" w:hanging="648"/>
      </w:pPr>
      <w:r>
        <w:rPr>
          <w:rFonts w:ascii="Open Sans" w:hAnsi="Open Sans" w:cs="Open Sans" w:eastAsia="Open Sans"/>
          <w:b/>
          <w:i w:val="0"/>
          <w:color w:val="4A90A4"/>
          <w:sz w:val="21"/>
        </w:rPr>
        <w:t>11.4</w:t>
        <w:tab/>
      </w:r>
      <w:r>
        <w:rPr>
          <w:rFonts w:ascii="Open Sans" w:hAnsi="Open Sans" w:cs="Open Sans" w:eastAsia="Open Sans"/>
          <w:b w:val="0"/>
          <w:i w:val="0"/>
          <w:color w:val="262626"/>
          <w:sz w:val="21"/>
        </w:rPr>
        <w:t>Client is responsible for backups under Section 4.3. Provider is not liable for data loss that a current backup would have prevented.</w:t>
      </w:r>
    </w:p>
    <w:p>
      <w:pPr>
        <w:pStyle w:val="Heading1"/>
      </w:pPr>
      <w:r>
        <w:t>12. Indemnity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By Provider. </w:t>
      </w:r>
      <w:r>
        <w:rPr>
          <w:rFonts w:ascii="Open Sans" w:hAnsi="Open Sans" w:cs="Open Sans" w:eastAsia="Open Sans"/>
          <w:b w:val="0"/>
          <w:i w:val="0"/>
          <w:color w:val="262626"/>
          <w:sz w:val="21"/>
        </w:rPr>
        <w:t>Provider will defend Client against any third-party claim that Work Product, as delivered by Provider and used as the SOW permits, infringes that third party's copyright, trademark or trade secret, and will pay the damages and costs a court finally awards or a settlement Provider agrees to. This does not cover claims arising from Client Materials, from third-party or open source components used as their licenses allow, from changes Client or a third party makes, or from combining the Work Product with something Provider did not supply. If a claim arises, Provider may modify or replace the Work Product so it no longer infringes, obtain a license, or refund the fee paid for the affected Deliverable and end the license to it.</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By Client. </w:t>
      </w:r>
      <w:r>
        <w:rPr>
          <w:rFonts w:ascii="Open Sans" w:hAnsi="Open Sans" w:cs="Open Sans" w:eastAsia="Open Sans"/>
          <w:b w:val="0"/>
          <w:i w:val="0"/>
          <w:color w:val="262626"/>
          <w:sz w:val="21"/>
        </w:rPr>
        <w:t>Client will defend Provider against any third-party claim arising from Client Materials, from Client's use of the Work Product in a way the SOW does not permit, or from Client's breach of law, and will pay the damages and costs a court finally awards or a settlement Client agrees to.</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Process. </w:t>
      </w:r>
      <w:r>
        <w:rPr>
          <w:rFonts w:ascii="Open Sans" w:hAnsi="Open Sans" w:cs="Open Sans" w:eastAsia="Open Sans"/>
          <w:b w:val="0"/>
          <w:i w:val="0"/>
          <w:color w:val="262626"/>
          <w:sz w:val="21"/>
        </w:rPr>
        <w:t>The Party seeking defence must give the other prompt written notice of the claim, give it control of the defence and settlement, and cooperate at the defending Party's expense. The defending Party may not settle in a way that admits fault on the other Party's behalf or imposes an obligation on it without its written consent.</w:t>
      </w:r>
    </w:p>
    <w:p>
      <w:pPr>
        <w:pStyle w:val="Heading1"/>
      </w:pPr>
      <w:r>
        <w:t>13. Relationship and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Provider is an independent contractor. Nothing in this Agreement creates a partnership, joint venture, employment or agency relationship. Neither Party may bind the other.</w:t>
      </w:r>
    </w:p>
    <w:p>
      <w:pPr>
        <w:tabs>
          <w:tab w:pos="648" w:val="left"/>
        </w:tabs>
        <w:ind w:left="648" w:hanging="648"/>
      </w:pPr>
      <w:r>
        <w:rPr>
          <w:rFonts w:ascii="Open Sans" w:hAnsi="Open Sans" w:cs="Open Sans" w:eastAsia="Open Sans"/>
          <w:b/>
          <w:i w:val="0"/>
          <w:color w:val="4A90A4"/>
          <w:sz w:val="21"/>
        </w:rPr>
        <w:t>13.2</w:t>
        <w:tab/>
      </w:r>
      <w:r>
        <w:rPr>
          <w:rFonts w:ascii="Open Sans" w:hAnsi="Open Sans" w:cs="Open Sans" w:eastAsia="Open Sans"/>
          <w:b w:val="0"/>
          <w:i w:val="0"/>
          <w:color w:val="262626"/>
          <w:sz w:val="21"/>
        </w:rPr>
        <w:t>Provider is not exclusive to Client and may provide services to others, including Client's competitors, subject to Section 8.</w:t>
      </w:r>
    </w:p>
    <w:p>
      <w:pPr>
        <w:tabs>
          <w:tab w:pos="648" w:val="left"/>
        </w:tabs>
        <w:ind w:left="648" w:hanging="648"/>
      </w:pPr>
      <w:r>
        <w:rPr>
          <w:rFonts w:ascii="Open Sans" w:hAnsi="Open Sans" w:cs="Open Sans" w:eastAsia="Open Sans"/>
          <w:b/>
          <w:i w:val="0"/>
          <w:color w:val="4A90A4"/>
          <w:sz w:val="21"/>
        </w:rPr>
        <w:t>13.3</w:t>
        <w:tab/>
      </w:r>
      <w:r>
        <w:rPr>
          <w:rFonts w:ascii="Open Sans" w:hAnsi="Open Sans" w:cs="Open Sans" w:eastAsia="Open Sans"/>
          <w:b w:val="0"/>
          <w:i w:val="0"/>
          <w:color w:val="262626"/>
          <w:sz w:val="21"/>
        </w:rPr>
        <w:t>Provider maintains professional liability (errors and omissions) and cyber liability insurance during the term and will provide a certificate of insurance on request.</w:t>
      </w:r>
    </w:p>
    <w:p>
      <w:pPr>
        <w:pStyle w:val="Heading1"/>
      </w:pPr>
      <w:r>
        <w:t>14. Governing Law and Disputes</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val="0"/>
          <w:i w:val="0"/>
          <w:color w:val="262626"/>
          <w:sz w:val="21"/>
        </w:rPr>
        <w:t>The law of the State of Colorado governs this Agreement, without regard to its conflict of law rules.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val="0"/>
          <w:i w:val="0"/>
          <w:color w:val="262626"/>
          <w:sz w:val="21"/>
        </w:rPr>
        <w:t>The Parties will first try to resolve any dispute through good-faith negotiation between their principals for 30 days after one Party gives written notice of the dispute.</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val="0"/>
          <w:i w:val="0"/>
          <w:color w:val="262626"/>
          <w:sz w:val="21"/>
        </w:rPr>
        <w:t>If negotiation fails, the Parties will mediate in Arapahoe County, Colorado, or by video conference, with a mediator they agree on, and will share the mediator's fees equally.</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val="0"/>
          <w:i w:val="0"/>
          <w:color w:val="262626"/>
          <w:sz w:val="21"/>
        </w:rPr>
        <w:t>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val="0"/>
          <w:i w:val="0"/>
          <w:color w:val="262626"/>
          <w:sz w:val="21"/>
        </w:rPr>
        <w:t>The prevailing Party in any action to enforce this Agreement may recover its reasonable attorneys' fees and costs.</w:t>
      </w:r>
    </w:p>
    <w:p>
      <w:pPr>
        <w:pStyle w:val="Heading1"/>
      </w:pPr>
      <w:r>
        <w:t>15. General</w:t>
      </w:r>
    </w:p>
    <w:p>
      <w:pPr>
        <w:tabs>
          <w:tab w:pos="648" w:val="left"/>
        </w:tabs>
        <w:ind w:left="648" w:hanging="648"/>
      </w:pPr>
      <w:r>
        <w:rPr>
          <w:rFonts w:ascii="Open Sans" w:hAnsi="Open Sans" w:cs="Open Sans" w:eastAsia="Open Sans"/>
          <w:b/>
          <w:i w:val="0"/>
          <w:color w:val="4A90A4"/>
          <w:sz w:val="21"/>
        </w:rPr>
        <w:t>15.1</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15.2</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SOW are the entire agreement between the Parties about their subject matter. They replace all earlier proposals, discussions and agreements about it, except a mutual non-disclosure agreement, a Work Made for Hire Agreement or another non-disclosure agreement the Parties signed, each of which continues to govern as it provides.</w:t>
      </w:r>
    </w:p>
    <w:p>
      <w:pPr>
        <w:tabs>
          <w:tab w:pos="648" w:val="left"/>
        </w:tabs>
        <w:ind w:left="648" w:hanging="648"/>
      </w:pPr>
      <w:r>
        <w:rPr>
          <w:rFonts w:ascii="Open Sans" w:hAnsi="Open Sans" w:cs="Open Sans" w:eastAsia="Open Sans"/>
          <w:b/>
          <w:i w:val="0"/>
          <w:color w:val="4A90A4"/>
          <w:sz w:val="21"/>
        </w:rPr>
        <w:t>15.3</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15.4</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Neither Party may assign this Agreement without the other Party's written consent, except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15.5</w:t>
        <w:tab/>
      </w:r>
      <w:r>
        <w:rPr>
          <w:rFonts w:ascii="Open Sans" w:hAnsi="Open Sans" w:cs="Open Sans" w:eastAsia="Open Sans"/>
          <w:b/>
          <w:i w:val="0"/>
          <w:color w:val="262626"/>
          <w:sz w:val="21"/>
        </w:rPr>
        <w:t xml:space="preserve">Force majeure. </w:t>
      </w:r>
      <w:r>
        <w:rPr>
          <w:rFonts w:ascii="Open Sans" w:hAnsi="Open Sans" w:cs="Open Sans" w:eastAsia="Open Sans"/>
          <w:b w:val="0"/>
          <w:i w:val="0"/>
          <w:color w:val="262626"/>
          <w:sz w:val="21"/>
        </w:rPr>
        <w:t>Neither Party is liable for delay or failure caused by events beyond its reasonable control, including natural disaster, epidemic, government action, war, civil unrest, labor dispute, or failure of the internet, a utility or a third-party platform. The affected Party will notify the other promptly and resume performance as soon as it can. Payment for work already performed is not excused.</w:t>
      </w:r>
    </w:p>
    <w:p>
      <w:pPr>
        <w:tabs>
          <w:tab w:pos="648" w:val="left"/>
        </w:tabs>
        <w:ind w:left="648" w:hanging="648"/>
      </w:pPr>
      <w:r>
        <w:rPr>
          <w:rFonts w:ascii="Open Sans" w:hAnsi="Open Sans" w:cs="Open Sans" w:eastAsia="Open Sans"/>
          <w:b/>
          <w:i w:val="0"/>
          <w:color w:val="4A90A4"/>
          <w:sz w:val="21"/>
        </w:rPr>
        <w:t>15.6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15.7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Statement of Work</w:t>
      </w:r>
    </w:p>
    <w:p>
      <w:pPr>
        <w:ind w:left="216"/>
        <w:pBdr>
          <w:bottom w:val="single" w:sz="4" w:space="4" w:color="D9E2E6"/>
        </w:pBdr>
      </w:pPr>
      <w:r>
        <w:rPr>
          <w:rFonts w:ascii="Open Sans" w:hAnsi="Open Sans" w:cs="Open Sans" w:eastAsia="Open Sans"/>
          <w:b w:val="0"/>
          <w:i/>
          <w:color w:val="666666"/>
          <w:sz w:val="19"/>
        </w:rPr>
        <w:t>Use one SOW per project or recurring service. Every SOW incorporates the Master Services Agreement. Keep the fields below in this order so the contract tracker can read them.</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MSA reference</w:t>
            </w:r>
          </w:p>
        </w:tc>
        <w:tc>
          <w:tcPr>
            <w:tcW w:type="dxa" w:w="6480"/>
          </w:tcPr>
          <w:p>
            <w:pPr>
              <w:spacing w:after="40" w:before="40"/>
            </w:pPr>
            <w:r/>
            <w:r>
              <w:rPr>
                <w:rFonts w:ascii="Open Sans" w:hAnsi="Open Sans" w:cs="Open Sans" w:eastAsia="Open Sans"/>
                <w:b/>
                <w:i w:val="0"/>
                <w:color w:val="B87333"/>
                <w:sz w:val="19"/>
              </w:rPr>
              <w:t>[MSA-YYYY-NN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SOW 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Target Completion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 or Term</w:t>
            </w:r>
          </w:p>
        </w:tc>
        <w:tc>
          <w:tcPr>
            <w:tcW w:type="dxa" w:w="6480"/>
          </w:tcPr>
          <w:p>
            <w:pPr>
              <w:spacing w:after="40" w:before="40"/>
            </w:pPr>
            <w:r/>
            <w:r>
              <w:rPr>
                <w:rFonts w:ascii="Open Sans" w:hAnsi="Open Sans" w:cs="Open Sans" w:eastAsia="Open Sans"/>
                <w:b/>
                <w:i w:val="0"/>
                <w:color w:val="B87333"/>
                <w:sz w:val="19"/>
              </w:rPr>
              <w:t>[Fixed end date, or month to month after an initial period, with the notice period]</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[Fixed fees plus estimated hourly fees, excluding pass-through costs]</w:t>
            </w:r>
          </w:p>
        </w:tc>
      </w:tr>
    </w:tbl>
    <w:p>
      <w:pPr>
        <w:spacing w:after="40"/>
      </w:pPr>
    </w:p>
    <w:p>
      <w:pPr>
        <w:pStyle w:val="Heading2"/>
      </w:pPr>
      <w:r>
        <w:t>1. Objective</w:t>
      </w:r>
    </w:p>
    <w:p>
      <w:r>
        <w:rPr>
          <w:rFonts w:ascii="Open Sans" w:hAnsi="Open Sans" w:cs="Open Sans" w:eastAsia="Open Sans"/>
          <w:b/>
          <w:i w:val="0"/>
          <w:color w:val="B87333"/>
          <w:sz w:val="21"/>
        </w:rPr>
        <w:t>[One paragraph. What Client wants to be true when this SOW is complete, and why.]</w:t>
      </w:r>
    </w:p>
    <w:p>
      <w:pPr>
        <w:pStyle w:val="Heading2"/>
      </w:pPr>
      <w:r>
        <w:t>2. Scope of Services</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Heading2"/>
      </w:pPr>
      <w:r>
        <w:t>3. Out of Scope</w:t>
      </w:r>
    </w:p>
    <w:p>
      <w:pPr>
        <w:pStyle w:val="ListBullet"/>
        <w:spacing w:after="60"/>
        <w:ind w:left="1152" w:hanging="360"/>
      </w:pPr>
      <w:r>
        <w:rPr>
          <w:rFonts w:ascii="Open Sans" w:hAnsi="Open Sans" w:cs="Open Sans" w:eastAsia="Open Sans"/>
          <w:b/>
          <w:i w:val="0"/>
          <w:color w:val="B87333"/>
          <w:sz w:val="21"/>
        </w:rPr>
        <w:t>[Item that is excluded and would need a Change Order]</w:t>
      </w:r>
    </w:p>
    <w:p>
      <w:pPr>
        <w:pStyle w:val="ListBullet"/>
        <w:spacing w:after="60"/>
        <w:ind w:left="1152" w:hanging="360"/>
      </w:pPr>
      <w:r>
        <w:rPr>
          <w:rFonts w:ascii="Open Sans" w:hAnsi="Open Sans" w:cs="Open Sans" w:eastAsia="Open Sans"/>
          <w:b/>
          <w:i w:val="0"/>
          <w:color w:val="B87333"/>
          <w:sz w:val="21"/>
        </w:rPr>
        <w:t>[Item that is excluded]</w:t>
      </w:r>
    </w:p>
    <w:p>
      <w:pPr>
        <w:pStyle w:val="Heading2"/>
      </w:pPr>
      <w:r>
        <w:t>4. Deliverables and Acceptance Criteria</w:t>
      </w:r>
    </w:p>
    <w:p>
      <w:pPr>
        <w:ind w:left="216"/>
        <w:pBdr>
          <w:bottom w:val="single" w:sz="4" w:space="4" w:color="D9E2E6"/>
        </w:pBdr>
      </w:pPr>
      <w:r>
        <w:rPr>
          <w:rFonts w:ascii="Open Sans" w:hAnsi="Open Sans" w:cs="Open Sans" w:eastAsia="Open Sans"/>
          <w:b w:val="0"/>
          <w:i/>
          <w:color w:val="666666"/>
          <w:sz w:val="19"/>
        </w:rPr>
        <w:t>Write each acceptance criterion as a test a reasonable person can run and pass or fail. Acceptance of the last Deliverable is Project Completion under Section 10.2 of the Agreement.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Target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2"/>
      </w:pPr>
      <w:r>
        <w:t>5. Fees and Payment Schedule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val="clear" w:color="auto" w:fill="4A90A4"/>
          </w:tcPr>
          <w:p>
            <w:pPr>
              <w:spacing w:after="40" w:before="40"/>
            </w:pPr>
            <w:r/>
            <w:r>
              <w:rPr>
                <w:rFonts w:ascii="Open Sans" w:hAnsi="Open Sans" w:cs="Open Sans" w:eastAsia="Open Sans"/>
                <w:b/>
                <w:i w:val="0"/>
                <w:color w:val="FFFFFF"/>
                <w:sz w:val="18"/>
              </w:rPr>
              <w:t>Milestone</w:t>
            </w:r>
          </w:p>
        </w:tc>
        <w:tc>
          <w:tcPr>
            <w:tcW w:type="dxa" w:w="3312"/>
            <w:shd w:val="clear" w:color="auto" w:fill="4A90A4"/>
          </w:tcPr>
          <w:p>
            <w:pPr>
              <w:spacing w:after="40" w:before="40"/>
            </w:pPr>
            <w:r/>
            <w:r>
              <w:rPr>
                <w:rFonts w:ascii="Open Sans" w:hAnsi="Open Sans" w:cs="Open Sans" w:eastAsia="Open Sans"/>
                <w:b/>
                <w:i w:val="0"/>
                <w:color w:val="FFFFFF"/>
                <w:sz w:val="18"/>
              </w:rPr>
              <w:t>Trigger</w:t>
            </w:r>
          </w:p>
        </w:tc>
        <w:tc>
          <w:tcPr>
            <w:tcW w:type="dxa" w:w="2016"/>
            <w:shd w:val="clear" w:color="auto" w:fill="4A90A4"/>
          </w:tcPr>
          <w:p>
            <w:pPr>
              <w:spacing w:after="40" w:before="40"/>
            </w:pPr>
            <w:r/>
            <w:r>
              <w:rPr>
                <w:rFonts w:ascii="Open Sans" w:hAnsi="Open Sans" w:cs="Open Sans" w:eastAsia="Open Sans"/>
                <w:b/>
                <w:i w:val="0"/>
                <w:color w:val="FFFFFF"/>
                <w:sz w:val="18"/>
              </w:rPr>
              <w:t>Amount (USD)</w:t>
            </w:r>
          </w:p>
        </w:tc>
        <w:tc>
          <w:tcPr>
            <w:tcW w:type="dxa" w:w="1872"/>
            <w:shd w:val="clear" w:color="auto" w:fill="4A90A4"/>
          </w:tcPr>
          <w:p>
            <w:pPr>
              <w:spacing w:after="40" w:before="40"/>
            </w:pPr>
            <w:r/>
            <w:r>
              <w:rPr>
                <w:rFonts w:ascii="Open Sans" w:hAnsi="Open Sans" w:cs="Open Sans" w:eastAsia="Open Sans"/>
                <w:b/>
                <w:i w:val="0"/>
                <w:color w:val="FFFFFF"/>
                <w:sz w:val="18"/>
              </w:rPr>
              <w:t>Due</w:t>
            </w:r>
          </w:p>
        </w:tc>
      </w:tr>
      <w:tr>
        <w:tc>
          <w:tcPr>
            <w:tcW w:type="dxa" w:w="2160"/>
          </w:tcPr>
          <w:p>
            <w:pPr>
              <w:spacing w:after="40" w:before="40"/>
            </w:pPr>
            <w:r/>
            <w:r>
              <w:rPr>
                <w:rFonts w:ascii="Open Sans" w:hAnsi="Open Sans" w:cs="Open Sans" w:eastAsia="Open Sans"/>
                <w:b w:val="0"/>
                <w:i w:val="0"/>
                <w:color w:val="262626"/>
                <w:sz w:val="18"/>
              </w:rPr>
              <w:t>Deposit</w:t>
            </w:r>
          </w:p>
        </w:tc>
        <w:tc>
          <w:tcPr>
            <w:tcW w:type="dxa" w:w="3312"/>
          </w:tcPr>
          <w:p>
            <w:pPr>
              <w:spacing w:after="40" w:before="40"/>
            </w:pPr>
            <w:r/>
            <w:r>
              <w:rPr>
                <w:rFonts w:ascii="Open Sans" w:hAnsi="Open Sans" w:cs="Open Sans" w:eastAsia="Open Sans"/>
                <w:b w:val="0"/>
                <w:i w:val="0"/>
                <w:color w:val="262626"/>
                <w:sz w:val="18"/>
              </w:rPr>
              <w:t>Signature of this SOW</w:t>
            </w:r>
          </w:p>
        </w:tc>
        <w:tc>
          <w:tcPr>
            <w:tcW w:type="dxa" w:w="2016"/>
          </w:tcPr>
          <w:p>
            <w:pPr>
              <w:spacing w:after="40" w:before="40"/>
            </w:pPr>
            <w:r/>
            <w:r>
              <w:rPr>
                <w:rFonts w:ascii="Open Sans" w:hAnsi="Open Sans" w:cs="Open Sans" w:eastAsia="Open Sans"/>
                <w:b/>
                <w:i w:val="0"/>
                <w:color w:val="B87333"/>
                <w:sz w:val="18"/>
              </w:rPr>
              <w:t>[50% of fixed fee]</w:t>
            </w:r>
          </w:p>
        </w:tc>
        <w:tc>
          <w:tcPr>
            <w:tcW w:type="dxa" w:w="1872"/>
          </w:tcPr>
          <w:p>
            <w:pPr>
              <w:spacing w:after="40" w:before="40"/>
            </w:pPr>
            <w:r/>
            <w:r>
              <w:rPr>
                <w:rFonts w:ascii="Open Sans" w:hAnsi="Open Sans" w:cs="Open Sans" w:eastAsia="Open Sans"/>
                <w:b w:val="0"/>
                <w:i w:val="0"/>
                <w:color w:val="262626"/>
                <w:sz w:val="18"/>
              </w:rPr>
              <w:t>On signing</w:t>
            </w:r>
          </w:p>
        </w:tc>
      </w:tr>
      <w:tr>
        <w:tc>
          <w:tcPr>
            <w:tcW w:type="dxa" w:w="2160"/>
          </w:tcPr>
          <w:p>
            <w:pPr>
              <w:spacing w:after="40" w:before="40"/>
            </w:pPr>
            <w:r/>
            <w:r>
              <w:rPr>
                <w:rFonts w:ascii="Open Sans" w:hAnsi="Open Sans" w:cs="Open Sans" w:eastAsia="Open Sans"/>
                <w:b/>
                <w:i w:val="0"/>
                <w:color w:val="B87333"/>
                <w:sz w:val="18"/>
              </w:rPr>
              <w:t>[Milestone]</w:t>
            </w:r>
          </w:p>
        </w:tc>
        <w:tc>
          <w:tcPr>
            <w:tcW w:type="dxa" w:w="3312"/>
          </w:tcPr>
          <w:p>
            <w:pPr>
              <w:spacing w:after="40" w:before="40"/>
            </w:pPr>
            <w:r/>
            <w:r>
              <w:rPr>
                <w:rFonts w:ascii="Open Sans" w:hAnsi="Open Sans" w:cs="Open Sans" w:eastAsia="Open Sans"/>
                <w:b/>
                <w:i w:val="0"/>
                <w:color w:val="B87333"/>
                <w:sz w:val="18"/>
              </w:rPr>
              <w:t>[Acceptance of Deliverable N]</w:t>
            </w:r>
          </w:p>
        </w:tc>
        <w:tc>
          <w:tcPr>
            <w:tcW w:type="dxa" w:w="2016"/>
          </w:tcPr>
          <w:p>
            <w:pPr>
              <w:spacing w:after="40" w:before="40"/>
            </w:pPr>
            <w:r/>
            <w:r>
              <w:rPr>
                <w:rFonts w:ascii="Open Sans" w:hAnsi="Open Sans" w:cs="Open Sans" w:eastAsia="Open Sans"/>
                <w:b/>
                <w:i w:val="0"/>
                <w:color w:val="B87333"/>
                <w:sz w:val="18"/>
              </w:rPr>
              <w:t>[Amount]</w:t>
            </w:r>
          </w:p>
        </w:tc>
        <w:tc>
          <w:tcPr>
            <w:tcW w:type="dxa" w:w="1872"/>
          </w:tcPr>
          <w:p>
            <w:pPr>
              <w:spacing w:after="40" w:before="40"/>
            </w:pPr>
            <w:r/>
            <w:r>
              <w:rPr>
                <w:rFonts w:ascii="Open Sans" w:hAnsi="Open Sans" w:cs="Open Sans" w:eastAsia="Open Sans"/>
                <w:b/>
                <w:i w:val="0"/>
                <w:color w:val="B87333"/>
                <w:sz w:val="18"/>
              </w:rPr>
              <w:t>[Net 14 from invoice]</w:t>
            </w:r>
          </w:p>
        </w:tc>
      </w:tr>
      <w:tr>
        <w:tc>
          <w:tcPr>
            <w:tcW w:type="dxa" w:w="2160"/>
          </w:tcPr>
          <w:p>
            <w:pPr>
              <w:spacing w:after="40" w:before="40"/>
            </w:pPr>
            <w:r/>
            <w:r>
              <w:rPr>
                <w:rFonts w:ascii="Open Sans" w:hAnsi="Open Sans" w:cs="Open Sans" w:eastAsia="Open Sans"/>
                <w:b w:val="0"/>
                <w:i w:val="0"/>
                <w:color w:val="262626"/>
                <w:sz w:val="18"/>
              </w:rPr>
              <w:t>Final</w:t>
            </w:r>
          </w:p>
        </w:tc>
        <w:tc>
          <w:tcPr>
            <w:tcW w:type="dxa" w:w="3312"/>
          </w:tcPr>
          <w:p>
            <w:pPr>
              <w:spacing w:after="40" w:before="40"/>
            </w:pPr>
            <w:r/>
            <w:r>
              <w:rPr>
                <w:rFonts w:ascii="Open Sans" w:hAnsi="Open Sans" w:cs="Open Sans" w:eastAsia="Open Sans"/>
                <w:b w:val="0"/>
                <w:i w:val="0"/>
                <w:color w:val="262626"/>
                <w:sz w:val="18"/>
              </w:rPr>
              <w:t>Project Completion</w:t>
            </w:r>
          </w:p>
        </w:tc>
        <w:tc>
          <w:tcPr>
            <w:tcW w:type="dxa" w:w="2016"/>
          </w:tcPr>
          <w:p>
            <w:pPr>
              <w:spacing w:after="40" w:before="40"/>
            </w:pPr>
            <w:r/>
            <w:r>
              <w:rPr>
                <w:rFonts w:ascii="Open Sans" w:hAnsi="Open Sans" w:cs="Open Sans" w:eastAsia="Open Sans"/>
                <w:b/>
                <w:i w:val="0"/>
                <w:color w:val="B87333"/>
                <w:sz w:val="18"/>
              </w:rPr>
              <w:t>[Balance]</w:t>
            </w:r>
          </w:p>
        </w:tc>
        <w:tc>
          <w:tcPr>
            <w:tcW w:type="dxa" w:w="1872"/>
          </w:tcPr>
          <w:p>
            <w:pPr>
              <w:spacing w:after="40" w:before="40"/>
            </w:pPr>
            <w:r/>
            <w:r>
              <w:rPr>
                <w:rFonts w:ascii="Open Sans" w:hAnsi="Open Sans" w:cs="Open Sans" w:eastAsia="Open Sans"/>
                <w:b w:val="0"/>
                <w:i w:val="0"/>
                <w:color w:val="262626"/>
                <w:sz w:val="18"/>
              </w:rPr>
              <w:t>Net 14 from invoice</w:t>
            </w:r>
          </w:p>
        </w:tc>
      </w:tr>
    </w:tbl>
    <w:p>
      <w:pPr>
        <w:spacing w:after="40"/>
      </w:pPr>
    </w:p>
    <w:p>
      <w:pPr>
        <w:pStyle w:val="Heading2"/>
      </w:pPr>
      <w:r>
        <w:t>6. Rate Schedule</w:t>
      </w:r>
    </w:p>
    <w:p>
      <w:pPr>
        <w:ind w:left="216"/>
        <w:pBdr>
          <w:bottom w:val="single" w:sz="4" w:space="4" w:color="D9E2E6"/>
        </w:pBdr>
      </w:pPr>
      <w:r>
        <w:rPr>
          <w:rFonts w:ascii="Open Sans" w:hAnsi="Open Sans" w:cs="Open Sans" w:eastAsia="Open Sans"/>
          <w:b w:val="0"/>
          <w:i/>
          <w:color w:val="666666"/>
          <w:sz w:val="19"/>
        </w:rPr>
        <w:t>Applies to hourly work, support after the warranty period, and Change Orders unless a Change Order states a fixed price.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4320"/>
            <w:shd w:val="clear" w:color="auto" w:fill="4A90A4"/>
          </w:tcPr>
          <w:p>
            <w:pPr>
              <w:spacing w:after="40" w:before="40"/>
            </w:pPr>
            <w:r/>
            <w:r>
              <w:rPr>
                <w:rFonts w:ascii="Open Sans" w:hAnsi="Open Sans" w:cs="Open Sans" w:eastAsia="Open Sans"/>
                <w:b/>
                <w:i w:val="0"/>
                <w:color w:val="FFFFFF"/>
                <w:sz w:val="18"/>
              </w:rPr>
              <w:t>Service</w:t>
            </w:r>
          </w:p>
        </w:tc>
        <w:tc>
          <w:tcPr>
            <w:tcW w:type="dxa" w:w="2160"/>
            <w:shd w:val="clear" w:color="auto" w:fill="4A90A4"/>
          </w:tcPr>
          <w:p>
            <w:pPr>
              <w:spacing w:after="40" w:before="40"/>
            </w:pPr>
            <w:r/>
            <w:r>
              <w:rPr>
                <w:rFonts w:ascii="Open Sans" w:hAnsi="Open Sans" w:cs="Open Sans" w:eastAsia="Open Sans"/>
                <w:b/>
                <w:i w:val="0"/>
                <w:color w:val="FFFFFF"/>
                <w:sz w:val="18"/>
              </w:rPr>
              <w:t>Rate (USD)</w:t>
            </w:r>
          </w:p>
        </w:tc>
        <w:tc>
          <w:tcPr>
            <w:tcW w:type="dxa" w:w="2880"/>
            <w:shd w:val="clear" w:color="auto" w:fill="4A90A4"/>
          </w:tcPr>
          <w:p>
            <w:pPr>
              <w:spacing w:after="40" w:before="40"/>
            </w:pPr>
            <w:r/>
            <w:r>
              <w:rPr>
                <w:rFonts w:ascii="Open Sans" w:hAnsi="Open Sans" w:cs="Open Sans" w:eastAsia="Open Sans"/>
                <w:b/>
                <w:i w:val="0"/>
                <w:color w:val="FFFFFF"/>
                <w:sz w:val="18"/>
              </w:rPr>
              <w:t>Unit</w:t>
            </w:r>
          </w:p>
        </w:tc>
      </w:tr>
      <w:tr>
        <w:tc>
          <w:tcPr>
            <w:tcW w:type="dxa" w:w="4320"/>
          </w:tcPr>
          <w:p>
            <w:pPr>
              <w:spacing w:after="40" w:before="40"/>
            </w:pPr>
            <w:r/>
            <w:r>
              <w:rPr>
                <w:rFonts w:ascii="Open Sans" w:hAnsi="Open Sans" w:cs="Open Sans" w:eastAsia="Open Sans"/>
                <w:b/>
                <w:i w:val="0"/>
                <w:color w:val="B87333"/>
                <w:sz w:val="18"/>
              </w:rPr>
              <w:t>[Development and automation]</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[Consulting and training]</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[Support and maintenance retainer]</w:t>
            </w:r>
          </w:p>
        </w:tc>
        <w:tc>
          <w:tcPr>
            <w:tcW w:type="dxa" w:w="2160"/>
          </w:tcPr>
          <w:p>
            <w:pPr>
              <w:spacing w:after="40" w:before="40"/>
            </w:pPr>
            <w:r/>
            <w:r>
              <w:rPr>
                <w:rFonts w:ascii="Open Sans" w:hAnsi="Open Sans" w:cs="Open Sans" w:eastAsia="Open Sans"/>
                <w:b/>
                <w:i w:val="0"/>
                <w:color w:val="B87333"/>
                <w:sz w:val="18"/>
              </w:rPr>
              <w:t>[Monthly fee]</w:t>
            </w:r>
          </w:p>
        </w:tc>
        <w:tc>
          <w:tcPr>
            <w:tcW w:type="dxa" w:w="2880"/>
          </w:tcPr>
          <w:p>
            <w:pPr>
              <w:spacing w:after="40" w:before="40"/>
            </w:pPr>
            <w:r/>
            <w:r>
              <w:rPr>
                <w:rFonts w:ascii="Open Sans" w:hAnsi="Open Sans" w:cs="Open Sans" w:eastAsia="Open Sans"/>
                <w:b w:val="0"/>
                <w:i w:val="0"/>
                <w:color w:val="262626"/>
                <w:sz w:val="18"/>
              </w:rPr>
              <w:t xml:space="preserve">Month, includes </w:t>
            </w:r>
            <w:r>
              <w:rPr>
                <w:rFonts w:ascii="Open Sans" w:hAnsi="Open Sans" w:cs="Open Sans" w:eastAsia="Open Sans"/>
                <w:b/>
                <w:i w:val="0"/>
                <w:color w:val="B87333"/>
                <w:sz w:val="18"/>
              </w:rPr>
              <w:t>[N]</w:t>
            </w:r>
            <w:r>
              <w:rPr>
                <w:rFonts w:ascii="Open Sans" w:hAnsi="Open Sans" w:cs="Open Sans" w:eastAsia="Open Sans"/>
                <w:b w:val="0"/>
                <w:i w:val="0"/>
                <w:color w:val="262626"/>
                <w:sz w:val="18"/>
              </w:rPr>
              <w:t xml:space="preserve"> hours</w:t>
            </w:r>
          </w:p>
        </w:tc>
      </w:tr>
    </w:tbl>
    <w:p>
      <w:pPr>
        <w:spacing w:after="40"/>
      </w:pPr>
    </w:p>
    <w:p>
      <w:pPr>
        <w:pStyle w:val="Heading2"/>
      </w:pPr>
      <w:r>
        <w:t>7. Third-Party Costs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592"/>
            <w:shd w:val="clear" w:color="auto" w:fill="4A90A4"/>
          </w:tcPr>
          <w:p>
            <w:pPr>
              <w:spacing w:after="40" w:before="40"/>
            </w:pPr>
            <w:r/>
            <w:r>
              <w:rPr>
                <w:rFonts w:ascii="Open Sans" w:hAnsi="Open Sans" w:cs="Open Sans" w:eastAsia="Open Sans"/>
                <w:b/>
                <w:i w:val="0"/>
                <w:color w:val="FFFFFF"/>
                <w:sz w:val="18"/>
              </w:rPr>
              <w:t>Paid by</w:t>
            </w:r>
          </w:p>
        </w:tc>
        <w:tc>
          <w:tcPr>
            <w:tcW w:type="dxa" w:w="2160"/>
            <w:shd w:val="clear" w:color="auto" w:fill="4A90A4"/>
          </w:tcPr>
          <w:p>
            <w:pPr>
              <w:spacing w:after="40" w:before="40"/>
            </w:pPr>
            <w:r/>
            <w:r>
              <w:rPr>
                <w:rFonts w:ascii="Open Sans" w:hAnsi="Open Sans" w:cs="Open Sans" w:eastAsia="Open Sans"/>
                <w:b/>
                <w:i w:val="0"/>
                <w:color w:val="FFFFFF"/>
                <w:sz w:val="18"/>
              </w:rPr>
              <w:t>Estimated cost (USD)</w:t>
            </w:r>
          </w:p>
        </w:tc>
        <w:tc>
          <w:tcPr>
            <w:tcW w:type="dxa" w:w="1728"/>
            <w:shd w:val="clear" w:color="auto" w:fill="4A90A4"/>
          </w:tcPr>
          <w:p>
            <w:pPr>
              <w:spacing w:after="40" w:before="40"/>
            </w:pPr>
            <w:r/>
            <w:r>
              <w:rPr>
                <w:rFonts w:ascii="Open Sans" w:hAnsi="Open Sans" w:cs="Open Sans" w:eastAsia="Open Sans"/>
                <w:b/>
                <w:i w:val="0"/>
                <w:color w:val="FFFFFF"/>
                <w:sz w:val="18"/>
              </w:rPr>
              <w:t>Notes</w:t>
            </w:r>
          </w:p>
        </w:tc>
      </w:tr>
      <w:tr>
        <w:tc>
          <w:tcPr>
            <w:tcW w:type="dxa" w:w="2880"/>
          </w:tcPr>
          <w:p>
            <w:pPr>
              <w:spacing w:after="40" w:before="40"/>
            </w:pPr>
            <w:r/>
            <w:r>
              <w:rPr>
                <w:rFonts w:ascii="Open Sans" w:hAnsi="Open Sans" w:cs="Open Sans" w:eastAsia="Open Sans"/>
                <w:b/>
                <w:i w:val="0"/>
                <w:color w:val="B87333"/>
                <w:sz w:val="18"/>
              </w:rPr>
              <w:t>[Hosting]</w:t>
            </w:r>
          </w:p>
        </w:tc>
        <w:tc>
          <w:tcPr>
            <w:tcW w:type="dxa" w:w="2592"/>
          </w:tcPr>
          <w:p>
            <w:pPr>
              <w:spacing w:after="40" w:before="40"/>
            </w:pPr>
            <w:r/>
            <w:r>
              <w:rPr>
                <w:rFonts w:ascii="Open Sans" w:hAnsi="Open Sans" w:cs="Open Sans" w:eastAsia="Open Sans"/>
                <w:b/>
                <w:i w:val="0"/>
                <w:color w:val="B87333"/>
                <w:sz w:val="18"/>
              </w:rPr>
              <w:t>[Client directly]</w:t>
            </w:r>
          </w:p>
        </w:tc>
        <w:tc>
          <w:tcPr>
            <w:tcW w:type="dxa" w:w="2160"/>
          </w:tcPr>
          <w:p>
            <w:pPr>
              <w:spacing w:after="40" w:before="40"/>
            </w:pPr>
            <w:r/>
            <w:r>
              <w:rPr>
                <w:rFonts w:ascii="Open Sans" w:hAnsi="Open Sans" w:cs="Open Sans" w:eastAsia="Open Sans"/>
                <w:b/>
                <w:i w:val="0"/>
                <w:color w:val="B87333"/>
                <w:sz w:val="18"/>
              </w:rPr>
              <w:t>[Amount per month]</w:t>
            </w:r>
          </w:p>
        </w:tc>
        <w:tc>
          <w:tcPr>
            <w:tcW w:type="dxa" w:w="1728"/>
          </w:tcPr>
          <w:p>
            <w:pPr>
              <w:spacing w:after="40" w:before="40"/>
            </w:pPr>
            <w:r/>
          </w:p>
        </w:tc>
      </w:tr>
      <w:tr>
        <w:tc>
          <w:tcPr>
            <w:tcW w:type="dxa" w:w="2880"/>
          </w:tcPr>
          <w:p>
            <w:pPr>
              <w:spacing w:after="40" w:before="40"/>
            </w:pPr>
            <w:r/>
            <w:r>
              <w:rPr>
                <w:rFonts w:ascii="Open Sans" w:hAnsi="Open Sans" w:cs="Open Sans" w:eastAsia="Open Sans"/>
                <w:b/>
                <w:i w:val="0"/>
                <w:color w:val="B87333"/>
                <w:sz w:val="18"/>
              </w:rPr>
              <w:t>[Domain, licenses, API usage]</w:t>
            </w:r>
          </w:p>
        </w:tc>
        <w:tc>
          <w:tcPr>
            <w:tcW w:type="dxa" w:w="2592"/>
          </w:tcPr>
          <w:p>
            <w:pPr>
              <w:spacing w:after="40" w:before="40"/>
            </w:pPr>
            <w:r/>
            <w:r>
              <w:rPr>
                <w:rFonts w:ascii="Open Sans" w:hAnsi="Open Sans" w:cs="Open Sans" w:eastAsia="Open Sans"/>
                <w:b/>
                <w:i w:val="0"/>
                <w:color w:val="B87333"/>
                <w:sz w:val="18"/>
              </w:rPr>
              <w:t>[Client directly, or Provider at cost]</w:t>
            </w:r>
          </w:p>
        </w:tc>
        <w:tc>
          <w:tcPr>
            <w:tcW w:type="dxa" w:w="2160"/>
          </w:tcPr>
          <w:p>
            <w:pPr>
              <w:spacing w:after="40" w:before="40"/>
            </w:pPr>
            <w:r/>
            <w:r>
              <w:rPr>
                <w:rFonts w:ascii="Open Sans" w:hAnsi="Open Sans" w:cs="Open Sans" w:eastAsia="Open Sans"/>
                <w:b/>
                <w:i w:val="0"/>
                <w:color w:val="B87333"/>
                <w:sz w:val="18"/>
              </w:rPr>
              <w:t>[Amount]</w:t>
            </w:r>
          </w:p>
        </w:tc>
        <w:tc>
          <w:tcPr>
            <w:tcW w:type="dxa" w:w="1728"/>
          </w:tcPr>
          <w:p>
            <w:pPr>
              <w:spacing w:after="40" w:before="40"/>
            </w:pPr>
            <w:r/>
          </w:p>
        </w:tc>
      </w:tr>
    </w:tbl>
    <w:p>
      <w:pPr>
        <w:spacing w:after="40"/>
      </w:pPr>
    </w:p>
    <w:p>
      <w:pPr>
        <w:pStyle w:val="Heading2"/>
      </w:pPr>
      <w:r>
        <w:t>8. Client Responsibilities and Dependencies</w:t>
      </w:r>
    </w:p>
    <w:p>
      <w:pPr>
        <w:pStyle w:val="ListBullet"/>
        <w:spacing w:after="60"/>
        <w:ind w:left="1152" w:hanging="360"/>
      </w:pPr>
      <w:r>
        <w:rPr>
          <w:rFonts w:ascii="Open Sans" w:hAnsi="Open Sans" w:cs="Open Sans" w:eastAsia="Open Sans"/>
          <w:b/>
          <w:i w:val="0"/>
          <w:color w:val="B87333"/>
          <w:sz w:val="21"/>
        </w:rPr>
        <w:t>[Access, accounts or credentials Client must provide, and by when]</w:t>
      </w:r>
    </w:p>
    <w:p>
      <w:pPr>
        <w:pStyle w:val="ListBullet"/>
        <w:spacing w:after="60"/>
        <w:ind w:left="1152" w:hanging="360"/>
      </w:pPr>
      <w:r>
        <w:rPr>
          <w:rFonts w:ascii="Open Sans" w:hAnsi="Open Sans" w:cs="Open Sans" w:eastAsia="Open Sans"/>
          <w:b/>
          <w:i w:val="0"/>
          <w:color w:val="B87333"/>
          <w:sz w:val="21"/>
        </w:rPr>
        <w:t>[Content, data or decisions Client must provide, and by when]</w:t>
      </w:r>
    </w:p>
    <w:p>
      <w:pPr>
        <w:pStyle w:val="ListBullet"/>
        <w:spacing w:after="60"/>
        <w:ind w:left="1152" w:hanging="360"/>
      </w:pPr>
      <w:r>
        <w:rPr>
          <w:rFonts w:ascii="Open Sans" w:hAnsi="Open Sans" w:cs="Open Sans" w:eastAsia="Open Sans"/>
          <w:b/>
          <w:i w:val="0"/>
          <w:color w:val="B87333"/>
          <w:sz w:val="21"/>
        </w:rPr>
        <w:t>[Third-party approvals the project depends on]</w:t>
      </w:r>
    </w:p>
    <w:p>
      <w:pPr>
        <w:pStyle w:val="Heading2"/>
      </w:pPr>
      <w:r>
        <w:t>9. Assumptions</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Heading2"/>
      </w:pPr>
      <w:r>
        <w:t>10. Terms That Differ From the Agreement</w:t>
      </w:r>
    </w:p>
    <w:p>
      <w:pPr>
        <w:ind w:left="216"/>
        <w:pBdr>
          <w:bottom w:val="single" w:sz="4" w:space="4" w:color="D9E2E6"/>
        </w:pBdr>
      </w:pPr>
      <w:r>
        <w:rPr>
          <w:rFonts w:ascii="Open Sans" w:hAnsi="Open Sans" w:cs="Open Sans" w:eastAsia="Open Sans"/>
          <w:b w:val="0"/>
          <w:i/>
          <w:color w:val="666666"/>
          <w:sz w:val="19"/>
        </w:rPr>
        <w:t>Name the section of the Agreement and state the change. Leave blank if there is none.</w:t>
      </w:r>
    </w:p>
    <w:tbl>
      <w:tblPr>
        <w:tblStyle w:val="TableGrid"/>
        <w:tblW w:type="auto" w:w="0"/>
        <w:jc w:val="center"/>
        <w:tblLayout w:type="fixed"/>
        <w:tblLook w:firstColumn="1" w:firstRow="1" w:lastColumn="0" w:lastRow="0" w:noHBand="0" w:noVBand="1" w:val="04A0"/>
      </w:tblPr>
      <w:tblGrid>
        <w:gridCol w:w="4680"/>
        <w:gridCol w:w="468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Agreement section</w:t>
            </w:r>
          </w:p>
        </w:tc>
        <w:tc>
          <w:tcPr>
            <w:tcW w:type="dxa" w:w="6480"/>
            <w:shd w:val="clear" w:color="auto" w:fill="4A90A4"/>
          </w:tcPr>
          <w:p>
            <w:pPr>
              <w:spacing w:after="40" w:before="40"/>
            </w:pPr>
            <w:r/>
            <w:r>
              <w:rPr>
                <w:rFonts w:ascii="Open Sans" w:hAnsi="Open Sans" w:cs="Open Sans" w:eastAsia="Open Sans"/>
                <w:b/>
                <w:i w:val="0"/>
                <w:color w:val="FFFFFF"/>
                <w:sz w:val="18"/>
              </w:rPr>
              <w:t>Change for this SOW</w:t>
            </w:r>
          </w:p>
        </w:tc>
      </w:tr>
      <w:tr>
        <w:tc>
          <w:tcPr>
            <w:tcW w:type="dxa" w:w="2880"/>
          </w:tcPr>
          <w:p>
            <w:pPr>
              <w:spacing w:after="40" w:before="40"/>
            </w:pPr>
            <w:r/>
          </w:p>
        </w:tc>
        <w:tc>
          <w:tcPr>
            <w:tcW w:type="dxa" w:w="6480"/>
          </w:tcPr>
          <w:p>
            <w:pPr>
              <w:spacing w:after="40" w:before="40"/>
            </w:pPr>
            <w:r/>
          </w:p>
        </w:tc>
      </w:tr>
      <w:tr>
        <w:tc>
          <w:tcPr>
            <w:tcW w:type="dxa" w:w="2880"/>
          </w:tcPr>
          <w:p>
            <w:pPr>
              <w:spacing w:after="40" w:before="40"/>
            </w:pPr>
            <w:r/>
          </w:p>
        </w:tc>
        <w:tc>
          <w:tcPr>
            <w:tcW w:type="dxa" w:w="6480"/>
          </w:tcPr>
          <w:p>
            <w:pPr>
              <w:spacing w:after="40" w:before="40"/>
            </w:pPr>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Background IP Schedule</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Deliverables. Add items for a later SOW by Change Order.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Documentation templates</w:t>
            </w:r>
          </w:p>
        </w:tc>
        <w:tc>
          <w:tcPr>
            <w:tcW w:type="dxa" w:w="3744"/>
          </w:tcPr>
          <w:p>
            <w:pPr>
              <w:spacing w:after="40" w:before="40"/>
            </w:pPr>
            <w:r/>
            <w:r>
              <w:rPr>
                <w:rFonts w:ascii="Open Sans" w:hAnsi="Open Sans" w:cs="Open Sans" w:eastAsia="Open Sans"/>
                <w:b w:val="0"/>
                <w:i w:val="0"/>
                <w:color w:val="262626"/>
                <w:sz w:val="18"/>
              </w:rPr>
              <w:t>Runbook, handover and training document templates</w:t>
            </w:r>
          </w:p>
        </w:tc>
        <w:tc>
          <w:tcPr>
            <w:tcW w:type="dxa" w:w="2016"/>
          </w:tcPr>
          <w:p>
            <w:pPr>
              <w:spacing w:after="40" w:before="40"/>
            </w:pPr>
            <w:r/>
            <w:r>
              <w:rPr>
                <w:rFonts w:ascii="Open Sans" w:hAnsi="Open Sans" w:cs="Open Sans" w:eastAsia="Open Sans"/>
                <w:b w:val="0"/>
                <w:i w:val="0"/>
                <w:color w:val="262626"/>
                <w:sz w:val="18"/>
              </w:rPr>
              <w:t>All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r>
        <w:br w:type="page"/>
      </w:r>
    </w:p>
    <w:p>
      <w:pPr>
        <w:pStyle w:val="Heading1"/>
      </w:pPr>
      <w:r>
        <w:t>Exhibit C: Change Order</w:t>
      </w:r>
    </w:p>
    <w:p>
      <w:pPr>
        <w:ind w:left="216"/>
        <w:pBdr>
          <w:bottom w:val="single" w:sz="4" w:space="4" w:color="D9E2E6"/>
        </w:pBdr>
      </w:pPr>
      <w:r>
        <w:rPr>
          <w:rFonts w:ascii="Open Sans" w:hAnsi="Open Sans" w:cs="Open Sans" w:eastAsia="Open Sans"/>
          <w:b w:val="0"/>
          <w:i/>
          <w:color w:val="666666"/>
          <w:sz w:val="19"/>
        </w:rPr>
        <w:t>Use a Change Order for any work outside a signed SOW, or to change a Deliverable, date or fee. Work on the change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Change Order No.</w:t>
            </w:r>
          </w:p>
        </w:tc>
        <w:tc>
          <w:tcPr>
            <w:tcW w:type="dxa" w:w="6480"/>
          </w:tcPr>
          <w:p>
            <w:pPr>
              <w:spacing w:after="40" w:before="40"/>
            </w:pPr>
            <w:r/>
            <w:r>
              <w:rPr>
                <w:rFonts w:ascii="Open Sans" w:hAnsi="Open Sans" w:cs="Open Sans" w:eastAsia="Open Sans"/>
                <w:b/>
                <w:i w:val="0"/>
                <w:color w:val="B87333"/>
                <w:sz w:val="19"/>
              </w:rPr>
              <w:t>[CO-YYYY-NN]</w:t>
            </w:r>
          </w:p>
        </w:tc>
      </w:tr>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Requested by</w:t>
            </w:r>
          </w:p>
        </w:tc>
        <w:tc>
          <w:tcPr>
            <w:tcW w:type="dxa" w:w="6480"/>
          </w:tcPr>
          <w:p>
            <w:pPr>
              <w:spacing w:after="40" w:before="40"/>
            </w:pPr>
            <w:r/>
            <w:r>
              <w:rPr>
                <w:rFonts w:ascii="Open Sans" w:hAnsi="Open Sans" w:cs="Open Sans" w:eastAsia="Open Sans"/>
                <w:b/>
                <w:i w:val="0"/>
                <w:color w:val="B87333"/>
                <w:sz w:val="19"/>
              </w:rPr>
              <w:t>[Name and Party]</w:t>
            </w:r>
          </w:p>
        </w:tc>
      </w:tr>
    </w:tbl>
    <w:p>
      <w:pPr>
        <w:spacing w:after="40"/>
      </w:pPr>
    </w:p>
    <w:p>
      <w:pPr>
        <w:pStyle w:val="Heading2"/>
      </w:pPr>
      <w:r>
        <w:t>1. Description of the Change</w:t>
      </w:r>
    </w:p>
    <w:p>
      <w:r>
        <w:rPr>
          <w:rFonts w:ascii="Open Sans" w:hAnsi="Open Sans" w:cs="Open Sans" w:eastAsia="Open Sans"/>
          <w:b/>
          <w:i w:val="0"/>
          <w:color w:val="B87333"/>
          <w:sz w:val="21"/>
        </w:rPr>
        <w:t>[What changes, and why.]</w:t>
      </w:r>
    </w:p>
    <w:p>
      <w:pPr>
        <w:pStyle w:val="Heading2"/>
      </w:pPr>
      <w:r>
        <w:t>2. Effect on Deliverables and Scope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2592"/>
            <w:shd w:val="clear" w:color="auto" w:fill="4A90A4"/>
          </w:tcPr>
          <w:p>
            <w:pPr>
              <w:spacing w:after="40" w:before="40"/>
            </w:pPr>
            <w:r/>
            <w:r>
              <w:rPr>
                <w:rFonts w:ascii="Open Sans" w:hAnsi="Open Sans" w:cs="Open Sans" w:eastAsia="Open Sans"/>
                <w:b/>
                <w:i w:val="0"/>
                <w:color w:val="FFFFFF"/>
                <w:sz w:val="18"/>
              </w:rPr>
              <w:t>Deliverable</w:t>
            </w:r>
          </w:p>
        </w:tc>
        <w:tc>
          <w:tcPr>
            <w:tcW w:type="dxa" w:w="3456"/>
            <w:shd w:val="clear" w:color="auto" w:fill="4A90A4"/>
          </w:tcPr>
          <w:p>
            <w:pPr>
              <w:spacing w:after="40" w:before="40"/>
            </w:pPr>
            <w:r/>
            <w:r>
              <w:rPr>
                <w:rFonts w:ascii="Open Sans" w:hAnsi="Open Sans" w:cs="Open Sans" w:eastAsia="Open Sans"/>
                <w:b/>
                <w:i w:val="0"/>
                <w:color w:val="FFFFFF"/>
                <w:sz w:val="18"/>
              </w:rPr>
              <w:t>Change</w:t>
            </w:r>
          </w:p>
        </w:tc>
        <w:tc>
          <w:tcPr>
            <w:tcW w:type="dxa" w:w="3312"/>
            <w:shd w:val="clear" w:color="auto" w:fill="4A90A4"/>
          </w:tcPr>
          <w:p>
            <w:pPr>
              <w:spacing w:after="40" w:before="40"/>
            </w:pPr>
            <w:r/>
            <w:r>
              <w:rPr>
                <w:rFonts w:ascii="Open Sans" w:hAnsi="Open Sans" w:cs="Open Sans" w:eastAsia="Open Sans"/>
                <w:b/>
                <w:i w:val="0"/>
                <w:color w:val="FFFFFF"/>
                <w:sz w:val="18"/>
              </w:rPr>
              <w:t>New acceptance criteria</w:t>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bl>
    <w:p>
      <w:pPr>
        <w:spacing w:after="40"/>
      </w:pPr>
    </w:p>
    <w:p>
      <w:pPr>
        <w:pStyle w:val="Heading2"/>
      </w:pPr>
      <w:r>
        <w:t>3. Effect on Fees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880"/>
            <w:shd w:val="clear" w:color="auto" w:fill="4A90A4"/>
          </w:tcPr>
          <w:p>
            <w:pPr>
              <w:spacing w:after="40" w:before="40"/>
            </w:pPr>
            <w:r/>
            <w:r>
              <w:rPr>
                <w:rFonts w:ascii="Open Sans" w:hAnsi="Open Sans" w:cs="Open Sans" w:eastAsia="Open Sans"/>
                <w:b/>
                <w:i w:val="0"/>
                <w:color w:val="FFFFFF"/>
                <w:sz w:val="18"/>
              </w:rPr>
              <w:t>Basis</w:t>
            </w:r>
          </w:p>
        </w:tc>
        <w:tc>
          <w:tcPr>
            <w:tcW w:type="dxa" w:w="1872"/>
            <w:shd w:val="clear" w:color="auto" w:fill="4A90A4"/>
          </w:tcPr>
          <w:p>
            <w:pPr>
              <w:spacing w:after="40" w:before="40"/>
            </w:pPr>
            <w:r/>
            <w:r>
              <w:rPr>
                <w:rFonts w:ascii="Open Sans" w:hAnsi="Open Sans" w:cs="Open Sans" w:eastAsia="Open Sans"/>
                <w:b/>
                <w:i w:val="0"/>
                <w:color w:val="FFFFFF"/>
                <w:sz w:val="18"/>
              </w:rPr>
              <w:t>Amount (USD)</w:t>
            </w:r>
          </w:p>
        </w:tc>
        <w:tc>
          <w:tcPr>
            <w:tcW w:type="dxa" w:w="1728"/>
            <w:shd w:val="clear" w:color="auto" w:fill="4A90A4"/>
          </w:tcPr>
          <w:p>
            <w:pPr>
              <w:spacing w:after="40" w:before="40"/>
            </w:pPr>
            <w:r/>
            <w:r>
              <w:rPr>
                <w:rFonts w:ascii="Open Sans" w:hAnsi="Open Sans" w:cs="Open Sans" w:eastAsia="Open Sans"/>
                <w:b/>
                <w:i w:val="0"/>
                <w:color w:val="FFFFFF"/>
                <w:sz w:val="18"/>
              </w:rPr>
              <w:t>Due</w:t>
            </w:r>
          </w:p>
        </w:tc>
      </w:tr>
      <w:tr>
        <w:tc>
          <w:tcPr>
            <w:tcW w:type="dxa" w:w="2880"/>
          </w:tcPr>
          <w:p>
            <w:pPr>
              <w:spacing w:after="40" w:before="40"/>
            </w:pPr>
            <w:r/>
          </w:p>
        </w:tc>
        <w:tc>
          <w:tcPr>
            <w:tcW w:type="dxa" w:w="2880"/>
          </w:tcPr>
          <w:p>
            <w:pPr>
              <w:spacing w:after="40" w:before="40"/>
            </w:pPr>
            <w:r/>
            <w:r>
              <w:rPr>
                <w:rFonts w:ascii="Open Sans" w:hAnsi="Open Sans" w:cs="Open Sans" w:eastAsia="Open Sans"/>
                <w:b/>
                <w:i w:val="0"/>
                <w:color w:val="B87333"/>
                <w:sz w:val="18"/>
              </w:rPr>
              <w:t>[Fixed, or hours at the SOW rate]</w:t>
            </w:r>
          </w:p>
        </w:tc>
        <w:tc>
          <w:tcPr>
            <w:tcW w:type="dxa" w:w="1872"/>
          </w:tcPr>
          <w:p>
            <w:pPr>
              <w:spacing w:after="40" w:before="40"/>
            </w:pPr>
            <w:r/>
          </w:p>
        </w:tc>
        <w:tc>
          <w:tcPr>
            <w:tcW w:type="dxa" w:w="1728"/>
          </w:tcPr>
          <w:p>
            <w:pPr>
              <w:spacing w:after="40" w:before="40"/>
            </w:pPr>
            <w:r/>
            <w:r>
              <w:rPr>
                <w:rFonts w:ascii="Open Sans" w:hAnsi="Open Sans" w:cs="Open Sans" w:eastAsia="Open Sans"/>
                <w:b/>
                <w:i w:val="0"/>
                <w:color w:val="B87333"/>
                <w:sz w:val="18"/>
              </w:rPr>
              <w:t>[Net 14 from invoice]</w:t>
            </w:r>
          </w:p>
        </w:tc>
      </w:tr>
      <w:tr>
        <w:tc>
          <w:tcPr>
            <w:tcW w:type="dxa" w:w="2880"/>
          </w:tcPr>
          <w:p>
            <w:pPr>
              <w:spacing w:after="40" w:before="40"/>
            </w:pPr>
            <w:r/>
            <w:r>
              <w:rPr>
                <w:rFonts w:ascii="Open Sans" w:hAnsi="Open Sans" w:cs="Open Sans" w:eastAsia="Open Sans"/>
                <w:b w:val="0"/>
                <w:i w:val="0"/>
                <w:color w:val="262626"/>
                <w:sz w:val="18"/>
              </w:rPr>
              <w:t>Revised total value of SOW</w:t>
            </w:r>
          </w:p>
        </w:tc>
        <w:tc>
          <w:tcPr>
            <w:tcW w:type="dxa" w:w="2880"/>
          </w:tcPr>
          <w:p>
            <w:pPr>
              <w:spacing w:after="40" w:before="40"/>
            </w:pPr>
            <w:r/>
          </w:p>
        </w:tc>
        <w:tc>
          <w:tcPr>
            <w:tcW w:type="dxa" w:w="1872"/>
          </w:tcPr>
          <w:p>
            <w:pPr>
              <w:spacing w:after="40" w:before="40"/>
            </w:pPr>
            <w:r/>
            <w:r>
              <w:rPr>
                <w:rFonts w:ascii="Open Sans" w:hAnsi="Open Sans" w:cs="Open Sans" w:eastAsia="Open Sans"/>
                <w:b/>
                <w:i w:val="0"/>
                <w:color w:val="B87333"/>
                <w:sz w:val="18"/>
              </w:rPr>
              <w:t>[New total]</w:t>
            </w:r>
          </w:p>
        </w:tc>
        <w:tc>
          <w:tcPr>
            <w:tcW w:type="dxa" w:w="1728"/>
          </w:tcPr>
          <w:p>
            <w:pPr>
              <w:spacing w:after="40" w:before="40"/>
            </w:pPr>
            <w:r/>
          </w:p>
        </w:tc>
      </w:tr>
    </w:tbl>
    <w:p>
      <w:pPr>
        <w:spacing w:after="40"/>
      </w:pPr>
    </w:p>
    <w:p>
      <w:pPr>
        <w:pStyle w:val="Heading2"/>
      </w:pPr>
      <w:r>
        <w:t>4. Effect on Schedule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color="auto" w:fill="4A90A4"/>
          </w:tcPr>
          <w:p>
            <w:pPr>
              <w:spacing w:after="40" w:before="40"/>
            </w:pPr>
            <w:r/>
            <w:r>
              <w:rPr>
                <w:rFonts w:ascii="Open Sans" w:hAnsi="Open Sans" w:cs="Open Sans" w:eastAsia="Open Sans"/>
                <w:b/>
                <w:i w:val="0"/>
                <w:color w:val="FFFFFF"/>
                <w:sz w:val="18"/>
              </w:rPr>
              <w:t>Date</w:t>
            </w:r>
          </w:p>
        </w:tc>
        <w:tc>
          <w:tcPr>
            <w:tcW w:type="dxa" w:w="3024"/>
            <w:shd w:val="clear" w:color="auto" w:fill="4A90A4"/>
          </w:tcPr>
          <w:p>
            <w:pPr>
              <w:spacing w:after="40" w:before="40"/>
            </w:pPr>
            <w:r/>
            <w:r>
              <w:rPr>
                <w:rFonts w:ascii="Open Sans" w:hAnsi="Open Sans" w:cs="Open Sans" w:eastAsia="Open Sans"/>
                <w:b/>
                <w:i w:val="0"/>
                <w:color w:val="FFFFFF"/>
                <w:sz w:val="18"/>
              </w:rPr>
              <w:t>Was</w:t>
            </w:r>
          </w:p>
        </w:tc>
        <w:tc>
          <w:tcPr>
            <w:tcW w:type="dxa" w:w="3168"/>
            <w:shd w:val="clear" w:color="auto" w:fill="4A90A4"/>
          </w:tcPr>
          <w:p>
            <w:pPr>
              <w:spacing w:after="40" w:before="40"/>
            </w:pPr>
            <w:r/>
            <w:r>
              <w:rPr>
                <w:rFonts w:ascii="Open Sans" w:hAnsi="Open Sans" w:cs="Open Sans" w:eastAsia="Open Sans"/>
                <w:b/>
                <w:i w:val="0"/>
                <w:color w:val="FFFFFF"/>
                <w:sz w:val="18"/>
              </w:rPr>
              <w:t>Becomes</w:t>
            </w:r>
          </w:p>
        </w:tc>
      </w:tr>
      <w:tr>
        <w:tc>
          <w:tcPr>
            <w:tcW w:type="dxa" w:w="3168"/>
          </w:tcPr>
          <w:p>
            <w:pPr>
              <w:spacing w:after="40" w:before="40"/>
            </w:pPr>
            <w:r/>
            <w:r>
              <w:rPr>
                <w:rFonts w:ascii="Open Sans" w:hAnsi="Open Sans" w:cs="Open Sans" w:eastAsia="Open Sans"/>
                <w:b w:val="0"/>
                <w:i w:val="0"/>
                <w:color w:val="262626"/>
                <w:sz w:val="18"/>
              </w:rPr>
              <w:t>Target Completion Date</w:t>
            </w:r>
          </w:p>
        </w:tc>
        <w:tc>
          <w:tcPr>
            <w:tcW w:type="dxa" w:w="3024"/>
          </w:tcPr>
          <w:p>
            <w:pPr>
              <w:spacing w:after="40" w:before="40"/>
            </w:pPr>
            <w:r/>
          </w:p>
        </w:tc>
        <w:tc>
          <w:tcPr>
            <w:tcW w:type="dxa" w:w="3168"/>
          </w:tcPr>
          <w:p>
            <w:pPr>
              <w:spacing w:after="40" w:before="40"/>
            </w:pPr>
            <w:r/>
          </w:p>
        </w:tc>
      </w:tr>
      <w:tr>
        <w:tc>
          <w:tcPr>
            <w:tcW w:type="dxa" w:w="3168"/>
          </w:tcPr>
          <w:p>
            <w:pPr>
              <w:spacing w:after="40" w:before="40"/>
            </w:pPr>
            <w:r/>
            <w:r>
              <w:rPr>
                <w:rFonts w:ascii="Open Sans" w:hAnsi="Open Sans" w:cs="Open Sans" w:eastAsia="Open Sans"/>
                <w:b/>
                <w:i w:val="0"/>
                <w:color w:val="B87333"/>
                <w:sz w:val="18"/>
              </w:rPr>
              <w:t>[Other milestone]</w:t>
            </w:r>
          </w:p>
        </w:tc>
        <w:tc>
          <w:tcPr>
            <w:tcW w:type="dxa" w:w="3024"/>
          </w:tcPr>
          <w:p>
            <w:pPr>
              <w:spacing w:after="40" w:before="40"/>
            </w:pPr>
            <w:r/>
          </w:p>
        </w:tc>
        <w:tc>
          <w:tcPr>
            <w:tcW w:type="dxa" w:w="3168"/>
          </w:tcPr>
          <w:p>
            <w:pPr>
              <w:spacing w:after="40" w:before="40"/>
            </w:pPr>
            <w:r/>
          </w:p>
        </w:tc>
      </w:tr>
    </w:tbl>
    <w:p>
      <w:pPr>
        <w:spacing w:after="40"/>
      </w:pPr>
    </w:p>
    <w:p>
      <w:pPr>
        <w:pStyle w:val="Heading2"/>
      </w:pPr>
      <w:r>
        <w:t>5. Effect on Background IP</w:t>
      </w:r>
    </w:p>
    <w:p>
      <w:pPr>
        <w:ind w:left="216"/>
        <w:pBdr>
          <w:bottom w:val="single" w:sz="4" w:space="4" w:color="D9E2E6"/>
        </w:pBdr>
      </w:pPr>
      <w:r>
        <w:rPr>
          <w:rFonts w:ascii="Open Sans" w:hAnsi="Open Sans" w:cs="Open Sans" w:eastAsia="Open Sans"/>
          <w:b w:val="0"/>
          <w:i/>
          <w:color w:val="666666"/>
          <w:sz w:val="19"/>
        </w:rPr>
        <w:t>Add any Provider Background IP this change introduces, in the same form as Exhibit B. Write NONE if nothing changes.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Services Agreement - Luwah Technologies LLC Template v1.0</dc:title>
  <dc:subject>Luwah Technologies LLC standard terms for automation, web and technology services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