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Contractor will never submit Company or Client Confidential Information to an AI tool that trains on submitted data. Contractor reviews all AI-assisted output and remains responsible for the Work Product.</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prohibits Contractor from using the general training, knowledge, skills and experience Contractor gains through the Services, including methods and techniques of general application, provided Contractor does not use or disclose Confidential Information in doing so. This clause grants no license under any intellectual property right.</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i w:val="0"/>
          <w:color w:val="262626"/>
          <w:sz w:val="21"/>
        </w:rPr>
        <w:t xml:space="preserve">Whistleblower immunity. </w:t>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Company's trade secrets or Confidential Information, including a Client's identity, needs, systems, pricing or contacts learned through the Services, to solicit or divert any Client. This clause protects Company's trade secrets and Confidential Information. It is not a covenant not to compete and does not stop Contractor from working for anyone using information Contractor did not obtain through the Services.</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If a Client asks Contractor to work directly for it during a Work Order, Contractor will tell Company within 2 business days.</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up to the end date, subject to Sections 3.3 and 11.</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3"/>
      </w:pPr>
      <w:r>
        <w:t>1. Services</w:t>
      </w:r>
    </w:p>
    <w:p>
      <w:r>
        <w:rPr>
          <w:rFonts w:ascii="Open Sans" w:hAnsi="Open Sans" w:cs="Open Sans" w:eastAsia="Open Sans"/>
          <w:b/>
          <w:i w:val="0"/>
          <w:color w:val="B87333"/>
          <w:sz w:val="21"/>
        </w:rPr>
        <w:t>[What Contractor will do, on which systems, and what it will not do.]</w:t>
      </w:r>
    </w:p>
    <w:p>
      <w:pPr>
        <w:pStyle w:val="Heading3"/>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3"/>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3"/>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