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CONTRACTOR AGREEMENT   ·   SUBCONTRACT TERMS</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Independent Contractor Agreement</w:t>
            </w:r>
          </w:p>
          <w:p>
            <w:pPr>
              <w:spacing w:before="0" w:after="80"/>
              <w:jc w:val="left"/>
              <w:pBdr>
                <w:bottom w:val="single" w:sz="4" w:space="4" w:color="555555"/>
              </w:pBdr>
            </w:pPr>
            <w:r>
              <w:rPr>
                <w:rFonts w:ascii="Tw Cen MT" w:hAnsi="Tw Cen MT" w:cs="Tw Cen MT" w:eastAsia="Tw Cen MT"/>
                <w:b w:val="0"/>
                <w:color w:val="B87333"/>
                <w:sz w:val="26"/>
              </w:rPr>
              <w:t>Terms for subcontractors performing work for Luwah Technologies and its clients</w:t>
            </w:r>
          </w:p>
          <w:p>
            <w:pPr>
              <w:spacing w:before="120" w:after="0"/>
              <w:jc w:val="left"/>
            </w:pPr>
            <w:r>
              <w:rPr>
                <w:rFonts w:ascii="Open Sans" w:hAnsi="Open Sans" w:cs="Open Sans" w:eastAsia="Open Sans"/>
                <w:b w:val="0"/>
                <w:color w:val="CCCCCC"/>
                <w:sz w:val="21"/>
              </w:rPr>
              <w:t>[Contractor name]   |   [Client and project, or Internal]</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("Company")</w:t>
            </w:r>
          </w:p>
          <w:p>
            <w:pPr>
              <w:spacing w:before="0" w:after="0"/>
              <w:jc w:val="left"/>
            </w:pPr>
            <w:r>
              <w:rPr>
                <w:rFonts w:ascii="Open Sans" w:hAnsi="Open Sans" w:cs="Open Sans" w:eastAsia="Open Sans"/>
                <w:b w:val="0"/>
                <w:color w:val="CCCCCC"/>
                <w:sz w:val="20"/>
              </w:rPr>
              <w:t>[Contractor legal name] ("Contractor")</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[ICA-YYYY-NN]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and only tools operated under terms that do not permit the vendor to train on submitted content. Contractor never submits Company or Client Confidential Information to a consumer tier of any AI service, never submits credentials to any AI tool, and submits protected health information, payment card data or other regulated data to an AI tool only where the Work Order expressly provides for it and states the written agreement that covers it. Contractor tells the participants before an AI tool records or transcribes a meeting. Contractor reviews all AI-assisted output and remains responsible for the Work Product.</w:t>
      </w:r>
    </w:p>
    <w:p>
      <w:pPr>
        <w:tabs>
          <w:tab w:pos="648" w:val="left"/>
        </w:tabs>
        <w:ind w:left="648" w:hanging="648"/>
      </w:pPr>
      <w:r>
        <w:rPr>
          <w:rFonts w:ascii="Open Sans" w:hAnsi="Open Sans" w:cs="Open Sans" w:eastAsia="Open Sans"/>
          <w:b/>
          <w:i w:val="0"/>
          <w:color w:val="4A90A4"/>
          <w:sz w:val="21"/>
        </w:rPr>
        <w:t>5.10</w:t>
        <w:tab/>
      </w:r>
      <w:r>
        <w:rPr>
          <w:rFonts w:ascii="Open Sans" w:hAnsi="Open Sans" w:cs="Open Sans" w:eastAsia="Open Sans"/>
          <w:b/>
          <w:i w:val="0"/>
          <w:color w:val="262626"/>
          <w:sz w:val="21"/>
        </w:rPr>
        <w:t xml:space="preserve">Company tools. </w:t>
      </w:r>
      <w:r>
        <w:rPr>
          <w:rFonts w:ascii="Open Sans" w:hAnsi="Open Sans" w:cs="Open Sans" w:eastAsia="Open Sans"/>
          <w:b w:val="0"/>
          <w:i w:val="0"/>
          <w:color w:val="262626"/>
          <w:sz w:val="21"/>
        </w:rPr>
        <w:t>Company's own tools and libraries, including the Luwah Accessibility Toolkit, the n8n workflow library, the web starter and the operations scripts, are Company property. Their source code, build configuration, design and documentation are Confidential Information even where a compiled or served copy is public. Contractor uses them only for the Work Order that requires them, does not copy them to any other system or client, keeps no copy after the Work Order ends, and does not build a similar product from their source, design or documentation during the term or for 12 months after it. This clause protects Company's trade secrets and Confidential Information. It is not a covenant not to compete and does not restrict Contractor from using general skills, knowledge and experience or publicly available information.</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prohibits Contractor from using the general training, knowledge, skills and experience Contractor gains through the Services, including methods and techniques of general application, provided Contractor does not use or disclose Confidential Information in doing so. This clause grants no license under any intellectual property right.</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i w:val="0"/>
          <w:color w:val="262626"/>
          <w:sz w:val="21"/>
        </w:rPr>
        <w:t xml:space="preserve">Whistleblower immunity. </w:t>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Company's trade secrets or Confidential Information, including a Client's identity, needs, systems, pricing or contacts learned through the Services, to solicit or divert any Client. This clause protects Company's trade secrets and Confidential Information. It is not a covenant not to compete and does not stop Contractor from working for anyone using information Contractor did not obtain through the Services.</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If a Client asks Contractor to work directly for it during a Work Order, Contractor will tell Company within 2 business days.</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up to the end date, subject to Sections 3.3 and 11.</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2"/>
      </w:pPr>
      <w:r>
        <w:t>1. Services</w:t>
      </w:r>
    </w:p>
    <w:p>
      <w:r>
        <w:rPr>
          <w:rFonts w:ascii="Open Sans" w:hAnsi="Open Sans" w:cs="Open Sans" w:eastAsia="Open Sans"/>
          <w:b/>
          <w:i w:val="0"/>
          <w:color w:val="B87333"/>
          <w:sz w:val="21"/>
        </w:rPr>
        <w:t>[What Contractor will do, on which systems, and what it will not do.]</w:t>
      </w:r>
    </w:p>
    <w:p>
      <w:pPr>
        <w:pStyle w:val="Heading2"/>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2"/>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2"/>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2"/>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