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CLIENT AGREEMENT   ·   WORK MADE FOR HIRE</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Work Made for Hire Agreement</w:t>
            </w:r>
          </w:p>
          <w:p>
            <w:pPr>
              <w:spacing w:before="0" w:after="80"/>
              <w:jc w:val="left"/>
              <w:pBdr>
                <w:bottom w:val="single" w:sz="4" w:space="4" w:color="555555"/>
              </w:pBdr>
            </w:pPr>
            <w:r>
              <w:rPr>
                <w:rFonts w:ascii="Tw Cen MT" w:hAnsi="Tw Cen MT" w:cs="Tw Cen MT" w:eastAsia="Tw Cen MT"/>
                <w:b w:val="0"/>
                <w:color w:val="B87333"/>
                <w:sz w:val="26"/>
              </w:rPr>
              <w:t>Transfer of ownership in work Luwah Technologies creates for a client</w:t>
            </w:r>
          </w:p>
          <w:p>
            <w:pPr>
              <w:spacing w:before="120" w:after="0"/>
              <w:jc w:val="left"/>
            </w:pPr>
            <w:r>
              <w:rPr>
                <w:rFonts w:ascii="Open Sans" w:hAnsi="Open Sans" w:cs="Open Sans" w:eastAsia="Open Sans"/>
                <w:b w:val="0"/>
                <w:color w:val="CCCCCC"/>
                <w:sz w:val="21"/>
              </w:rPr>
              <w:t>[Client name]   |   [Client website or project]</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[WFH-YYYY-NN]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Work Made for Hire Agreement</w:t>
      </w:r>
    </w:p>
    <w:p>
      <w:pPr>
        <w:spacing w:after="200"/>
      </w:pPr>
      <w:r>
        <w:rPr>
          <w:rFonts w:ascii="Tw Cen MT" w:hAnsi="Tw Cen MT" w:cs="Tw Cen MT" w:eastAsia="Tw Cen MT"/>
          <w:b w:val="0"/>
          <w:color w:val="4A90A4"/>
          <w:sz w:val="22"/>
        </w:rPr>
        <w:t>Transfer of ownership in work Luwah Technologies creates for a client</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[WFH-YYYY-NN]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Project</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and 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[Total fee for the Project]</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Work Made for Hire Agreement (the "Agreement") is between the client named in the Agreement Summary above ("Client") and Luwah Technologies LLC, a Colorado limited liability company ("Provider"). Client has engaged Provider to create the work described in Exhibit A (the "Project"). The Parties intend that Client will own the results of the Project on the terms below.</w:t>
      </w:r>
    </w:p>
    <w:p>
      <w:r>
        <w:rPr>
          <w:rFonts w:ascii="Open Sans" w:hAnsi="Open Sans" w:cs="Open Sans" w:eastAsia="Open Sans"/>
          <w:b w:val="0"/>
          <w:i w:val="0"/>
          <w:color w:val="262626"/>
          <w:sz w:val="21"/>
        </w:rPr>
        <w:t>Use this Agreement when a client wants a standalone, project-specific transfer of ownership, or when no Master Services Agreement is in place. Where a Master Services Agreement is in place, this Agreement controls ownership of the Project's Work Product and the Master Services Agreement controls everything else.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all deliverables, code, workflows, configurations, designs, content, documentation and other material Provider creates for Client in the Project, including drafts and versions, but excluding Background IP, Client Materials and third-party components.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Project, or creates during the Project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that is marked confidential or that a reasonable person would treat as confidential.</w:t>
      </w:r>
    </w:p>
    <w:p>
      <w:pPr>
        <w:pStyle w:val="Heading1"/>
      </w:pPr>
      <w:r>
        <w:t>2. Project and Compensation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Provider will create the Work Product described in Exhibit A.</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Client pays the fee stated in Exhibit A on the schedule stated there. If a Master Services Agreement and Statement of Work cover the Project, their payment terms apply instead.</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Ownership transfers under Section 3 only when Client has paid in full.</w:t>
      </w:r>
    </w:p>
    <w:p>
      <w:pPr>
        <w:pStyle w:val="Heading1"/>
      </w:pPr>
      <w:r>
        <w:t>3. Ownership of Work Product</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the Work Product is specially ordered or commissioned by Client and is a "work made for hire" under the United States Copyright Act, 17 U.S.C. § 101, to the fullest extent the law allows.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Provider irrevocably assigns to Client, effective when Client pays in full,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Provider waives, and agrees not to assert against Client or its successors, any moral rights in the Work Product.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Provider will sign any document and take any lawful step Client reasonably requests, at Client's expense, to record or perfect Client's ownership.</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i w:val="0"/>
          <w:color w:val="262626"/>
          <w:sz w:val="21"/>
        </w:rPr>
        <w:t xml:space="preserve">Before payment in full. </w:t>
      </w:r>
      <w:r>
        <w:rPr>
          <w:rFonts w:ascii="Open Sans" w:hAnsi="Open Sans" w:cs="Open Sans" w:eastAsia="Open Sans"/>
          <w:b w:val="0"/>
          <w:i w:val="0"/>
          <w:color w:val="262626"/>
          <w:sz w:val="21"/>
        </w:rPr>
        <w:t>Until Client pays in full, Provider owns the Work Product and Client may use it only to review it. If Client does not pay in full, no transfer occurs, and Client must stop using and delete the Work Product on Provider's written request.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i w:val="0"/>
          <w:color w:val="262626"/>
          <w:sz w:val="21"/>
        </w:rPr>
        <w:t xml:space="preserve">Client's use after transfer. </w:t>
      </w:r>
      <w:r>
        <w:rPr>
          <w:rFonts w:ascii="Open Sans" w:hAnsi="Open Sans" w:cs="Open Sans" w:eastAsia="Open Sans"/>
          <w:b w:val="0"/>
          <w:i w:val="0"/>
          <w:color w:val="262626"/>
          <w:sz w:val="21"/>
        </w:rPr>
        <w:t>After the transfer, Client may use, modify, and distribute the Work Product without restriction, subject to Section 4 for Background IP and third-party components.</w:t>
      </w:r>
    </w:p>
    <w:p>
      <w:pPr>
        <w:pStyle w:val="Heading1"/>
      </w:pPr>
      <w:r>
        <w:t>4. Background IP and Third-Party Materials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i w:val="0"/>
          <w:color w:val="262626"/>
          <w:sz w:val="21"/>
        </w:rPr>
        <w:t xml:space="preserve">Reservation. </w:t>
      </w:r>
      <w:r>
        <w:rPr>
          <w:rFonts w:ascii="Open Sans" w:hAnsi="Open Sans" w:cs="Open Sans" w:eastAsia="Open Sans"/>
          <w:b w:val="0"/>
          <w:i w:val="0"/>
          <w:color w:val="262626"/>
          <w:sz w:val="21"/>
        </w:rPr>
        <w:t>Provider keeps ownership of all Background IP, including the items listed in Exhibit B.</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License. </w:t>
      </w:r>
      <w:r>
        <w:rPr>
          <w:rFonts w:ascii="Open Sans" w:hAnsi="Open Sans" w:cs="Open Sans" w:eastAsia="Open Sans"/>
          <w:b w:val="0"/>
          <w:i w:val="0"/>
          <w:color w:val="262626"/>
          <w:sz w:val="21"/>
        </w:rPr>
        <w:t>Where Background IP is incorporated into the Work Product, Provider grants Client a perpetual, worldwide, non-exclusive, royalty-free license, irrevocable once Client has paid in full, to use, copy, modify and distribute that Background IP as part of the Work Product for Client's business purposes, except as Section 4.5 provides. Client may transfer this license with the Work Product to a successor or acquirer of Client's business. Client may not sell or license the Background IP on its own.</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The Work Product may include open source or third-party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Reuse. </w:t>
      </w:r>
      <w:r>
        <w:rPr>
          <w:rFonts w:ascii="Open Sans" w:hAnsi="Open Sans" w:cs="Open Sans" w:eastAsia="Open Sans"/>
          <w:b w:val="0"/>
          <w:i w:val="0"/>
          <w:color w:val="262626"/>
          <w:sz w:val="21"/>
        </w:rPr>
        <w:t>Provider may reuse its Background IP, and the general skills, knowledge, patterns and techniques it gains in the Project, for other clients, provided Provider does not use or disclose Client Confidential Information or the Work Product itself.</w:t>
      </w:r>
    </w:p>
    <w:p>
      <w:pPr>
        <w:tabs>
          <w:tab w:pos="648" w:val="left"/>
        </w:tabs>
        <w:ind w:left="648" w:hanging="648"/>
      </w:pPr>
      <w:r>
        <w:rPr>
          <w:rFonts w:ascii="Open Sans" w:hAnsi="Open Sans" w:cs="Open Sans" w:eastAsia="Open Sans"/>
          <w:b/>
          <w:i w:val="0"/>
          <w:color w:val="4A90A4"/>
          <w:sz w:val="21"/>
        </w:rPr>
        <w:t>4.5</w:t>
        <w:tab/>
      </w:r>
      <w:r>
        <w:rPr>
          <w:rFonts w:ascii="Open Sans" w:hAnsi="Open Sans" w:cs="Open Sans" w:eastAsia="Open Sans"/>
          <w:b/>
          <w:i w:val="0"/>
          <w:color w:val="262626"/>
          <w:sz w:val="21"/>
        </w:rPr>
        <w:t xml:space="preserve">Accessibility toolkit. </w:t>
      </w:r>
      <w:r>
        <w:rPr>
          <w:rFonts w:ascii="Open Sans" w:hAnsi="Open Sans" w:cs="Open Sans" w:eastAsia="Open Sans"/>
          <w:b w:val="0"/>
          <w:i w:val="0"/>
          <w:color w:val="262626"/>
          <w:sz w:val="21"/>
        </w:rPr>
        <w:t>The Luwah Accessibility Toolkit, meaning the Accessibility Center launcher and drawer, the disability profiles and individual adjustments, the page-structure navigator, the reading overlays, the image description layer, the issue report form, the accessibility statement content, the keyboard shortcut handling and the CSS hooks, together with the code, styles and documentation that support them, is Background IP that Provider designed, built and owns. Where the Toolkit is delivered with a website, Client receives the license in Section 4.2 as part of the Deliverable, on the Project's website only. Client may configure and modify the Toolkit on that website. Client may not copy the Toolkit to another website, application, product or system, remove it for separate use, sublicense, sell, rent, lease or distribute it on its own, remove or alter Provider's notices in it, present it as Client's own product or as a third-party vendor's product, or let a third party do any of those things. Use on any other property needs a separate written license from Provider. The accessibility statement published with the Toolkit describes a self-assessment against WCAG 2.2 AA, not a certification, and Client keeps that statement accurate to the website it describes after delivery.</w:t>
      </w:r>
    </w:p>
    <w:p>
      <w:pPr>
        <w:pStyle w:val="Heading1"/>
      </w:pPr>
      <w:r>
        <w:t>5. Client Materials</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keeps all rights in Client Materials. Client grants Provider a non-exclusive license to use Client Materials only to perform the Project.</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Client warrants that it has the rights needed to give the Client Materials to Provider for the Project and that their use in the Project will not infringe a third party's rights.</w:t>
      </w:r>
    </w:p>
    <w:p>
      <w:pPr>
        <w:pStyle w:val="Heading1"/>
      </w:pPr>
      <w:r>
        <w:t>6. Provider's Representations</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Provider has the right to enter this Agreement and to grant the rights in it, and no other agreement conflicts with it.</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The Work Product is Provider's original work, except for Background IP, Client Materials and third-party components identified under Section 4.3, and to Provider's knowledge does not infringe any third party's intellectual property rights.</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Provider has obtained, or will obtain before delivery, from any subcontractor who contributes to the Work Product a written assignment sufficient to give Client the rights in this Agreement.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Provider uses AI-assisted tools, including Anthropic Claude and Google Gemini, where they help, to build Work Product and to help manage the Services, for example code, documentation, meeting notes and operations. Provider applies human authorship, review, selection and arrangement to all Work Product and to every change made while operating it, and remains responsible for the result. Ownership of Work Product under this Agreement applies regardless of the tools used to create it, and Provider's warranties are about performance and the right to transfer, not about the method of authorship. Provider submits Client Confidential Information only to AI tools operated under terms that do not permit the vendor to train on submitted content or to use it for any purpose other than providing the service and its safety review, and a submission on those terms is a permitted disclosure under the confidentiality Section of this Agreement. Provider does not submit credentials to any AI tool, and submits protected health information, payment card data or other regulated data only where an SOW or other written agreement between the Parties expressly provides for it. Where an AI tool records or transcribes a meeting, Provider tells the participants before it starts. Client acknowledges that the copyright status of material generated by an AI tool without human authorship is unsettled, and that Provider does not warrant copyright protection for any such portion. On request Provider will state which AI tools were used on a Deliverable.</w:t>
      </w:r>
    </w:p>
    <w:p>
      <w:pPr>
        <w:pStyle w:val="Heading1"/>
      </w:pPr>
      <w:r>
        <w:t>7. Confidentiality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Each Party will use the other Party's Confidential Information only for the Project, will protect it with reasonable care, and will not disclose it to anyone other than its employees, contractors and advisers who need to know it and are bound by written confidentiality obligations.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These obligations do not apply to information that is or becomes public through no fault of the receiving Party, that the receiving Party already knew or lawfully receives without a duty of confidence, or that the receiving Party develops independently. A Party may disclose Confidential Information when the law requires, after prompt notice where lawful.</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These obligations last for 3 years after the Project ends, and for trade secrets and credentials for as long as they remain a trade secret or active. If a non-disclosure agreement or Master Services Agreement between the Parties is in force, its confidentiality terms apply in addition, and the more protective term controls.</w:t>
      </w:r>
    </w:p>
    <w:p>
      <w:pPr>
        <w:pStyle w:val="Heading1"/>
      </w:pPr>
      <w:r>
        <w:t>8. Portfolio and Credit</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Provider may name Client and describe the general nature of the Project in Provider's portfolio and marketing only with Client's prior written consent, which may be given by email, and without disclosing Confidential Information. Client may withdraw consent at any time by written notice.</w:t>
      </w:r>
    </w:p>
    <w:p>
      <w:pPr>
        <w:pStyle w:val="Heading1"/>
      </w:pPr>
      <w:r>
        <w:t>9. Relationship of the Parties</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Provider is an independent contractor. Provider controls the manner and means of performing the Project. Nothing in this Agreement creates a partnership, joint venture, employment or agency relationship, and neither Party may bind the other.</w:t>
      </w:r>
    </w:p>
    <w:p>
      <w:pPr>
        <w:pStyle w:val="Heading1"/>
      </w:pPr>
      <w:r>
        <w:t>10. Warranty and Limitation of Liability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If a Master Services Agreement between the Parties covers the Project, its warranty and limitation of liability terms apply and this Section does not.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Otherwise, for 30 days after delivery, Provider warrants that the Work Product will materially conform to Exhibit A. Client's sole remedy is that Provider will correct the non-conformance at no charge within a reasonable time or, if Provider cannot, refund the fee paid for the non-conforming part. Except as stated in this Section and Section 6, Provider provides the Work Product as is and disclaims all other warranties, express or implied, including merchantability, fitness for a particular purpose and non-infringement.</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Otherwise, Provider will defend Client against any third-party claim that the Work Product, as delivered and used as this Agreement permits, infringes that third party's copyright, trademark or trade secret, and Client will defend Provider against any third-party claim arising from Client Materials or from Client's use of the Work Product in a way this Agreement does not permit. In each case the defending Party pays the damages and costs a court finally awards or a settlement it agrees to, the other Party gives prompt notice and control of the defence, and Provider's defence does not cover Client Materials, third-party components used as their licenses allow, or changes made by anyone other than Provider.</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Each Party's total liability arising out of this Agreement is limited to the fees paid under it. These limits do not apply to a breach of Section 7, to Client's payment obligations, to a Party's defence obligations under Section 10.3, or to a Party's gross negligence, fraud or willful misconduct.</w:t>
      </w:r>
    </w:p>
    <w:p>
      <w:pPr>
        <w:pStyle w:val="Heading1"/>
      </w:pPr>
      <w:r>
        <w:t>11. Term and Termination</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This Agreement starts on the Effective Date and ends when the Project is complete and Client has paid in full, unless ended earlier under this Section.</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Either Party may terminate this Agreement with 14 days' written notice. Client pays for all work performed to the termination date. Section 3 applies to the Work Product completed to that date once that payment is made.</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Sections 3, 4, 6, 7, 8, 10 and 12 survive termination.</w:t>
      </w:r>
    </w:p>
    <w:p>
      <w:pPr>
        <w:pStyle w:val="Heading1"/>
      </w:pPr>
      <w:r>
        <w:t>12. General</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Entire agreement and precedence. </w:t>
      </w:r>
      <w:r>
        <w:rPr>
          <w:rFonts w:ascii="Open Sans" w:hAnsi="Open Sans" w:cs="Open Sans" w:eastAsia="Open Sans"/>
          <w:b w:val="0"/>
          <w:i w:val="0"/>
          <w:color w:val="262626"/>
          <w:sz w:val="21"/>
        </w:rPr>
        <w:t>This Agreement and its Exhibits are the entire agreement between the Parties about ownership of the Work Product. Where a Master Services Agreement or Statement of Work between the Parties also covers the Project, this Agreement controls ownership of the Project's Work Product, and those documents control all other matters.</w:t>
      </w:r>
    </w:p>
    <w:p>
      <w:pPr>
        <w:tabs>
          <w:tab w:pos="648" w:val="left"/>
        </w:tabs>
        <w:ind w:left="648" w:hanging="648"/>
      </w:pPr>
      <w:r>
        <w:rPr>
          <w:rFonts w:ascii="Open Sans" w:hAnsi="Open Sans" w:cs="Open Sans" w:eastAsia="Open Sans"/>
          <w:b/>
          <w:i w:val="0"/>
          <w:color w:val="4A90A4"/>
          <w:sz w:val="21"/>
        </w:rPr>
        <w:t>12.4</w:t>
        <w:tab/>
      </w:r>
      <w:r>
        <w:rPr>
          <w:rFonts w:ascii="Open Sans" w:hAnsi="Open Sans" w:cs="Open Sans" w:eastAsia="Open Sans"/>
          <w:b/>
          <w:i w:val="0"/>
          <w:color w:val="262626"/>
          <w:sz w:val="21"/>
        </w:rPr>
        <w:t xml:space="preserve">Amendment and assignment. </w:t>
      </w:r>
      <w:r>
        <w:rPr>
          <w:rFonts w:ascii="Open Sans" w:hAnsi="Open Sans" w:cs="Open Sans" w:eastAsia="Open Sans"/>
          <w:b w:val="0"/>
          <w:i w:val="0"/>
          <w:color w:val="262626"/>
          <w:sz w:val="21"/>
        </w:rPr>
        <w:t>Changes must be in writing and signed by both Parties. Provider may not assign this Agreement without Client's written consent. Client may assign this Agreement, with the Work Product, to a successor or acquirer of its business on written notice.</w:t>
      </w:r>
    </w:p>
    <w:p>
      <w:pPr>
        <w:tabs>
          <w:tab w:pos="648" w:val="left"/>
        </w:tabs>
        <w:ind w:left="648" w:hanging="648"/>
      </w:pPr>
      <w:r>
        <w:rPr>
          <w:rFonts w:ascii="Open Sans" w:hAnsi="Open Sans" w:cs="Open Sans" w:eastAsia="Open Sans"/>
          <w:b/>
          <w:i w:val="0"/>
          <w:color w:val="4A90A4"/>
          <w:sz w:val="21"/>
        </w:rPr>
        <w:t>12.5</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12.6</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Project Description</w:t>
      </w:r>
    </w:p>
    <w:p>
      <w:pPr>
        <w:ind w:left="216"/>
        <w:pBdr>
          <w:bottom w:val="single" w:sz="4" w:space="4" w:color="D9E2E6"/>
        </w:pBdr>
      </w:pPr>
      <w:r>
        <w:rPr>
          <w:rFonts w:ascii="Open Sans" w:hAnsi="Open Sans" w:cs="Open Sans" w:eastAsia="Open Sans"/>
          <w:b w:val="0"/>
          <w:i/>
          <w:color w:val="666666"/>
          <w:sz w:val="19"/>
        </w:rPr>
        <w:t>Describe the Project in enough detail that a third party could tell what is and is not Work Product. Where a Statement of Work exists, reference it and attach it rather than repeating it.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Project name</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SOW or proposal</w:t>
            </w:r>
          </w:p>
        </w:tc>
        <w:tc>
          <w:tcPr>
            <w:tcW w:type="dxa" w:w="6480"/>
          </w:tcPr>
          <w:p>
            <w:pPr>
              <w:spacing w:after="40" w:before="40"/>
            </w:pPr>
            <w:r/>
            <w:r>
              <w:rPr>
                <w:rFonts w:ascii="Open Sans" w:hAnsi="Open Sans" w:cs="Open Sans" w:eastAsia="Open Sans"/>
                <w:b/>
                <w:i w:val="0"/>
                <w:color w:val="B87333"/>
                <w:sz w:val="19"/>
              </w:rPr>
              <w:t>[SOW-YYYY-NN,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Description</w:t>
            </w:r>
          </w:p>
        </w:tc>
        <w:tc>
          <w:tcPr>
            <w:tcW w:type="dxa" w:w="6480"/>
          </w:tcPr>
          <w:p>
            <w:pPr>
              <w:spacing w:after="40" w:before="40"/>
            </w:pPr>
            <w:r/>
            <w:r>
              <w:rPr>
                <w:rFonts w:ascii="Open Sans" w:hAnsi="Open Sans" w:cs="Open Sans" w:eastAsia="Open Sans"/>
                <w:b/>
                <w:i w:val="0"/>
                <w:color w:val="B87333"/>
                <w:sz w:val="19"/>
              </w:rPr>
              <w:t>[What Provider will create, for what purpose, on which platforms]</w:t>
            </w:r>
          </w:p>
        </w:tc>
      </w:tr>
      <w:tr>
        <w:tc>
          <w:tcPr>
            <w:tcW w:type="dxa" w:w="2880"/>
            <w:shd w:val="clear" w:color="auto" w:fill="F3F6F7"/>
          </w:tcPr>
          <w:p>
            <w:pPr>
              <w:spacing w:after="40" w:before="40"/>
            </w:pPr>
            <w:r/>
            <w:r>
              <w:rPr>
                <w:rFonts w:ascii="Open Sans" w:hAnsi="Open Sans" w:cs="Open Sans" w:eastAsia="Open Sans"/>
                <w:b/>
                <w:i w:val="0"/>
                <w:color w:val="262626"/>
                <w:sz w:val="19"/>
              </w:rPr>
              <w:t>Delivery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fee (USD)</w:t>
            </w:r>
          </w:p>
        </w:tc>
        <w:tc>
          <w:tcPr>
            <w:tcW w:type="dxa" w:w="6480"/>
          </w:tcPr>
          <w:p>
            <w:pPr>
              <w:spacing w:after="40" w:before="40"/>
            </w:pPr>
            <w:r/>
            <w:r>
              <w:rPr>
                <w:rFonts w:ascii="Open Sans" w:hAnsi="Open Sans" w:cs="Open Sans" w:eastAsia="Open Sans"/>
                <w:b/>
                <w:i w:val="0"/>
                <w:color w:val="B87333"/>
                <w:sz w:val="19"/>
              </w:rPr>
              <w:t>[Amount]</w:t>
            </w:r>
          </w:p>
        </w:tc>
      </w:tr>
      <w:tr>
        <w:tc>
          <w:tcPr>
            <w:tcW w:type="dxa" w:w="2880"/>
            <w:shd w:val="clear" w:color="auto" w:fill="F3F6F7"/>
          </w:tcPr>
          <w:p>
            <w:pPr>
              <w:spacing w:after="40" w:before="40"/>
            </w:pPr>
            <w:r/>
            <w:r>
              <w:rPr>
                <w:rFonts w:ascii="Open Sans" w:hAnsi="Open Sans" w:cs="Open Sans" w:eastAsia="Open Sans"/>
                <w:b/>
                <w:i w:val="0"/>
                <w:color w:val="262626"/>
                <w:sz w:val="19"/>
              </w:rPr>
              <w:t>Payment schedule</w:t>
            </w:r>
          </w:p>
        </w:tc>
        <w:tc>
          <w:tcPr>
            <w:tcW w:type="dxa" w:w="6480"/>
          </w:tcPr>
          <w:p>
            <w:pPr>
              <w:spacing w:after="40" w:before="40"/>
            </w:pPr>
            <w:r/>
            <w:r>
              <w:rPr>
                <w:rFonts w:ascii="Open Sans" w:hAnsi="Open Sans" w:cs="Open Sans" w:eastAsia="Open Sans"/>
                <w:b/>
                <w:i w:val="0"/>
                <w:color w:val="B87333"/>
                <w:sz w:val="19"/>
              </w:rPr>
              <w:t>[50% on signing, 50% on delivery, or per the SOW]</w:t>
            </w:r>
          </w:p>
        </w:tc>
      </w:tr>
    </w:tbl>
    <w:p>
      <w:pPr>
        <w:spacing w:after="40"/>
      </w:pPr>
    </w:p>
    <w:p>
      <w:pPr>
        <w:pStyle w:val="Heading2"/>
      </w:pPr>
      <w:r>
        <w:t>Deliverables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2880"/>
            <w:shd w:val="clear" w:color="auto" w:fill="4A90A4"/>
          </w:tcPr>
          <w:p>
            <w:pPr>
              <w:spacing w:after="40" w:before="40"/>
            </w:pPr>
            <w:r/>
            <w:r>
              <w:rPr>
                <w:rFonts w:ascii="Open Sans" w:hAnsi="Open Sans" w:cs="Open Sans" w:eastAsia="Open Sans"/>
                <w:b/>
                <w:i w:val="0"/>
                <w:color w:val="FFFFFF"/>
                <w:sz w:val="18"/>
              </w:rPr>
              <w:t>Deliverable</w:t>
            </w:r>
          </w:p>
        </w:tc>
        <w:tc>
          <w:tcPr>
            <w:tcW w:type="dxa" w:w="4320"/>
            <w:shd w:val="clear" w:color="auto" w:fill="4A90A4"/>
          </w:tcPr>
          <w:p>
            <w:pPr>
              <w:spacing w:after="40" w:before="40"/>
            </w:pPr>
            <w:r/>
            <w:r>
              <w:rPr>
                <w:rFonts w:ascii="Open Sans" w:hAnsi="Open Sans" w:cs="Open Sans" w:eastAsia="Open Sans"/>
                <w:b/>
                <w:i w:val="0"/>
                <w:color w:val="FFFFFF"/>
                <w:sz w:val="18"/>
              </w:rPr>
              <w:t>Description</w:t>
            </w:r>
          </w:p>
        </w:tc>
        <w:tc>
          <w:tcPr>
            <w:tcW w:type="dxa" w:w="1440"/>
            <w:shd w:val="clear" w:color="auto" w:fill="4A90A4"/>
          </w:tcPr>
          <w:p>
            <w:pPr>
              <w:spacing w:after="40" w:before="40"/>
            </w:pPr>
            <w:r/>
            <w:r>
              <w:rPr>
                <w:rFonts w:ascii="Open Sans" w:hAnsi="Open Sans" w:cs="Open Sans" w:eastAsia="Open Sans"/>
                <w:b/>
                <w:i w:val="0"/>
                <w:color w:val="FFFFFF"/>
                <w:sz w:val="18"/>
              </w:rPr>
              <w:t>Delivery date</w:t>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bl>
    <w:p>
      <w:pPr>
        <w:spacing w:after="40"/>
      </w:pPr>
    </w:p>
    <w:p>
      <w:r>
        <w:br w:type="page"/>
      </w:r>
    </w:p>
    <w:p>
      <w:pPr>
        <w:pStyle w:val="Heading1"/>
      </w:pPr>
      <w:r>
        <w:t>Exhibit B: Provider Background IP</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the Work Product.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Luwah accessibility toolkit</w:t>
            </w:r>
          </w:p>
        </w:tc>
        <w:tc>
          <w:tcPr>
            <w:tcW w:type="dxa" w:w="3744"/>
          </w:tcPr>
          <w:p>
            <w:pPr>
              <w:spacing w:after="40" w:before="40"/>
            </w:pPr>
            <w:r/>
            <w:r>
              <w:rPr>
                <w:rFonts w:ascii="Open Sans" w:hAnsi="Open Sans" w:cs="Open Sans" w:eastAsia="Open Sans"/>
                <w:b w:val="0"/>
                <w:i w:val="0"/>
                <w:color w:val="262626"/>
                <w:sz w:val="18"/>
              </w:rPr>
              <w:t>Accessibility launcher and panel, disability profiles, adjustments, reading overlays, page-structure navigator, issue report form, statement seed content and the supporting code and styles. Licensed to the delivered website only, Section 4.5</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4.2</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Made for Hire Agreement - Luwah Technologies LLC Template v1.0</dc:title>
  <dc:subject>Transfer of ownership in work Luwah Technologies creates for a client</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