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pPr>
      <w:r w:rsidDel="00000000" w:rsidR="00000000" w:rsidRPr="00000000">
        <w:rPr>
          <w:b w:val="1"/>
          <w:bCs w:val="1"/>
          <w:rtl w:val="0"/>
        </w:rPr>
        <w:t xml:space="preserve">AUDITORES: </w:t>
      </w:r>
      <w:r w:rsidDel="00000000" w:rsidR="00000000" w:rsidRPr="00000000">
        <w:rPr>
          <w:rtl w:val="0"/>
        </w:rPr>
        <w:t xml:space="preserve">CACTUCITOS</w:t>
      </w:r>
      <w:r w:rsidDel="00000000" w:rsidR="00000000" w:rsidRPr="00000000">
        <w:rPr>
          <w:rtl w:val="0"/>
        </w:rPr>
      </w:r>
    </w:p>
    <w:p w:rsidR="00000000" w:rsidDel="00000000" w:rsidP="00000000" w:rsidRDefault="00000000" w:rsidRPr="00000000" w14:paraId="00000002">
      <w:pPr>
        <w:spacing w:after="160" w:line="278.00000000000006" w:lineRule="auto"/>
        <w:rPr>
          <w:b w:val="1"/>
          <w:bCs w:val="1"/>
          <w:sz w:val="20"/>
          <w:szCs w:val="20"/>
        </w:rPr>
      </w:pPr>
      <w:r w:rsidDel="00000000" w:rsidR="00000000" w:rsidRPr="00000000">
        <w:rPr>
          <w:b w:val="1"/>
          <w:bCs w:val="1"/>
          <w:sz w:val="20"/>
          <w:szCs w:val="20"/>
          <w:rtl w:val="0"/>
        </w:rPr>
        <w:t xml:space="preserve">Integrantes: </w:t>
      </w:r>
    </w:p>
    <w:p w:rsidR="00000000" w:rsidDel="00000000" w:rsidP="00000000" w:rsidRDefault="00000000" w:rsidRPr="00000000" w14:paraId="00000003">
      <w:pPr>
        <w:widowControl w:val="0"/>
        <w:numPr>
          <w:ilvl w:val="0"/>
          <w:numId w:val="1"/>
        </w:numPr>
        <w:spacing w:after="0" w:afterAutospacing="0" w:line="240" w:lineRule="auto"/>
        <w:ind w:left="720" w:hanging="360"/>
        <w:rPr>
          <w:sz w:val="20"/>
          <w:szCs w:val="20"/>
        </w:rPr>
      </w:pPr>
      <w:r w:rsidDel="00000000" w:rsidR="00000000" w:rsidRPr="00000000">
        <w:rPr>
          <w:sz w:val="20"/>
          <w:szCs w:val="20"/>
          <w:rtl w:val="0"/>
        </w:rPr>
        <w:t xml:space="preserve">Josue Nisthaus</w:t>
      </w:r>
    </w:p>
    <w:p w:rsidR="00000000" w:rsidDel="00000000" w:rsidP="00000000" w:rsidRDefault="00000000" w:rsidRPr="00000000" w14:paraId="00000004">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Carlos Caba</w:t>
      </w:r>
    </w:p>
    <w:p w:rsidR="00000000" w:rsidDel="00000000" w:rsidP="00000000" w:rsidRDefault="00000000" w:rsidRPr="00000000" w14:paraId="00000005">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Luciana Velasco</w:t>
      </w:r>
    </w:p>
    <w:p w:rsidR="00000000" w:rsidDel="00000000" w:rsidP="00000000" w:rsidRDefault="00000000" w:rsidRPr="00000000" w14:paraId="00000006">
      <w:pPr>
        <w:widowControl w:val="0"/>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Daniela Guzman</w:t>
      </w:r>
    </w:p>
    <w:p w:rsidR="00000000" w:rsidDel="00000000" w:rsidP="00000000" w:rsidRDefault="00000000" w:rsidRPr="00000000" w14:paraId="00000007">
      <w:pPr>
        <w:widowControl w:val="0"/>
        <w:numPr>
          <w:ilvl w:val="0"/>
          <w:numId w:val="1"/>
        </w:numPr>
        <w:spacing w:before="0" w:beforeAutospacing="0" w:line="240" w:lineRule="auto"/>
        <w:ind w:left="720" w:hanging="360"/>
        <w:rPr>
          <w:sz w:val="20"/>
          <w:szCs w:val="20"/>
        </w:rPr>
      </w:pPr>
      <w:r w:rsidDel="00000000" w:rsidR="00000000" w:rsidRPr="00000000">
        <w:rPr>
          <w:sz w:val="20"/>
          <w:szCs w:val="20"/>
          <w:rtl w:val="0"/>
        </w:rPr>
        <w:t xml:space="preserve">Jose Manzaneda</w:t>
      </w:r>
    </w:p>
    <w:p w:rsidR="00000000" w:rsidDel="00000000" w:rsidP="00000000" w:rsidRDefault="00000000" w:rsidRPr="00000000" w14:paraId="00000008">
      <w:pPr>
        <w:widowControl w:val="0"/>
        <w:spacing w:before="469.525146484375" w:line="240" w:lineRule="auto"/>
        <w:rPr>
          <w:sz w:val="24"/>
          <w:szCs w:val="24"/>
        </w:rPr>
      </w:pPr>
      <w:r w:rsidDel="00000000" w:rsidR="00000000" w:rsidRPr="00000000">
        <w:rPr>
          <w:b w:val="1"/>
          <w:bCs w:val="1"/>
          <w:sz w:val="20"/>
          <w:szCs w:val="20"/>
          <w:rtl w:val="0"/>
        </w:rPr>
        <w:t xml:space="preserve">BANCO AUDITADO: </w:t>
      </w:r>
      <w:r w:rsidDel="00000000" w:rsidR="00000000" w:rsidRPr="00000000">
        <w:rPr>
          <w:rtl w:val="0"/>
        </w:rPr>
        <w:t xml:space="preserve">Banco Fon</w:t>
      </w:r>
      <w:r w:rsidDel="00000000" w:rsidR="00000000" w:rsidRPr="00000000">
        <w:rPr>
          <w:sz w:val="24"/>
          <w:szCs w:val="24"/>
          <w:rtl w:val="0"/>
        </w:rPr>
        <w:t xml:space="preserve">do de Bikini</w:t>
      </w:r>
    </w:p>
    <w:p w:rsidR="00000000" w:rsidDel="00000000" w:rsidP="00000000" w:rsidRDefault="00000000" w:rsidRPr="00000000" w14:paraId="00000009">
      <w:pPr>
        <w:shd w:fill="ffffff" w:val="clear"/>
        <w:spacing w:line="240" w:lineRule="auto"/>
        <w:jc w:val="both"/>
        <w:rPr>
          <w:b w:val="1"/>
          <w:bCs w:val="1"/>
          <w:sz w:val="23"/>
          <w:szCs w:val="23"/>
        </w:rPr>
      </w:pPr>
      <w:r w:rsidDel="00000000" w:rsidR="00000000" w:rsidRPr="00000000">
        <w:rPr>
          <w:b w:val="1"/>
          <w:bCs w:val="1"/>
          <w:sz w:val="23"/>
          <w:szCs w:val="23"/>
          <w:rtl w:val="0"/>
        </w:rPr>
        <w:t xml:space="preserve">GUÍA DE HALLAZGOS</w:t>
      </w:r>
    </w:p>
    <w:p w:rsidR="00000000" w:rsidDel="00000000" w:rsidP="00000000" w:rsidRDefault="00000000" w:rsidRPr="00000000" w14:paraId="0000000A">
      <w:pPr>
        <w:shd w:fill="ffffff" w:val="clear"/>
        <w:spacing w:line="240" w:lineRule="auto"/>
        <w:jc w:val="both"/>
        <w:rPr>
          <w:b w:val="1"/>
          <w:bCs w:val="1"/>
          <w:color w:val="4c4c4c"/>
          <w:sz w:val="21"/>
          <w:szCs w:val="21"/>
        </w:rPr>
      </w:pPr>
      <w:r w:rsidDel="00000000" w:rsidR="00000000" w:rsidRPr="00000000">
        <w:rPr>
          <w:rtl w:val="0"/>
        </w:rPr>
      </w:r>
    </w:p>
    <w:tbl>
      <w:tblPr>
        <w:tblStyle w:val="Table1"/>
        <w:tblW w:w="8712.0" w:type="dxa"/>
        <w:jc w:val="left"/>
        <w:tblLayout w:type="fixed"/>
        <w:tblLook w:val="0400"/>
      </w:tblPr>
      <w:tblGrid>
        <w:gridCol w:w="2536"/>
        <w:gridCol w:w="4937"/>
        <w:gridCol w:w="1239"/>
        <w:tblGridChange w:id="0">
          <w:tblGrid>
            <w:gridCol w:w="2536"/>
            <w:gridCol w:w="4937"/>
            <w:gridCol w:w="1239"/>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B">
            <w:pPr>
              <w:spacing w:after="200" w:line="240" w:lineRule="auto"/>
              <w:rPr>
                <w:rFonts w:ascii="Helvetica Neue" w:cs="Helvetica Neue" w:eastAsia="Helvetica Neue" w:hAnsi="Helvetica Neue"/>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D">
            <w:pPr>
              <w:spacing w:after="200" w:line="240" w:lineRule="auto"/>
              <w:jc w:val="both"/>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Cod. 1</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0E">
            <w:pPr>
              <w:spacing w:after="200" w:line="240" w:lineRule="auto"/>
              <w:jc w:val="center"/>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Hallazgos de la Auditoría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0">
            <w:pPr>
              <w:spacing w:after="200" w:line="240" w:lineRule="auto"/>
              <w:jc w:val="center"/>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FB-H1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1">
            <w:pPr>
              <w:spacing w:after="200" w:line="240" w:lineRule="auto"/>
              <w:jc w:val="both"/>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Dominio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2">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Dominio PO – Planear y Organizar</w:t>
            </w:r>
            <w:r w:rsidDel="00000000" w:rsidR="00000000" w:rsidRPr="00000000">
              <w:rPr>
                <w:rtl w:val="0"/>
              </w:rPr>
            </w:r>
          </w:p>
          <w:p w:rsidR="00000000" w:rsidDel="00000000" w:rsidP="00000000" w:rsidRDefault="00000000" w:rsidRPr="00000000" w14:paraId="00000013">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Dominio ME – Monitorear y Evaluar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5">
            <w:pPr>
              <w:spacing w:after="200" w:line="240" w:lineRule="auto"/>
              <w:jc w:val="both"/>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Proceso</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6">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PO1 Definir un plan estratégico de TI</w:t>
            </w:r>
            <w:r w:rsidDel="00000000" w:rsidR="00000000" w:rsidRPr="00000000">
              <w:rPr>
                <w:rtl w:val="0"/>
              </w:rPr>
            </w:r>
          </w:p>
          <w:p w:rsidR="00000000" w:rsidDel="00000000" w:rsidP="00000000" w:rsidRDefault="00000000" w:rsidRPr="00000000" w14:paraId="00000017">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PO2 Definir la arquitectura de la información</w:t>
            </w:r>
            <w:r w:rsidDel="00000000" w:rsidR="00000000" w:rsidRPr="00000000">
              <w:rPr>
                <w:rtl w:val="0"/>
              </w:rPr>
            </w:r>
          </w:p>
          <w:p w:rsidR="00000000" w:rsidDel="00000000" w:rsidP="00000000" w:rsidRDefault="00000000" w:rsidRPr="00000000" w14:paraId="00000018">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PO3 Determinar la dirección tecnológica</w:t>
            </w:r>
            <w:r w:rsidDel="00000000" w:rsidR="00000000" w:rsidRPr="00000000">
              <w:rPr>
                <w:rtl w:val="0"/>
              </w:rPr>
            </w:r>
          </w:p>
          <w:p w:rsidR="00000000" w:rsidDel="00000000" w:rsidP="00000000" w:rsidRDefault="00000000" w:rsidRPr="00000000" w14:paraId="00000019">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PO4 Definir los procesos, organización y relaciones de TI</w:t>
            </w:r>
            <w:r w:rsidDel="00000000" w:rsidR="00000000" w:rsidRPr="00000000">
              <w:rPr>
                <w:rtl w:val="0"/>
              </w:rPr>
            </w:r>
          </w:p>
          <w:p w:rsidR="00000000" w:rsidDel="00000000" w:rsidP="00000000" w:rsidRDefault="00000000" w:rsidRPr="00000000" w14:paraId="0000001A">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PO7 Administrar recursos humanos de TI</w:t>
            </w:r>
            <w:r w:rsidDel="00000000" w:rsidR="00000000" w:rsidRPr="00000000">
              <w:rPr>
                <w:rtl w:val="0"/>
              </w:rPr>
            </w:r>
          </w:p>
          <w:p w:rsidR="00000000" w:rsidDel="00000000" w:rsidP="00000000" w:rsidRDefault="00000000" w:rsidRPr="00000000" w14:paraId="0000001B">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ME2 Monitorear y evaluar el control interno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D">
            <w:pPr>
              <w:spacing w:after="200" w:line="240" w:lineRule="auto"/>
              <w:jc w:val="both"/>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Objetivo de Control</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1E">
            <w:pPr>
              <w:spacing w:after="160" w:line="278.00000000000006"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Se pide al auditor que realice la evaluación de control interno con COBIT respecto a la contribución de la Tecnología en los objetivos estratégicos de la empresa, evaluar la efectividad y eficiencia de los procesos y la organización de TI, identificar la infraestructura de los sistemas automatizados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0">
            <w:pPr>
              <w:spacing w:after="200" w:line="240" w:lineRule="auto"/>
              <w:jc w:val="both"/>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Riesgos Asociados</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1">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R1, R2, R3, R4, R5, R6, R7</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3">
            <w:pPr>
              <w:spacing w:after="200" w:line="240" w:lineRule="auto"/>
              <w:jc w:val="center"/>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Descripción</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6">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R1. No existe un Código de Ética ni Código de Conducta formalmente documentado para el área de TI. Los valores institucionales están declarados en el PEI pero no se cuenta con un instrumento que establezca mecanismos de control sobre el comportamiento del personal ni canales para reportar irregularidades.</w:t>
            </w:r>
            <w:r w:rsidDel="00000000" w:rsidR="00000000" w:rsidRPr="00000000">
              <w:rPr>
                <w:rtl w:val="0"/>
              </w:rPr>
            </w:r>
          </w:p>
          <w:p w:rsidR="00000000" w:rsidDel="00000000" w:rsidP="00000000" w:rsidRDefault="00000000" w:rsidRPr="00000000" w14:paraId="00000027">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R2. El Comité de Gobierno de TI no tiene documento constitutivo formal. El proceso EDM01 se encuentra en nivel 1-Inicial según el PETI, sin acta de creación, integrantes nominados, funciones definidas ni periodicidad de sesiones establecida.</w:t>
            </w:r>
            <w:r w:rsidDel="00000000" w:rsidR="00000000" w:rsidRPr="00000000">
              <w:rPr>
                <w:rtl w:val="0"/>
              </w:rPr>
            </w:r>
          </w:p>
          <w:p w:rsidR="00000000" w:rsidDel="00000000" w:rsidP="00000000" w:rsidRDefault="00000000" w:rsidRPr="00000000" w14:paraId="00000028">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R3. No se cuenta con un plan formal que gestione el desarrollo profesional del personal de TI. No se encontraron evaluaciones de desempeño ejecutadas ni registros de capacitaciones realizadas en el área, lo que genera dependencia del conocimiento individual.</w:t>
            </w:r>
            <w:r w:rsidDel="00000000" w:rsidR="00000000" w:rsidRPr="00000000">
              <w:rPr>
                <w:rtl w:val="0"/>
              </w:rPr>
            </w:r>
          </w:p>
          <w:p w:rsidR="00000000" w:rsidDel="00000000" w:rsidP="00000000" w:rsidRDefault="00000000" w:rsidRPr="00000000" w14:paraId="00000029">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R4. La gestión de riesgos tecnológicos no está operando como un proceso continuo y estructurado. Los riesgos identificados en la documentación no tienen seguimiento periódico verificable ni cobertura completa de tratamiento formal.</w:t>
            </w:r>
            <w:r w:rsidDel="00000000" w:rsidR="00000000" w:rsidRPr="00000000">
              <w:rPr>
                <w:rtl w:val="0"/>
              </w:rPr>
            </w:r>
          </w:p>
          <w:p w:rsidR="00000000" w:rsidDel="00000000" w:rsidP="00000000" w:rsidRDefault="00000000" w:rsidRPr="00000000" w14:paraId="0000002A">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R5. Los mecanismos de detección y respuesta ante incidentes de seguridad presentan brechas en su implementación. El SIEM opera con capacidad básica, no existe un SOC operativo y el MFA no está habilitado en la totalidad de los sistemas críticos del banco.</w:t>
            </w:r>
            <w:r w:rsidDel="00000000" w:rsidR="00000000" w:rsidRPr="00000000">
              <w:rPr>
                <w:rtl w:val="0"/>
              </w:rPr>
            </w:r>
          </w:p>
          <w:p w:rsidR="00000000" w:rsidDel="00000000" w:rsidP="00000000" w:rsidRDefault="00000000" w:rsidRPr="00000000" w14:paraId="0000002B">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R6. No existe un mecanismo formal que evalúe el impacto de cambios tecnológicos y regulatorios sobre los controles vigentes. El proceso de gestión de cambios cubre modificaciones internas planificadas pero no contempla el análisis del entorno externo.</w:t>
            </w:r>
            <w:r w:rsidDel="00000000" w:rsidR="00000000" w:rsidRPr="00000000">
              <w:rPr>
                <w:rtl w:val="0"/>
              </w:rPr>
            </w:r>
          </w:p>
          <w:p w:rsidR="00000000" w:rsidDel="00000000" w:rsidP="00000000" w:rsidRDefault="00000000" w:rsidRPr="00000000" w14:paraId="0000002C">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R7. El banco no cuenta con un sistema de seguimiento periódico del desempeño de TI. Los KPIs están definidos en el PETI pero no existe evidencia de medición ni reportes generados hacia las instancias de gobierno, con MEA01 en nivel 1-Inicial.</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F">
            <w:pPr>
              <w:spacing w:after="200" w:line="240" w:lineRule="auto"/>
              <w:jc w:val="center"/>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Recomendación</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2">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1. Elaborar y publicar un Código de Ética con secciones de integridad, confidencialidad, conflictos de interés, uso ético de sistemas, canal de denuncia (whistleblowing), consecuencias disciplinarias y firma anual obligatoria por todo el personal de TI.</w:t>
            </w:r>
            <w:r w:rsidDel="00000000" w:rsidR="00000000" w:rsidRPr="00000000">
              <w:rPr>
                <w:rtl w:val="0"/>
              </w:rPr>
            </w:r>
          </w:p>
          <w:p w:rsidR="00000000" w:rsidDel="00000000" w:rsidP="00000000" w:rsidRDefault="00000000" w:rsidRPr="00000000" w14:paraId="00000033">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2. Emitir el acta constitutiva formal del Comité de Gobierno de TI con nombramiento de integrantes, términos de referencia, calendario de sesiones trimestral y mecanismo de reporte semestral al Directorio, elevando EDM01 al nivel 3-Establecido.</w:t>
            </w:r>
            <w:r w:rsidDel="00000000" w:rsidR="00000000" w:rsidRPr="00000000">
              <w:rPr>
                <w:rtl w:val="0"/>
              </w:rPr>
            </w:r>
          </w:p>
          <w:p w:rsidR="00000000" w:rsidDel="00000000" w:rsidP="00000000" w:rsidRDefault="00000000" w:rsidRPr="00000000" w14:paraId="00000034">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3. Desarrollar un plan de gestión del talento que contemple perfil de ingreso, esquema de capacitaciones alineado a los roles del área, evaluaciones de desempeño periódicas y un procedimiento para la transferencia de conocimiento ante cambios de personal.</w:t>
            </w:r>
            <w:r w:rsidDel="00000000" w:rsidR="00000000" w:rsidRPr="00000000">
              <w:rPr>
                <w:rtl w:val="0"/>
              </w:rPr>
            </w:r>
          </w:p>
          <w:p w:rsidR="00000000" w:rsidDel="00000000" w:rsidP="00000000" w:rsidRDefault="00000000" w:rsidRPr="00000000" w14:paraId="00000035">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4. Establecer un proceso de revisión periódica del registro de riesgos con responsables asignados, frecuencia definida y mecanismo de escalamiento hacia la alta dirección cuando se identifiquen riesgos sin tratamiento o con tratamiento vencido.</w:t>
            </w:r>
            <w:r w:rsidDel="00000000" w:rsidR="00000000" w:rsidRPr="00000000">
              <w:rPr>
                <w:rtl w:val="0"/>
              </w:rPr>
            </w:r>
          </w:p>
          <w:p w:rsidR="00000000" w:rsidDel="00000000" w:rsidP="00000000" w:rsidRDefault="00000000" w:rsidRPr="00000000" w14:paraId="00000036">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5. Priorizar la implementación de controles de detección y respuesta pendientes con un cronograma de fechas comprometidas y responsables, verificando el avance mediante el nivel de cobertura de MFA en sistemas críticos y la operatividad del SOC.</w:t>
            </w:r>
            <w:r w:rsidDel="00000000" w:rsidR="00000000" w:rsidRPr="00000000">
              <w:rPr>
                <w:rtl w:val="0"/>
              </w:rPr>
            </w:r>
          </w:p>
          <w:p w:rsidR="00000000" w:rsidDel="00000000" w:rsidP="00000000" w:rsidRDefault="00000000" w:rsidRPr="00000000" w14:paraId="00000037">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6. Incorporar dentro del proceso de gestión de cambios una etapa de análisis de impacto sobre controles existentes, de modo que cualquier modificación significativa en tecnología o normativa dispare una revisión formal y documentada de los controles afectados.</w:t>
            </w:r>
            <w:r w:rsidDel="00000000" w:rsidR="00000000" w:rsidRPr="00000000">
              <w:rPr>
                <w:rtl w:val="0"/>
              </w:rPr>
            </w:r>
          </w:p>
          <w:p w:rsidR="00000000" w:rsidDel="00000000" w:rsidP="00000000" w:rsidRDefault="00000000" w:rsidRPr="00000000" w14:paraId="00000038">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7. Implementar un mecanismo de seguimiento del desempeño de TI con indicadores definidos, frecuencia de medición establecida y reportes periódicos presentados a las instancias de gobierno, comenzando con los indicadores del PETI y estableciendo líneas base de MTTD/MTTR.</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B">
            <w:pPr>
              <w:spacing w:after="200" w:line="240" w:lineRule="auto"/>
              <w:jc w:val="center"/>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Causa</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E">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1. La alta dirección no ha formalizado un instrumento normativo específico de conducta para TI; los valores del PEI no se han traducido en un documento operativo con mecanismos de control y sanción.</w:t>
            </w:r>
            <w:r w:rsidDel="00000000" w:rsidR="00000000" w:rsidRPr="00000000">
              <w:rPr>
                <w:rtl w:val="0"/>
              </w:rPr>
            </w:r>
          </w:p>
          <w:p w:rsidR="00000000" w:rsidDel="00000000" w:rsidP="00000000" w:rsidRDefault="00000000" w:rsidRPr="00000000" w14:paraId="0000003F">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2. El PETI reconoce EDM01 en nivel 1-Inicial; la constitución del Comité de TI ha sido postergada sin fecha comprometida, dejando el gobierno de TI sin instancia formal de supervisión.</w:t>
            </w:r>
            <w:r w:rsidDel="00000000" w:rsidR="00000000" w:rsidRPr="00000000">
              <w:rPr>
                <w:rtl w:val="0"/>
              </w:rPr>
            </w:r>
          </w:p>
          <w:p w:rsidR="00000000" w:rsidDel="00000000" w:rsidP="00000000" w:rsidRDefault="00000000" w:rsidRPr="00000000" w14:paraId="00000040">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3. La gestión del personal de TI se ha enfocado en cubrir necesidades operativas inmediatas, sin destinar responsables ni recursos para un programa estructurado de desarrollo profesional.</w:t>
            </w:r>
            <w:r w:rsidDel="00000000" w:rsidR="00000000" w:rsidRPr="00000000">
              <w:rPr>
                <w:rtl w:val="0"/>
              </w:rPr>
            </w:r>
          </w:p>
          <w:p w:rsidR="00000000" w:rsidDel="00000000" w:rsidP="00000000" w:rsidRDefault="00000000" w:rsidRPr="00000000" w14:paraId="00000041">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4. APO12 fue planificado en el PETI como iniciativa futura sin responsable ni cronograma de implementación activo; el seguimiento de riesgos se realiza de manera informal y no sistemática.</w:t>
            </w:r>
            <w:r w:rsidDel="00000000" w:rsidR="00000000" w:rsidRPr="00000000">
              <w:rPr>
                <w:rtl w:val="0"/>
              </w:rPr>
            </w:r>
          </w:p>
          <w:p w:rsidR="00000000" w:rsidDel="00000000" w:rsidP="00000000" w:rsidRDefault="00000000" w:rsidRPr="00000000" w14:paraId="00000042">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5. La implementación de controles de seguridad avanzó de forma parcial sin una hoja de ruta con compromisos de cierre formalizados, dejando controles en etapas intermedias sin fecha definida.</w:t>
            </w:r>
            <w:r w:rsidDel="00000000" w:rsidR="00000000" w:rsidRPr="00000000">
              <w:rPr>
                <w:rtl w:val="0"/>
              </w:rPr>
            </w:r>
          </w:p>
          <w:p w:rsidR="00000000" w:rsidDel="00000000" w:rsidP="00000000" w:rsidRDefault="00000000" w:rsidRPr="00000000" w14:paraId="00000043">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6. El procedimiento de gestión de cambios está orientado a controlar cambios internos planificados sin contemplar el entorno regulatorio como parte del ciclo formal de análisis.</w:t>
            </w:r>
            <w:r w:rsidDel="00000000" w:rsidR="00000000" w:rsidRPr="00000000">
              <w:rPr>
                <w:rtl w:val="0"/>
              </w:rPr>
            </w:r>
          </w:p>
          <w:p w:rsidR="00000000" w:rsidDel="00000000" w:rsidP="00000000" w:rsidRDefault="00000000" w:rsidRPr="00000000" w14:paraId="00000044">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7. La medición del desempeño de TI no ha sido priorizada como actividad formal; los indicadores existen en la documentación estratégica pero no se han asignado responsables ni herramientas para su medición y reporte sistemático.</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7">
            <w:pPr>
              <w:spacing w:after="200" w:line="240" w:lineRule="auto"/>
              <w:jc w:val="center"/>
              <w:rPr>
                <w:rFonts w:ascii="Helvetica Neue" w:cs="Helvetica Neue" w:eastAsia="Helvetica Neue" w:hAnsi="Helvetica Neue"/>
                <w:sz w:val="21"/>
                <w:szCs w:val="21"/>
              </w:rPr>
            </w:pPr>
            <w:r w:rsidDel="00000000" w:rsidR="00000000" w:rsidRPr="00000000">
              <w:rPr>
                <w:rFonts w:ascii="Cambria" w:cs="Cambria" w:eastAsia="Cambria" w:hAnsi="Cambria"/>
                <w:b w:val="1"/>
                <w:bCs w:val="1"/>
                <w:sz w:val="21"/>
                <w:szCs w:val="21"/>
                <w:rtl w:val="0"/>
              </w:rPr>
              <w:t xml:space="preserve">Nivel del Riesgo</w:t>
            </w: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4A">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1. Probabilidad alta porque no existe ningún instrumento formal de conducta para TI y no hay fecha comprometida de elaboración. Impacto alto porque afecta el ambiente de control de todos los procesos del área. (P=4, I=4, R=16) Riesgo Alto.</w:t>
            </w:r>
            <w:r w:rsidDel="00000000" w:rsidR="00000000" w:rsidRPr="00000000">
              <w:rPr>
                <w:rtl w:val="0"/>
              </w:rPr>
            </w:r>
          </w:p>
          <w:p w:rsidR="00000000" w:rsidDel="00000000" w:rsidP="00000000" w:rsidRDefault="00000000" w:rsidRPr="00000000" w14:paraId="0000004B">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2. Probabilidad muy alta porque EDM01 está en nivel 1-Inicial y el Comité no tiene documento constitutivo. Impacto alto porque toda decisión de gobierno de TI opera sin supervisión formal. (P=5, I=4, R=20) Riesgo Crítico.</w:t>
            </w:r>
            <w:r w:rsidDel="00000000" w:rsidR="00000000" w:rsidRPr="00000000">
              <w:rPr>
                <w:rtl w:val="0"/>
              </w:rPr>
            </w:r>
          </w:p>
          <w:p w:rsidR="00000000" w:rsidDel="00000000" w:rsidP="00000000" w:rsidRDefault="00000000" w:rsidRPr="00000000" w14:paraId="0000004C">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3. Probabilidad alta porque APO07 en nivel 2 sin plan de competencias formalizado ni evaluaciones de desempeño. Impacto medio porque afecta la continuidad operativa ante rotación de personal, aunque los manuales de funciones mitigan parcialmente el riesgo. (P=4, I=3, R=12) Riesgo Alto.</w:t>
            </w:r>
            <w:r w:rsidDel="00000000" w:rsidR="00000000" w:rsidRPr="00000000">
              <w:rPr>
                <w:rtl w:val="0"/>
              </w:rPr>
            </w:r>
          </w:p>
          <w:p w:rsidR="00000000" w:rsidDel="00000000" w:rsidP="00000000" w:rsidRDefault="00000000" w:rsidRPr="00000000" w14:paraId="0000004D">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4. Probabilidad alta porque el seguimiento de riesgos no opera como proceso continuo y la cobertura actual es inferior a la meta establecida. Impacto alto porque riesgos sin monitoreo pueden materializarse sin activar controles preventivos a tiempo. (P=4, I=4, R=16) Riesgo Alto.</w:t>
            </w:r>
            <w:r w:rsidDel="00000000" w:rsidR="00000000" w:rsidRPr="00000000">
              <w:rPr>
                <w:rtl w:val="0"/>
              </w:rPr>
            </w:r>
          </w:p>
          <w:p w:rsidR="00000000" w:rsidDel="00000000" w:rsidP="00000000" w:rsidRDefault="00000000" w:rsidRPr="00000000" w14:paraId="0000004E">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5. Probabilidad alta porque múltiples controles de detección y respuesta se encuentran en implementación parcial en una entidad con datos financieros sensibles. Impacto muy alto porque una brecha en sistemas críticos puede comprometer la disponibilidad del servicio y los datos de los clientes. (P=4, I=5, R=20) Riesgo Crítico.</w:t>
            </w:r>
            <w:r w:rsidDel="00000000" w:rsidR="00000000" w:rsidRPr="00000000">
              <w:rPr>
                <w:rtl w:val="0"/>
              </w:rPr>
            </w:r>
          </w:p>
          <w:p w:rsidR="00000000" w:rsidDel="00000000" w:rsidP="00000000" w:rsidRDefault="00000000" w:rsidRPr="00000000" w14:paraId="0000004F">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6. Probabilidad media porque existe un procedimiento de gestión de cambios que opera parcialmente como control compensatorio. Impacto medio porque cambios no evaluados pueden generar desactualización de controles, aunque el impacto es acotado mientras los sistemas funcionen con normalidad. (P=3, I=3, R=9) Riesgo Medio.</w:t>
            </w:r>
            <w:r w:rsidDel="00000000" w:rsidR="00000000" w:rsidRPr="00000000">
              <w:rPr>
                <w:rtl w:val="0"/>
              </w:rPr>
            </w:r>
          </w:p>
          <w:p w:rsidR="00000000" w:rsidDel="00000000" w:rsidP="00000000" w:rsidRDefault="00000000" w:rsidRPr="00000000" w14:paraId="00000050">
            <w:pPr>
              <w:spacing w:after="200" w:line="240" w:lineRule="auto"/>
              <w:rPr>
                <w:rFonts w:ascii="Cambria" w:cs="Cambria" w:eastAsia="Cambria" w:hAnsi="Cambria"/>
              </w:rPr>
            </w:pPr>
            <w:r w:rsidDel="00000000" w:rsidR="00000000" w:rsidRPr="00000000">
              <w:rPr>
                <w:rFonts w:ascii="Cambria" w:cs="Cambria" w:eastAsia="Cambria" w:hAnsi="Cambria"/>
                <w:sz w:val="21"/>
                <w:szCs w:val="21"/>
                <w:rtl w:val="0"/>
              </w:rPr>
              <w:t xml:space="preserve">7. Probabilidad muy alta porque no hay evidencia de medición de indicadores ni reportes generados a las instancias de gobierno. Impacto medio-alto porque sin información de desempeño actualizada la dirección no puede detectar desviaciones ni tomar decisiones correctivas oportunas. (P=5, I=3, R=15) Riesgo Alto.</w:t>
            </w:r>
            <w:r w:rsidDel="00000000" w:rsidR="00000000" w:rsidRPr="00000000">
              <w:rPr>
                <w:rtl w:val="0"/>
              </w:rPr>
            </w:r>
          </w:p>
        </w:tc>
      </w:tr>
    </w:tbl>
    <w:p w:rsidR="00000000" w:rsidDel="00000000" w:rsidP="00000000" w:rsidRDefault="00000000" w:rsidRPr="00000000" w14:paraId="00000053">
      <w:pPr>
        <w:shd w:fill="ffffff" w:val="clear"/>
        <w:jc w:val="both"/>
        <w:rPr>
          <w:b w:val="1"/>
          <w:bCs w:val="1"/>
          <w:sz w:val="21"/>
          <w:szCs w:val="2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tabs>
        <w:tab w:val="center" w:leader="none" w:pos="4252"/>
        <w:tab w:val="right" w:leader="none" w:pos="8504"/>
      </w:tabs>
      <w:spacing w:line="240" w:lineRule="auto"/>
      <w:rPr/>
    </w:pPr>
    <w:r w:rsidDel="00000000" w:rsidR="00000000" w:rsidRPr="00000000">
      <w:rPr>
        <w:rFonts w:ascii="Calibri" w:cs="Calibri" w:eastAsia="Calibri" w:hAnsi="Calibri"/>
        <w:rtl w:val="0"/>
      </w:rPr>
      <w:t xml:space="preserve">SIS 324 Auditoría de Sistemas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