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 xml:space="preserve">AUDITORES: </w:t>
      </w:r>
    </w:p>
    <w:p>
      <w:r>
        <w:rPr>
          <w:b/>
          <w:sz w:val="24"/>
        </w:rPr>
        <w:t>Warden</w:t>
      </w:r>
    </w:p>
    <w:p>
      <w:r>
        <w:rPr>
          <w:b/>
        </w:rPr>
        <w:t xml:space="preserve">Integrantes: </w:t>
      </w:r>
    </w:p>
    <w:p>
      <w:pPr>
        <w:pStyle w:val="ListBullet"/>
      </w:pPr>
      <w:r>
        <w:t>Franz</w:t>
      </w:r>
    </w:p>
    <w:p>
      <w:r>
        <w:rPr>
          <w:b/>
          <w:sz w:val="22"/>
        </w:rPr>
        <w:t xml:space="preserve">BANCO AUDITADO: </w:t>
      </w:r>
    </w:p>
    <w:p>
      <w:r>
        <w:rPr>
          <w:b/>
          <w:color w:val="003366"/>
          <w:sz w:val="24"/>
        </w:rPr>
        <w:t>BANCO LUNA LLENA</w:t>
      </w:r>
    </w:p>
    <w:p/>
    <w:p>
      <w:pPr>
        <w:jc w:val="center"/>
      </w:pPr>
      <w:r>
        <w:rPr>
          <w:b/>
          <w:color w:val="003366"/>
          <w:sz w:val="28"/>
        </w:rPr>
        <w:t>GUÍA DE HALLAZGOS</w:t>
      </w:r>
    </w:p>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w:t>
            </w:r>
          </w:p>
        </w:tc>
      </w:tr>
      <w:tr>
        <w:tc>
          <w:tcPr>
            <w:tcW w:type="dxa" w:w="4320"/>
            <w:shd w:fill="D9E2F3" w:val="clear"/>
          </w:tcPr>
          <w:p>
            <w:r>
              <w:rPr>
                <w:rFonts w:ascii="Calibri" w:hAnsi="Calibri"/>
                <w:b/>
                <w:sz w:val="18"/>
              </w:rPr>
              <w:t>Dominio</w:t>
            </w:r>
          </w:p>
        </w:tc>
        <w:tc>
          <w:tcPr>
            <w:tcW w:type="dxa" w:w="4320"/>
          </w:tcPr>
          <w:p>
            <w:r>
              <w:rPr>
                <w:rFonts w:ascii="Calibri" w:hAnsi="Calibri"/>
                <w:sz w:val="18"/>
              </w:rPr>
              <w:t>Planear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PO1</w:t>
              <w:br/>
              <w:t>PO4</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efectividad de un marco formal de gobierno de TI alineado con los objetivos de negocio.</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ha identificado en su Plan Estratégico de Tecnología de la Información (PETI) 2025-2030 que una de las brechas actuales es la existencia de 'Procesos de TI sin marco formal'. A pesar de esta identificación, la implementación de COBIT 2019 como marco de gobierno, aunque es una iniciativa clave con una meta de 'Nivel de madurez COBIT ≥ 3 al 2027', actualmente se encuentra en un 'Nivel 1' de madurez. Esto indica que, si bien se reconoce la necesidad, la formalización y adopción plena del marco aún no se ha logrado, lo que podría afectar la eficacia de la planificación y organización de TI.</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Acelerar la implementación de las iniciativas definidas en el PETI para alcanzar el Nivel de Madurez COBIT ≥ 3 al 2027, priorizando la definición, documentación y comunicación de los procesos de gobierno de TI, roles y métricas.</w:t>
            </w:r>
          </w:p>
        </w:tc>
      </w:tr>
      <w:tr>
        <w:tc>
          <w:tcPr>
            <w:tcW w:type="dxa" w:w="4320"/>
            <w:shd w:fill="D9E2F3" w:val="clear"/>
          </w:tcPr>
          <w:p>
            <w:r>
              <w:rPr>
                <w:rFonts w:ascii="Calibri" w:hAnsi="Calibri"/>
                <w:b/>
                <w:sz w:val="18"/>
              </w:rPr>
              <w:t>Causa</w:t>
            </w:r>
          </w:p>
        </w:tc>
        <w:tc>
          <w:tcPr>
            <w:tcW w:type="dxa" w:w="4320"/>
          </w:tcPr>
          <w:p>
            <w:r>
              <w:rPr>
                <w:rFonts w:ascii="Calibri" w:hAnsi="Calibri"/>
                <w:sz w:val="18"/>
              </w:rPr>
              <w:t>La implementación de un marco de gobierno de TI formal como COBIT 2019 se encuentra en sus etapas iniciales, con un nivel de madurez bajo (Nivel 1), lo que sugiere una falta de procesos definidos, documentados y comunicados para la gestión de TI.</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BL-H2</w:t>
            </w:r>
          </w:p>
        </w:tc>
      </w:tr>
      <w:tr>
        <w:tc>
          <w:tcPr>
            <w:tcW w:type="dxa" w:w="4320"/>
            <w:shd w:fill="D9E2F3" w:val="clear"/>
          </w:tcPr>
          <w:p>
            <w:r>
              <w:rPr>
                <w:rFonts w:ascii="Calibri" w:hAnsi="Calibri"/>
                <w:b/>
                <w:sz w:val="18"/>
              </w:rPr>
              <w:t>Dominio</w:t>
            </w:r>
          </w:p>
        </w:tc>
        <w:tc>
          <w:tcPr>
            <w:tcW w:type="dxa" w:w="4320"/>
          </w:tcPr>
          <w:p>
            <w:r>
              <w:rPr>
                <w:rFonts w:ascii="Calibri" w:hAnsi="Calibri"/>
                <w:sz w:val="18"/>
              </w:rPr>
              <w:t>Planear y Organizar, 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PO4</w:t>
              <w:br/>
              <w:t>ME2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efectividad de la supervisión del Comité de TI sobre la implementación y madurez de los marcos de gobierno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Comité de Tecnología de la Información (Comité de TI) del Banco Luna Llena tiene la responsabilidad de 'Establecer políticas, procedimientos y prioridades para la administración de información y gestión de recursos de TI' y 'Aprobar, revisar y hacer seguimiento al PETI alineado al PEI institucional', utilizando COBIT 2019 como marco de gobierno. Sin embargo, el Plan Estratégico de Tecnología de la Información (PETI) 2025-2030 indica que el nivel de madurez de COBIT actual es 'Nivel 1', con una meta de 'Nivel 3 al 2027'. Esta discrepancia sugiere que, a pesar de la existencia del comité y sus responsabilidades definidas, la supervisión sobre el progreso real en la madurez del gobierno de TI no está siendo lo suficientemente efectiva para acelerar la implementación del marco.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El Comité de TI debe establecer y revisar periódicamente indicadores de desempeño específicos (KPIs) relacionados con la madurez de los procesos COBIT, y exigir planes de acción detallados con responsables y plazos para alcanzar la meta de Nivel 3 al 2027, asegurando un seguimiento riguroso en sus reuniones trimestrales.</w:t>
            </w:r>
          </w:p>
        </w:tc>
      </w:tr>
      <w:tr>
        <w:tc>
          <w:tcPr>
            <w:tcW w:type="dxa" w:w="4320"/>
            <w:shd w:fill="D9E2F3" w:val="clear"/>
          </w:tcPr>
          <w:p>
            <w:r>
              <w:rPr>
                <w:rFonts w:ascii="Calibri" w:hAnsi="Calibri"/>
                <w:b/>
                <w:sz w:val="18"/>
              </w:rPr>
              <w:t>Causa</w:t>
            </w:r>
          </w:p>
        </w:tc>
        <w:tc>
          <w:tcPr>
            <w:tcW w:type="dxa" w:w="4320"/>
          </w:tcPr>
          <w:p>
            <w:r>
              <w:rPr>
                <w:rFonts w:ascii="Calibri" w:hAnsi="Calibri"/>
                <w:sz w:val="18"/>
              </w:rPr>
              <w:t>Aunque el Comité de TI está formalmente establecido y tiene responsabilidades definidas, la evidencia sugiere una falta de mecanismos robustos o una ejecución insuficiente en el monitoreo y evaluación del progreso hacia los objetivos de madurez de COBIT 2019.</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3/5</w:t>
              <w:br/>
              <w:t>(P=3, I=3, R=9) Riesgo Medio.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BL-H3</w:t>
            </w:r>
          </w:p>
        </w:tc>
      </w:tr>
      <w:tr>
        <w:tc>
          <w:tcPr>
            <w:tcW w:type="dxa" w:w="4320"/>
            <w:shd w:fill="D9E2F3" w:val="clear"/>
          </w:tcPr>
          <w:p>
            <w:r>
              <w:rPr>
                <w:rFonts w:ascii="Calibri" w:hAnsi="Calibri"/>
                <w:b/>
                <w:sz w:val="18"/>
              </w:rPr>
              <w:t>Dominio</w:t>
            </w:r>
          </w:p>
        </w:tc>
        <w:tc>
          <w:tcPr>
            <w:tcW w:type="dxa" w:w="4320"/>
          </w:tcPr>
          <w:p>
            <w:r>
              <w:rPr>
                <w:rFonts w:ascii="Calibri" w:hAnsi="Calibri"/>
                <w:sz w:val="18"/>
              </w:rPr>
              <w:t>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ME2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capacidad de monitoreo proactivo de sistemas y la madurez de la gestión de incidentes de seguridad.</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Tecnología de la Información (PETI) 2025-2030 identifica como una brecha actual la existencia de un 'Monitoreo reactivo de sistemas' y la necesidad de 'Implementar monitoreo proactivo 24/7 con SIEM'. Complementariamente, el Plan Estratégico de Seguridad de la Información (PESI) 2025-2030, en su diagnóstico de seguridad actual para 'Gestión de Incidentes', señala 'Procedimientos básicos, sin SIEM activo' con una prioridad 'ALTA' y un nivel de madurez '2'. Aunque la 'Infraestructura de TI' documenta la existencia de un SIEM IBM QRadar con 12 fuentes de log y 85 reglas de correlación, y las 'Normas de Auditoría de Sistemas' incluyen auditorías de su efectividad, la persistencia de la brecha de 'monitoreo reactivo' y 'procedimientos básicos' en la gestión de incidentes sugiere que el SIEM no está siendo plenamente aprovechado para un monitoreo proactivo 24/7 y una gestión avanzada de incidentes.</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Implementar un plan de mejora para el SIEM IBM QRadar, que incluya la optimización de reglas de correlación, la integración de más fuentes de log críticas, la capacitación del personal en monitoreo proactivo y la formalización de procedimientos de respuesta a incidentes basados en alertas del SIEM, con el objetivo de lograr un monitoreo 24/7 y reducir el tiempo de detección y respuesta.</w:t>
            </w:r>
          </w:p>
        </w:tc>
      </w:tr>
      <w:tr>
        <w:tc>
          <w:tcPr>
            <w:tcW w:type="dxa" w:w="4320"/>
            <w:shd w:fill="D9E2F3" w:val="clear"/>
          </w:tcPr>
          <w:p>
            <w:r>
              <w:rPr>
                <w:rFonts w:ascii="Calibri" w:hAnsi="Calibri"/>
                <w:b/>
                <w:sz w:val="18"/>
              </w:rPr>
              <w:t>Causa</w:t>
            </w:r>
          </w:p>
        </w:tc>
        <w:tc>
          <w:tcPr>
            <w:tcW w:type="dxa" w:w="4320"/>
          </w:tcPr>
          <w:p>
            <w:r>
              <w:rPr>
                <w:rFonts w:ascii="Calibri" w:hAnsi="Calibri"/>
                <w:sz w:val="18"/>
              </w:rPr>
              <w:t>A pesar de contar con una herramienta SIEM, la integración y optimización de sus capacidades para un monitoreo proactivo 24/7 y la madurez de los procedimientos de gestión de incidentes son insuficientes, lo que lleva a un enfoque predominantemente reactivo.</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BL-H4</w:t>
            </w:r>
          </w:p>
        </w:tc>
      </w:tr>
      <w:tr>
        <w:tc>
          <w:tcPr>
            <w:tcW w:type="dxa" w:w="4320"/>
            <w:shd w:fill="D9E2F3" w:val="clear"/>
          </w:tcPr>
          <w:p>
            <w:r>
              <w:rPr>
                <w:rFonts w:ascii="Calibri" w:hAnsi="Calibri"/>
                <w:b/>
                <w:sz w:val="18"/>
              </w:rPr>
              <w:t>Dominio</w:t>
            </w:r>
          </w:p>
        </w:tc>
        <w:tc>
          <w:tcPr>
            <w:tcW w:type="dxa" w:w="4320"/>
          </w:tcPr>
          <w:p>
            <w:r>
              <w:rPr>
                <w:rFonts w:ascii="Calibri" w:hAnsi="Calibri"/>
                <w:sz w:val="18"/>
              </w:rPr>
              <w:t>PO3 (Gestionar la arquitectura empresarial)</w:t>
            </w:r>
          </w:p>
        </w:tc>
      </w:tr>
      <w:tr>
        <w:tc>
          <w:tcPr>
            <w:tcW w:type="dxa" w:w="4320"/>
            <w:shd w:fill="D9E2F3" w:val="clear"/>
          </w:tcPr>
          <w:p>
            <w:r>
              <w:rPr>
                <w:rFonts w:ascii="Calibri" w:hAnsi="Calibri"/>
                <w:b/>
                <w:sz w:val="18"/>
              </w:rPr>
              <w:t>Proceso</w:t>
            </w:r>
          </w:p>
        </w:tc>
        <w:tc>
          <w:tcPr>
            <w:tcW w:type="dxa" w:w="4320"/>
          </w:tcPr>
          <w:p>
            <w:r>
              <w:rPr>
                <w:rFonts w:ascii="Calibri" w:hAnsi="Calibri"/>
                <w:sz w:val="18"/>
              </w:rPr>
              <w:t>PO3.1</w:t>
              <w:br/>
              <w:t>PO3.2</w:t>
              <w:br/>
              <w:t>PO3.3</w:t>
              <w:br/>
              <w:t>PO3.4</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implementación y madurez del marco de gobierno de TI para la dirección tecnológica.</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Desalineación de las iniciativas de TI con los objetivos estratégicos del negocio., R2: Ineficiencia en la toma de decisiones sobre inversiones tecnológicas., R3: Dificultad para medir y mejorar el rendimiento de TI., R4: Incumplimiento de requisitos regulatorios relacionados con la gobernanza de TI.</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Tecnología de la Información (PETI) 2025-2030 identifica que la situación actual del Banco Luna Llena en 'Gobierno de TI' es de 'Procesos de TI sin marco formal', con una 'Línea Base (2025)' de 'Nivel de madurez COBIT Nivel 1'. A pesar de que el PETI establece como iniciativa clave la 'Implementación de COBIT 2019' con un 'Año Fin 2026' y una 'Meta 2028' de 'Nivel de madurez COBIT ≥ 3', la ausencia de un marco formal y la baja madurez actual indican una deficiencia en la dirección y control de las actividades de TI.</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Implementar de manera prioritaria y acelerada el marco de gobierno COBIT 2019, definiendo los procesos, roles y métricas de TI necesarios para alcanzar el nivel de madurez objetivo (Nivel 3) antes de la fecha establecida en el PETI. Se debe establecer un plan de acción detallado con hitos y responsables claros para la adopción de COBIT 2019.</w:t>
            </w:r>
          </w:p>
        </w:tc>
      </w:tr>
      <w:tr>
        <w:tc>
          <w:tcPr>
            <w:tcW w:type="dxa" w:w="4320"/>
            <w:shd w:fill="D9E2F3" w:val="clear"/>
          </w:tcPr>
          <w:p>
            <w:r>
              <w:rPr>
                <w:rFonts w:ascii="Calibri" w:hAnsi="Calibri"/>
                <w:b/>
                <w:sz w:val="18"/>
              </w:rPr>
              <w:t>Causa</w:t>
            </w:r>
          </w:p>
        </w:tc>
        <w:tc>
          <w:tcPr>
            <w:tcW w:type="dxa" w:w="4320"/>
          </w:tcPr>
          <w:p>
            <w:r>
              <w:rPr>
                <w:rFonts w:ascii="Calibri" w:hAnsi="Calibri"/>
                <w:sz w:val="18"/>
              </w:rPr>
              <w:t>La falta de una estrategia formal y estructurada para la adopción e implementación de un marco de gobierno de TI reconocido como COBIT 2019, a pesar de su identificación como una brecha y una iniciativa clave en el PETI.</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BL-H5</w:t>
            </w:r>
          </w:p>
        </w:tc>
      </w:tr>
      <w:tr>
        <w:tc>
          <w:tcPr>
            <w:tcW w:type="dxa" w:w="4320"/>
            <w:shd w:fill="D9E2F3" w:val="clear"/>
          </w:tcPr>
          <w:p>
            <w:r>
              <w:rPr>
                <w:rFonts w:ascii="Calibri" w:hAnsi="Calibri"/>
                <w:b/>
                <w:sz w:val="18"/>
              </w:rPr>
              <w:t>Dominio</w:t>
            </w:r>
          </w:p>
        </w:tc>
        <w:tc>
          <w:tcPr>
            <w:tcW w:type="dxa" w:w="4320"/>
          </w:tcPr>
          <w:p>
            <w:r>
              <w:rPr>
                <w:rFonts w:ascii="Calibri" w:hAnsi="Calibri"/>
                <w:sz w:val="18"/>
              </w:rPr>
              <w:t>ME2 (Monitorizar, evaluar y revisar el rendimiento y la conformidad)</w:t>
            </w:r>
          </w:p>
        </w:tc>
      </w:tr>
      <w:tr>
        <w:tc>
          <w:tcPr>
            <w:tcW w:type="dxa" w:w="4320"/>
            <w:shd w:fill="D9E2F3" w:val="clear"/>
          </w:tcPr>
          <w:p>
            <w:r>
              <w:rPr>
                <w:rFonts w:ascii="Calibri" w:hAnsi="Calibri"/>
                <w:b/>
                <w:sz w:val="18"/>
              </w:rPr>
              <w:t>Proceso</w:t>
            </w:r>
          </w:p>
        </w:tc>
        <w:tc>
          <w:tcPr>
            <w:tcW w:type="dxa" w:w="4320"/>
          </w:tcPr>
          <w:p>
            <w:r>
              <w:rPr>
                <w:rFonts w:ascii="Calibri" w:hAnsi="Calibri"/>
                <w:sz w:val="18"/>
              </w:rPr>
              <w:t>ME2.1</w:t>
              <w:br/>
              <w:t>ME2.2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efectividad de los controles de acceso y la gestión de identidades, particularmente la implementación de MFA para sistemas críticos.</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Acceso no autorizado a sistemas críticos., R2: Incremento del riesgo de fraude y robo de identidad., R3: Incumplimiento de normativas de seguridad (PCI DSS, ASFI) que exigen controles de acceso robustos., R4: Pérdida de confianza de los clientes debido a brechas de seguridad.</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SEGURIDAD DE LA INFORMACIÓN (PESI) 2025-2030' en su 'Diagnóstico de Seguridad Actual' reporta 'Contraseñas simples, sin MFA en todos los sistemas' con una prioridad ALTA. Esto se corrobora con el KPI de 'Usuarios con MFA activo' que muestra una 'Línea Base' del 20% en el 'PESI 2025-2030'. A pesar de que la 'Políticas de Seguridad de la Información (PSI)' establece que 'La autenticación multifactor (MFA) es obligatoria para todos los accesos a sistemas críticos del banco, conforme al objetivo OS3 del PESI', y el 'Manual de Procedimientos' indica que el MFA es obligatorio al crear un usuario, la implementación actual es deficiente.</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Priorizar y acelerar la implementación de MFA para el 100% de los usuarios con acceso a sistemas críticos, según la meta establecida en el PESI para 2026. Se debe revisar el 'Procedimiento N° 3: Gestión de Accesos (Alta, Baja y Modificación)' para asegurar que la habilitación de MFA sea un paso ineludible y verificado en el proceso de alta de usuarios, y realizar campañas de concientización y soporte para los usuarios existentes.</w:t>
            </w:r>
          </w:p>
        </w:tc>
      </w:tr>
      <w:tr>
        <w:tc>
          <w:tcPr>
            <w:tcW w:type="dxa" w:w="4320"/>
            <w:shd w:fill="D9E2F3" w:val="clear"/>
          </w:tcPr>
          <w:p>
            <w:r>
              <w:rPr>
                <w:rFonts w:ascii="Calibri" w:hAnsi="Calibri"/>
                <w:b/>
                <w:sz w:val="18"/>
              </w:rPr>
              <w:t>Causa</w:t>
            </w:r>
          </w:p>
        </w:tc>
        <w:tc>
          <w:tcPr>
            <w:tcW w:type="dxa" w:w="4320"/>
          </w:tcPr>
          <w:p>
            <w:r>
              <w:rPr>
                <w:rFonts w:ascii="Calibri" w:hAnsi="Calibri"/>
                <w:sz w:val="18"/>
              </w:rPr>
              <w:t>La falta de un plan de implementación y seguimiento efectivo para la obligatoriedad del MFA, a pesar de estar definida en las políticas y procedimientos, y reconocida como una brecha de seguridad de alta prioridad.</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5/5, Impacto: 5/5</w:t>
              <w:br/>
              <w:t>(P=5, I=5, R=25)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BL-H6</w:t>
            </w:r>
          </w:p>
        </w:tc>
      </w:tr>
      <w:tr>
        <w:tc>
          <w:tcPr>
            <w:tcW w:type="dxa" w:w="4320"/>
            <w:shd w:fill="D9E2F3" w:val="clear"/>
          </w:tcPr>
          <w:p>
            <w:r>
              <w:rPr>
                <w:rFonts w:ascii="Calibri" w:hAnsi="Calibri"/>
                <w:b/>
                <w:sz w:val="18"/>
              </w:rPr>
              <w:t>Dominio</w:t>
            </w:r>
          </w:p>
        </w:tc>
        <w:tc>
          <w:tcPr>
            <w:tcW w:type="dxa" w:w="4320"/>
          </w:tcPr>
          <w:p>
            <w:r>
              <w:rPr>
                <w:rFonts w:ascii="Calibri" w:hAnsi="Calibri"/>
                <w:sz w:val="18"/>
              </w:rPr>
              <w:t>ME2 (Monitorizar, evaluar y revisar el rendimiento y la conformidad)</w:t>
            </w:r>
          </w:p>
        </w:tc>
      </w:tr>
      <w:tr>
        <w:tc>
          <w:tcPr>
            <w:tcW w:type="dxa" w:w="4320"/>
            <w:shd w:fill="D9E2F3" w:val="clear"/>
          </w:tcPr>
          <w:p>
            <w:r>
              <w:rPr>
                <w:rFonts w:ascii="Calibri" w:hAnsi="Calibri"/>
                <w:b/>
                <w:sz w:val="18"/>
              </w:rPr>
              <w:t>Proceso</w:t>
            </w:r>
          </w:p>
        </w:tc>
        <w:tc>
          <w:tcPr>
            <w:tcW w:type="dxa" w:w="4320"/>
          </w:tcPr>
          <w:p>
            <w:r>
              <w:rPr>
                <w:rFonts w:ascii="Calibri" w:hAnsi="Calibri"/>
                <w:sz w:val="18"/>
              </w:rPr>
              <w:t>ME2.1</w:t>
              <w:br/>
              <w:t>ME2.2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efectividad de los controles de detección y respuesta a incidentes, incluyendo la funcionalidad del SIEM y el SOC.</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Retraso significativo en la detección de incidentes de seguridad., R2: Mayor probabilidad de impacto y propagación de ciberataques., R3: Incumplimiento de objetivos de seguridad (MTTD) y normativas regulatorias., R4: Pérdida de datos sensibles y reputación institucional.</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SEGURIDAD DE LA INFORMACIÓN (PESI) 2025-2030' en su 'Diagnóstico de Seguridad Actual' reporta 'Procedimientos básicos, sin SIEM activo' para la 'Gestión de Incidentes' con una prioridad ALTA. Esta afirmación contradice la información del documento 'Infraestructura de TI', que detalla la existencia de un 'SIEM: IBM QRadar SIEM 7.5 con 12 fuentes de log y 85 reglas de correlación'. Adicionalmente, el 'PESI 2025-2030' muestra un 'Tiempo de detección de incidentes (MTTD)' de '72 horas' como línea base, muy por encima de la meta de '&lt; 1 hora' para 2030, lo que sugiere una ineficacia en la detección, independientemente de la presencia del SIEM.</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Investigar y resolver la discrepancia en la documentación sobre el estado del SIEM. Si el SIEM no está activo o es ineficaz, se debe implementar y configurar adecuadamente el SIEM IBM QRadar, asegurando la integración de todas las fuentes de log relevantes y la optimización de las reglas de correlación. Se debe establecer un SOC funcional y operativo 24/7, con personal capacitado y procedimientos claros para la monitorización y respuesta a alertas, con el fin de reducir el MTTD a los umbrales definidos.</w:t>
            </w:r>
          </w:p>
        </w:tc>
      </w:tr>
      <w:tr>
        <w:tc>
          <w:tcPr>
            <w:tcW w:type="dxa" w:w="4320"/>
            <w:shd w:fill="D9E2F3" w:val="clear"/>
          </w:tcPr>
          <w:p>
            <w:r>
              <w:rPr>
                <w:rFonts w:ascii="Calibri" w:hAnsi="Calibri"/>
                <w:b/>
                <w:sz w:val="18"/>
              </w:rPr>
              <w:t>Causa</w:t>
            </w:r>
          </w:p>
        </w:tc>
        <w:tc>
          <w:tcPr>
            <w:tcW w:type="dxa" w:w="4320"/>
          </w:tcPr>
          <w:p>
            <w:r>
              <w:rPr>
                <w:rFonts w:ascii="Calibri" w:hAnsi="Calibri"/>
                <w:sz w:val="18"/>
              </w:rPr>
              <w:t>Inconsistencia en la documentación interna sobre el estado de los sistemas de seguridad, y una posible falta de configuración, optimización o personalización adecuada del SIEM existente, lo que impide una detección temprana y efectiva de incidentes.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5/5, Impacto: 5/5</w:t>
              <w:br/>
              <w:t>(P=5, I=5, R=25)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BL-H7</w:t>
            </w:r>
          </w:p>
        </w:tc>
      </w:tr>
      <w:tr>
        <w:tc>
          <w:tcPr>
            <w:tcW w:type="dxa" w:w="4320"/>
            <w:shd w:fill="D9E2F3" w:val="clear"/>
          </w:tcPr>
          <w:p>
            <w:r>
              <w:rPr>
                <w:rFonts w:ascii="Calibri" w:hAnsi="Calibri"/>
                <w:b/>
                <w:sz w:val="18"/>
              </w:rPr>
              <w:t>Dominio</w:t>
            </w:r>
          </w:p>
        </w:tc>
        <w:tc>
          <w:tcPr>
            <w:tcW w:type="dxa" w:w="4320"/>
          </w:tcPr>
          <w:p>
            <w:r>
              <w:rPr>
                <w:rFonts w:ascii="Calibri" w:hAnsi="Calibri"/>
                <w:sz w:val="18"/>
              </w:rPr>
              <w:t>PO3 (Gestionar la arquitectura empresarial), ME2 (Monitorizar, evaluar y revisar el rendimiento y la conformidad)</w:t>
            </w:r>
          </w:p>
        </w:tc>
      </w:tr>
      <w:tr>
        <w:tc>
          <w:tcPr>
            <w:tcW w:type="dxa" w:w="4320"/>
            <w:shd w:fill="D9E2F3" w:val="clear"/>
          </w:tcPr>
          <w:p>
            <w:r>
              <w:rPr>
                <w:rFonts w:ascii="Calibri" w:hAnsi="Calibri"/>
                <w:b/>
                <w:sz w:val="18"/>
              </w:rPr>
              <w:t>Proceso</w:t>
            </w:r>
          </w:p>
        </w:tc>
        <w:tc>
          <w:tcPr>
            <w:tcW w:type="dxa" w:w="4320"/>
          </w:tcPr>
          <w:p>
            <w:r>
              <w:rPr>
                <w:rFonts w:ascii="Calibri" w:hAnsi="Calibri"/>
                <w:sz w:val="18"/>
              </w:rPr>
              <w:t>PO3.3</w:t>
              <w:br/>
              <w:t>ME2.2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coherencia y el estado de implementación de la arquitectura de seguridad de red, incluyendo la segmentación por VLAN y la arquitectura Zero Trust.</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Inconsistencia en la aplicación de controles de seguridad de red., R2: Mayor superficie de ataque debido a una segmentación incompleta o mal documentada., R3: Dificultad para auditar y verificar la conformidad de la seguridad de red., R4: Posible incumplimiento de requisitos regulatorios (PCI DSS, ASFI) relacionados con la segmentación de red.</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SEGURIDAD DE LA INFORMACIÓN (PESI) 2025-2030' en su 'Diagnóstico de Seguridad Actual' reporta 'Firewall activo, sin segmentación completa por VLAN' para la 'Seguridad en Redes' con una prioridad MEDIA. Sin embargo, el documento 'Infraestructura de TI' describe una 'segmentación Zero Trust implementada con Cisco ISE' y detalla '3 VLANs diferenciadas: VLAN 10 (cajeros ATM), VLAN 20 (banca móvil/web), VLAN 30 (administrativa)'. Esta contradicción en la documentación interna genera incertidumbre sobre el estado real de la segmentación de red y la implementación de Zero Trust.</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Realizar una revisión exhaustiva y una auditoría técnica de la infraestructura de red para verificar el estado actual de la segmentación por VLAN y la implementación de la arquitectura Zero Trust con Cisco ISE. Actualizar el 'Diagnóstico de Seguridad Actual' en el PESI para reflejar con precisión la situación real y asegurar la coherencia en toda la documentación interna. Si la segmentación es incompleta, desarrollar e implementar un plan para completarla según los estándares definidos.</w:t>
            </w:r>
          </w:p>
        </w:tc>
      </w:tr>
      <w:tr>
        <w:tc>
          <w:tcPr>
            <w:tcW w:type="dxa" w:w="4320"/>
            <w:shd w:fill="D9E2F3" w:val="clear"/>
          </w:tcPr>
          <w:p>
            <w:r>
              <w:rPr>
                <w:rFonts w:ascii="Calibri" w:hAnsi="Calibri"/>
                <w:b/>
                <w:sz w:val="18"/>
              </w:rPr>
              <w:t>Causa</w:t>
            </w:r>
          </w:p>
        </w:tc>
        <w:tc>
          <w:tcPr>
            <w:tcW w:type="dxa" w:w="4320"/>
          </w:tcPr>
          <w:p>
            <w:r>
              <w:rPr>
                <w:rFonts w:ascii="Calibri" w:hAnsi="Calibri"/>
                <w:sz w:val="18"/>
              </w:rPr>
              <w:t>Falta de un proceso formal y periódico de actualización y validación cruzada de la documentación estratégica (PESI) con la documentación técnica de infraestructura, o una implementación parcial que no ha sido completamente reflejada en el diagnóstico de seguridad.</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BL-H8</w:t>
            </w:r>
          </w:p>
        </w:tc>
      </w:tr>
      <w:tr>
        <w:tc>
          <w:tcPr>
            <w:tcW w:type="dxa" w:w="4320"/>
            <w:shd w:fill="D9E2F3" w:val="clear"/>
          </w:tcPr>
          <w:p>
            <w:r>
              <w:rPr>
                <w:rFonts w:ascii="Calibri" w:hAnsi="Calibri"/>
                <w:b/>
                <w:sz w:val="18"/>
              </w:rPr>
              <w:t>Dominio</w:t>
            </w:r>
          </w:p>
        </w:tc>
        <w:tc>
          <w:tcPr>
            <w:tcW w:type="dxa" w:w="4320"/>
          </w:tcPr>
          <w:p>
            <w:r>
              <w:rPr>
                <w:rFonts w:ascii="Calibri" w:hAnsi="Calibri"/>
                <w:sz w:val="18"/>
              </w:rPr>
              <w:t>ME2 (Monitorizar, evaluar y revisar el rendimiento y la conformidad)</w:t>
            </w:r>
          </w:p>
        </w:tc>
      </w:tr>
      <w:tr>
        <w:tc>
          <w:tcPr>
            <w:tcW w:type="dxa" w:w="4320"/>
            <w:shd w:fill="D9E2F3" w:val="clear"/>
          </w:tcPr>
          <w:p>
            <w:r>
              <w:rPr>
                <w:rFonts w:ascii="Calibri" w:hAnsi="Calibri"/>
                <w:b/>
                <w:sz w:val="18"/>
              </w:rPr>
              <w:t>Proceso</w:t>
            </w:r>
          </w:p>
        </w:tc>
        <w:tc>
          <w:tcPr>
            <w:tcW w:type="dxa" w:w="4320"/>
          </w:tcPr>
          <w:p>
            <w:r>
              <w:rPr>
                <w:rFonts w:ascii="Calibri" w:hAnsi="Calibri"/>
                <w:sz w:val="18"/>
              </w:rPr>
              <w:t>ME2.1</w:t>
              <w:br/>
              <w:t>ME2.2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coherencia y la efectividad de los planes de continuidad del negocio y recuperación ante desastres, incluyendo la realización de pruebas periódicas.</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Incertidumbre sobre la capacidad real de recuperación ante un desastre., R2: Incumplimiento de los objetivos de RTO y RPO en caso de un incidente crítico., R3: Pérdida de datos o interrupción prolongada de servicios críticos., R4: Incumplimiento de requisitos regulatorios (ASFI) sobre continuidad del negocio.</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SEGURIDAD DE LA INFORMACIÓN (PESI) 2025-2030' en su 'Diagnóstico de Seguridad Actual' reporta 'BCP documentado, sin pruebas regulares' para la 'Continuidad del Negocio' con una prioridad ALTA. Sin embargo, el documento 'Infraestructura de TI' afirma que el 'DRP probado semestralmente' y menciona una 'última prueba de failover: enero 2026 (exitosa en 3.2 h)'. Esta contradicción entre el diagnóstico estratégico y la información de infraestructura y auditoría genera dudas sobre la veracidad de las pruebas de DRP o la actualización del diagnóstico.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Establecer un proceso robusto de revisión y actualización periódica del 'Diagnóstico de Seguridad Actual' del PESI, asegurando que refleje con precisión el estado real de las pruebas de DRP y BCP. Implementar un mecanismo de validación cruzada entre los informes de pruebas de DRP y los documentos estratégicos. Si las pruebas no son regulares, se debe establecer y ejecutar un cronograma de pruebas semestrales, documentando los resultados y las lecciones aprendidas para la mejora continua del DRP.</w:t>
            </w:r>
          </w:p>
        </w:tc>
      </w:tr>
      <w:tr>
        <w:tc>
          <w:tcPr>
            <w:tcW w:type="dxa" w:w="4320"/>
            <w:shd w:fill="D9E2F3" w:val="clear"/>
          </w:tcPr>
          <w:p>
            <w:r>
              <w:rPr>
                <w:rFonts w:ascii="Calibri" w:hAnsi="Calibri"/>
                <w:b/>
                <w:sz w:val="18"/>
              </w:rPr>
              <w:t>Causa</w:t>
            </w:r>
          </w:p>
        </w:tc>
        <w:tc>
          <w:tcPr>
            <w:tcW w:type="dxa" w:w="4320"/>
          </w:tcPr>
          <w:p>
            <w:r>
              <w:rPr>
                <w:rFonts w:ascii="Calibri" w:hAnsi="Calibri"/>
                <w:sz w:val="18"/>
              </w:rPr>
              <w:t>Falta de un proceso formal para la sincronización y validación de la información entre los documentos estratégicos (PESI) y los registros operativos/de auditoría (Infraestructura de TI, Normas de Auditoría de Sistemas), o una ejecución inconsistente de las pruebas de DRP que no se refleja en el diagnóstico.</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5/5</w:t>
              <w:br/>
              <w:t>(P=4, I=5, R=20)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BL-H9</w:t>
            </w:r>
          </w:p>
        </w:tc>
      </w:tr>
      <w:tr>
        <w:tc>
          <w:tcPr>
            <w:tcW w:type="dxa" w:w="4320"/>
            <w:shd w:fill="D9E2F3" w:val="clear"/>
          </w:tcPr>
          <w:p>
            <w:r>
              <w:rPr>
                <w:rFonts w:ascii="Calibri" w:hAnsi="Calibri"/>
                <w:b/>
                <w:sz w:val="18"/>
              </w:rPr>
              <w:t>Dominio</w:t>
            </w:r>
          </w:p>
        </w:tc>
        <w:tc>
          <w:tcPr>
            <w:tcW w:type="dxa" w:w="4320"/>
          </w:tcPr>
          <w:p>
            <w:r>
              <w:rPr>
                <w:rFonts w:ascii="Calibri" w:hAnsi="Calibri"/>
                <w:sz w:val="18"/>
              </w:rPr>
              <w:t>Dominio APO – Alinear, Planificar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APO07</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madurez de los procesos de gestión de recursos humanos para el área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Se observa que el Banco Luna Llena cuenta con una estructura organizacional definida para el Área de Tecnologías de Información, incluyendo la distribución de personal y responsabilidades, y la existencia de manuales de funciones por cargo. Sin embargo, no se ha identificado un proceso formal y documentado que abarque la gestión integral de los recursos humanos de TI, incluyendo aspectos como la planificación de personal, reclutamiento, selección, evaluación de desempeño, desarrollo de carrera y planes de sucesión específicos para el personal de TI. La ausencia de un marco formal para la gestión de TI es reconocida como una brecha en el PETI.</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Desarrollar e implementar un proceso formal de gestión de recursos humanos de TI, alineado con el marco COBIT 2019 (APO07), que incluya la planificación de personal, reclutamiento, selección, evaluación de desempeño, desarrollo de carrera y planes de sucesión. Este proceso debe ser documentado y comunicado a todo el personal de TI.</w:t>
            </w:r>
          </w:p>
        </w:tc>
      </w:tr>
      <w:tr>
        <w:tc>
          <w:tcPr>
            <w:tcW w:type="dxa" w:w="4320"/>
            <w:shd w:fill="D9E2F3" w:val="clear"/>
          </w:tcPr>
          <w:p>
            <w:r>
              <w:rPr>
                <w:rFonts w:ascii="Calibri" w:hAnsi="Calibri"/>
                <w:b/>
                <w:sz w:val="18"/>
              </w:rPr>
              <w:t>Causa</w:t>
            </w:r>
          </w:p>
        </w:tc>
        <w:tc>
          <w:tcPr>
            <w:tcW w:type="dxa" w:w="4320"/>
          </w:tcPr>
          <w:p>
            <w:r>
              <w:rPr>
                <w:rFonts w:ascii="Calibri" w:hAnsi="Calibri"/>
                <w:sz w:val="18"/>
              </w:rPr>
              <w:t>Ausencia de un enfoque estructurado y formalizado para la gestión de recursos humanos dentro del área de TI, más allá de la definición de roles y responsabilidades básicas.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BL-H10</w:t>
            </w:r>
          </w:p>
        </w:tc>
      </w:tr>
      <w:tr>
        <w:tc>
          <w:tcPr>
            <w:tcW w:type="dxa" w:w="4320"/>
            <w:shd w:fill="D9E2F3" w:val="clear"/>
          </w:tcPr>
          <w:p>
            <w:r>
              <w:rPr>
                <w:rFonts w:ascii="Calibri" w:hAnsi="Calibri"/>
                <w:b/>
                <w:sz w:val="18"/>
              </w:rPr>
              <w:t>Dominio</w:t>
            </w:r>
          </w:p>
        </w:tc>
        <w:tc>
          <w:tcPr>
            <w:tcW w:type="dxa" w:w="4320"/>
          </w:tcPr>
          <w:p>
            <w:r>
              <w:rPr>
                <w:rFonts w:ascii="Calibri" w:hAnsi="Calibri"/>
                <w:sz w:val="18"/>
              </w:rPr>
              <w:t>Dominio APO – Alinear, Planificar y Organizar; Dominio MEA – 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APO07</w:t>
              <w:br/>
              <w:t>MEA02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efectividad y alcance del programa de capacitación y desarrollo profesional para el personal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ha establecido el objetivo estratégico institucional OE5 'Desarrollar el talento humano y la cultura organizacional', con una iniciativa clave de 'Programa de capacitación continua en TI y atención al cliente' y una meta de 90% de personal capacitado anualmente para 2030. Sin embargo, la línea base actual de personal capacitado en TI es del 60% (2025). De manera similar, para ciberseguridad, la línea base es del 40% con una meta del 95% para 2030. Esto indica que, si bien existe un compromiso y una planificación para la capacitación, el programa se encuentra en una fase inicial de implementación y no ha alcanzado aún los niveles de cobertura deseados.</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Acelerar la implementación del 'Programa de capacitación continua en TI y atención al cliente' y la 'Capacitación en ciberseguridad para todo el personal', estableciendo métricas de progreso intermedias y mecanismos de seguimiento más robustos para asegurar el cumplimiento de las metas anuales y la cobertura del personal. Considerar la creación de un plan de desarrollo profesional individualizado para roles clave de TI.</w:t>
            </w:r>
          </w:p>
        </w:tc>
      </w:tr>
      <w:tr>
        <w:tc>
          <w:tcPr>
            <w:tcW w:type="dxa" w:w="4320"/>
            <w:shd w:fill="D9E2F3" w:val="clear"/>
          </w:tcPr>
          <w:p>
            <w:r>
              <w:rPr>
                <w:rFonts w:ascii="Calibri" w:hAnsi="Calibri"/>
                <w:b/>
                <w:sz w:val="18"/>
              </w:rPr>
              <w:t>Causa</w:t>
            </w:r>
          </w:p>
        </w:tc>
        <w:tc>
          <w:tcPr>
            <w:tcW w:type="dxa" w:w="4320"/>
          </w:tcPr>
          <w:p>
            <w:r>
              <w:rPr>
                <w:rFonts w:ascii="Calibri" w:hAnsi="Calibri"/>
                <w:sz w:val="18"/>
              </w:rPr>
              <w:t>El programa de capacitación y desarrollo profesional para el personal de TI se encuentra en una fase temprana de implementación, con una línea base de cobertura que aún no satisface las metas estratégicas establecidas.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BL-H11</w:t>
            </w:r>
          </w:p>
        </w:tc>
      </w:tr>
      <w:tr>
        <w:tc>
          <w:tcPr>
            <w:tcW w:type="dxa" w:w="4320"/>
            <w:shd w:fill="D9E2F3" w:val="clear"/>
          </w:tcPr>
          <w:p>
            <w:r>
              <w:rPr>
                <w:rFonts w:ascii="Calibri" w:hAnsi="Calibri"/>
                <w:b/>
                <w:sz w:val="18"/>
              </w:rPr>
              <w:t>Dominio</w:t>
            </w:r>
          </w:p>
        </w:tc>
        <w:tc>
          <w:tcPr>
            <w:tcW w:type="dxa" w:w="4320"/>
          </w:tcPr>
          <w:p>
            <w:r>
              <w:rPr>
                <w:rFonts w:ascii="Calibri" w:hAnsi="Calibri"/>
                <w:sz w:val="18"/>
              </w:rPr>
              <w:t>Dominio APO – Alinear, Planificar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APO07</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aplicación de un proceso formal para la evaluación del desempeño del personal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Aunque el 'Código de Ética' establece normas de conducta y 'Políticas de Seguridad de la Información' indica que las responsabilidades de seguridad están incorporadas en los manuales de funciones de los 13 cargos del Área de TI, no se ha encontrado evidencia de un proceso formal y periódico de evaluación de desempeño para el personal de TI. La ausencia de este proceso impide medir el cumplimiento de las responsabilidades asignadas, identificar brechas de habilidades de manera sistemática y vincular el desempeño individual con los objetivos estratégicos de TI y del banco.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Diseñar e implementar un proceso formal de evaluación de desempeño para todo el personal de TI, que incluya la definición de objetivos claros, criterios de evaluación basados en las funciones y competencias, retroalimentación periódica y planes de mejora. Este proceso debe integrarse con los planes de capacitación y desarrollo profesional.</w:t>
            </w:r>
          </w:p>
        </w:tc>
      </w:tr>
      <w:tr>
        <w:tc>
          <w:tcPr>
            <w:tcW w:type="dxa" w:w="4320"/>
            <w:shd w:fill="D9E2F3" w:val="clear"/>
          </w:tcPr>
          <w:p>
            <w:r>
              <w:rPr>
                <w:rFonts w:ascii="Calibri" w:hAnsi="Calibri"/>
                <w:b/>
                <w:sz w:val="18"/>
              </w:rPr>
              <w:t>Causa</w:t>
            </w:r>
          </w:p>
        </w:tc>
        <w:tc>
          <w:tcPr>
            <w:tcW w:type="dxa" w:w="4320"/>
          </w:tcPr>
          <w:p>
            <w:r>
              <w:rPr>
                <w:rFonts w:ascii="Calibri" w:hAnsi="Calibri"/>
                <w:sz w:val="18"/>
              </w:rPr>
              <w:t>Inexistencia de un proceso formal y sistemático para evaluar el desempeño del personal de TI, lo que resulta en una gestión reactiva en lugar de proactiva del talento.</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3/5</w:t>
              <w:br/>
              <w:t>(P=4, I=3,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BL-H12</w:t>
            </w:r>
          </w:p>
        </w:tc>
      </w:tr>
      <w:tr>
        <w:tc>
          <w:tcPr>
            <w:tcW w:type="dxa" w:w="4320"/>
            <w:shd w:fill="D9E2F3" w:val="clear"/>
          </w:tcPr>
          <w:p>
            <w:r>
              <w:rPr>
                <w:rFonts w:ascii="Calibri" w:hAnsi="Calibri"/>
                <w:b/>
                <w:sz w:val="18"/>
              </w:rPr>
              <w:t>Dominio</w:t>
            </w:r>
          </w:p>
        </w:tc>
        <w:tc>
          <w:tcPr>
            <w:tcW w:type="dxa" w:w="4320"/>
          </w:tcPr>
          <w:p>
            <w:r>
              <w:rPr>
                <w:rFonts w:ascii="Calibri" w:hAnsi="Calibri"/>
                <w:sz w:val="18"/>
              </w:rPr>
              <w:t>Dominio APO – Alinear, Planificar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APO07</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de mecanismos formales para la transferencia de conocimiento dentro del área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Si bien el 'Manual de Procedimientos' detalla actividades y responsables para diversas operaciones de TI, y existen 'Manuales de Funciones por Cargo', no se ha identificado un proceso formal o iniciativas específicas para la transferencia de conocimiento crítico entre el personal de TI, especialmente en casos de rotación, jubilación o cambios organizacionales. La dependencia de 'procesos de TI sin marco formal' (PETI) sugiere que la transferencia de conocimiento podría ser ad-hoc y no sistemática.</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Implementar un programa formal de gestión del conocimiento y transferencia de conocimiento para el área de TI, que incluya mentorías, documentación estructurada de procesos y configuraciones, bases de conocimiento accesibles y sesiones de intercambio de experiencias. Este programa debe ser parte del proceso de gestión de recursos humanos de TI.</w:t>
            </w:r>
          </w:p>
        </w:tc>
      </w:tr>
      <w:tr>
        <w:tc>
          <w:tcPr>
            <w:tcW w:type="dxa" w:w="4320"/>
            <w:shd w:fill="D9E2F3" w:val="clear"/>
          </w:tcPr>
          <w:p>
            <w:r>
              <w:rPr>
                <w:rFonts w:ascii="Calibri" w:hAnsi="Calibri"/>
                <w:b/>
                <w:sz w:val="18"/>
              </w:rPr>
              <w:t>Causa</w:t>
            </w:r>
          </w:p>
        </w:tc>
        <w:tc>
          <w:tcPr>
            <w:tcW w:type="dxa" w:w="4320"/>
          </w:tcPr>
          <w:p>
            <w:r>
              <w:rPr>
                <w:rFonts w:ascii="Calibri" w:hAnsi="Calibri"/>
                <w:sz w:val="18"/>
              </w:rPr>
              <w:t>Falta de un proceso formal y sistemático para la captura, retención y transferencia de conocimiento tácito y explícito dentro del equipo de TI.</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BL-H13</w:t>
            </w:r>
          </w:p>
        </w:tc>
      </w:tr>
      <w:tr>
        <w:tc>
          <w:tcPr>
            <w:tcW w:type="dxa" w:w="4320"/>
            <w:shd w:fill="D9E2F3" w:val="clear"/>
          </w:tcPr>
          <w:p>
            <w:r>
              <w:rPr>
                <w:rFonts w:ascii="Calibri" w:hAnsi="Calibri"/>
                <w:b/>
                <w:sz w:val="18"/>
              </w:rPr>
              <w:t>Dominio</w:t>
            </w:r>
          </w:p>
        </w:tc>
        <w:tc>
          <w:tcPr>
            <w:tcW w:type="dxa" w:w="4320"/>
          </w:tcPr>
          <w:p>
            <w:r>
              <w:rPr>
                <w:rFonts w:ascii="Calibri" w:hAnsi="Calibri"/>
                <w:sz w:val="18"/>
              </w:rPr>
              <w:t>Dominio APO – Alinear, Planificar y Organizar; Dominio EDM – Evaluar, Dirigir y Monitorear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APO07</w:t>
              <w:br/>
              <w:t>EDM01</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aplicabilidad y especificidad del Código de Ética para el personal de TI, considerando los desafíos éticos inherentes a la tecnología.</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cuenta con un 'Código de Ética' que es de cumplimiento obligatorio para todo el personal y establece principios y normas de conducta generales como integridad, respeto, equidad, compromiso, transparencia y responsabilidad profesional. Además, las 'Políticas de Seguridad de la Información' mencionan que las responsabilidades de seguridad están incorporadas en los manuales de funciones. Sin embargo, el Código de Ética no incluye directrices específicas o ejemplos de dilemas éticos relacionados con el uso de la tecnología, la privacidad de datos, la ciberseguridad, el desarrollo de software o la gestión de sistemas, que son particulares al ámbito de TI.</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Complementar el Código de Ética existente con un anexo o guía específica para el personal de TI, que aborde los desafíos éticos y de conducta inherentes a su función, incluyendo ejemplos prácticos relacionados con la privacidad de datos, el uso de recursos tecnológicos, la gestión de la información confidencial y la ciberseguridad. Implementar capacitaciones periódicas sobre este anexo.</w:t>
            </w:r>
          </w:p>
        </w:tc>
      </w:tr>
      <w:tr>
        <w:tc>
          <w:tcPr>
            <w:tcW w:type="dxa" w:w="4320"/>
            <w:shd w:fill="D9E2F3" w:val="clear"/>
          </w:tcPr>
          <w:p>
            <w:r>
              <w:rPr>
                <w:rFonts w:ascii="Calibri" w:hAnsi="Calibri"/>
                <w:b/>
                <w:sz w:val="18"/>
              </w:rPr>
              <w:t>Causa</w:t>
            </w:r>
          </w:p>
        </w:tc>
        <w:tc>
          <w:tcPr>
            <w:tcW w:type="dxa" w:w="4320"/>
          </w:tcPr>
          <w:p>
            <w:r>
              <w:rPr>
                <w:rFonts w:ascii="Calibri" w:hAnsi="Calibri"/>
                <w:sz w:val="18"/>
              </w:rPr>
              <w:t>El Código de Ética institucional es de naturaleza general y no ha sido complementado con directrices específicas que aborden los dilemas y responsabilidades éticas particulares del personal de TI.</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BL-H14</w:t>
            </w:r>
          </w:p>
        </w:tc>
      </w:tr>
      <w:tr>
        <w:tc>
          <w:tcPr>
            <w:tcW w:type="dxa" w:w="4320"/>
            <w:shd w:fill="D9E2F3" w:val="clear"/>
          </w:tcPr>
          <w:p>
            <w:r>
              <w:rPr>
                <w:rFonts w:ascii="Calibri" w:hAnsi="Calibri"/>
                <w:b/>
                <w:sz w:val="18"/>
              </w:rPr>
              <w:t>Dominio</w:t>
            </w:r>
          </w:p>
        </w:tc>
        <w:tc>
          <w:tcPr>
            <w:tcW w:type="dxa" w:w="4320"/>
          </w:tcPr>
          <w:p>
            <w:r>
              <w:rPr>
                <w:rFonts w:ascii="Calibri" w:hAnsi="Calibri"/>
                <w:sz w:val="18"/>
              </w:rPr>
              <w:t>PO – Planear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PO1</w:t>
              <w:br/>
              <w:t>PO2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aplicación de un marco formal y una metodología integral para la gestión de riesgos tecnológicos a nivel institucional.</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Exposición a riesgos tecnológicos no identificados o subestimados, R2: Toma de decisiones de TI inconsistente y desalineada con los objetivos de negocio, R3: Incumplimiento potencial de futuras regulaciones que exijan una gestión de riesgos integral.</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Tecnología de la Información (PETI) 2025-2030 identifica explícitamente como una 'Brecha / Oportunidad' la necesidad de 'Implementar COBIT 2019 como marco de gobierno' debido a la situación actual de 'Procesos de TI sin marco formal'. Aunque se menciona la aplicación de ISO 31000 para la gestión de riesgos de seguridad de la información en el PESI y una gestión de riesgos específica para la migración a la nube en el PETI, no se evidencia un marco formal y una metodología unificada para la gestión de todos los riesgos tecnológicos a nivel institucional, más allá de la seguridad o proyectos específicos.</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Establecer y documentar formalmente una metodología integral de gestión de riesgos tecnológicos, basada en COBIT 2019 (APO12 - Manage Risk) e ISO 31000, que abarque la identificación, análisis, evaluación, tratamiento, monitoreo y comunicación de todos los riesgos de TI. Dicha metodología debe ser aplicada de manera consistente en toda la organización y no solo en áreas o proyectos específicos.</w:t>
            </w:r>
          </w:p>
        </w:tc>
      </w:tr>
      <w:tr>
        <w:tc>
          <w:tcPr>
            <w:tcW w:type="dxa" w:w="4320"/>
            <w:shd w:fill="D9E2F3" w:val="clear"/>
          </w:tcPr>
          <w:p>
            <w:r>
              <w:rPr>
                <w:rFonts w:ascii="Calibri" w:hAnsi="Calibri"/>
                <w:b/>
                <w:sz w:val="18"/>
              </w:rPr>
              <w:t>Causa</w:t>
            </w:r>
          </w:p>
        </w:tc>
        <w:tc>
          <w:tcPr>
            <w:tcW w:type="dxa" w:w="4320"/>
          </w:tcPr>
          <w:p>
            <w:r>
              <w:rPr>
                <w:rFonts w:ascii="Calibri" w:hAnsi="Calibri"/>
                <w:sz w:val="18"/>
              </w:rPr>
              <w:t>La institución se encuentra en una fase de transición hacia la adopción de un marco de gobierno de TI formal (COBIT 2019), lo que ha resultado en la ausencia de una metodología integral y estandarizada para la identificación, evaluación, tratamiento y monitoreo de todos los riesgos tecnológicos.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5/5</w:t>
              <w:br/>
              <w:t>(P=4, I=5, R=20)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BL-H15</w:t>
            </w:r>
          </w:p>
        </w:tc>
      </w:tr>
      <w:tr>
        <w:tc>
          <w:tcPr>
            <w:tcW w:type="dxa" w:w="4320"/>
            <w:shd w:fill="D9E2F3" w:val="clear"/>
          </w:tcPr>
          <w:p>
            <w:r>
              <w:rPr>
                <w:rFonts w:ascii="Calibri" w:hAnsi="Calibri"/>
                <w:b/>
                <w:sz w:val="18"/>
              </w:rPr>
              <w:t>Dominio</w:t>
            </w:r>
          </w:p>
        </w:tc>
        <w:tc>
          <w:tcPr>
            <w:tcW w:type="dxa" w:w="4320"/>
          </w:tcPr>
          <w:p>
            <w:r>
              <w:rPr>
                <w:rFonts w:ascii="Calibri" w:hAnsi="Calibri"/>
                <w:sz w:val="18"/>
              </w:rPr>
              <w:t>ME – 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ME2</w:t>
              <w:br/>
              <w:t>PO1</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efectividad de auditorías internas formales de seguridad para monitorear el sistema de control interno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R4: Vulnerabilidades de seguridad no detectadas y explotadas, R5: Incumplimiento de normativas de seguridad (ISO 27001, PCI DSS, ASFI), R6: Pérdida de confianza de los clientes y reputación institucional.</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Plan Estratégico de Seguridad de la Información (PESI) 2025-2030, en su 'Diagnóstico de Seguridad Actual', identifica la situación de 'Cumplimiento y Auditoría' como 'Sin auditorías internas formales de seguridad', asignándole un nivel de madurez 1 (el más bajo) y una 'Prioridad ALTA'. Aunque las 'Normas de Auditoría de Sistemas' establecen los procedimientos para la ejecución de auditorías, la declaración en el PESI sugiere una deficiencia en la implementación o formalización de las auditorías internas específicamente en el ámbito de la seguridad de la información.</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Desarrollar e implementar un programa anual de auditorías internas de seguridad formal, con alcance definido, cronograma, recursos asignados y criterios de auditoría claros, en línea con las 'Normas de Auditoría de Sistemas' y los objetivos del PESI. Los resultados deben ser comunicados y gestionados para asegurar la mejora continua.</w:t>
            </w:r>
          </w:p>
        </w:tc>
      </w:tr>
      <w:tr>
        <w:tc>
          <w:tcPr>
            <w:tcW w:type="dxa" w:w="4320"/>
            <w:shd w:fill="D9E2F3" w:val="clear"/>
          </w:tcPr>
          <w:p>
            <w:r>
              <w:rPr>
                <w:rFonts w:ascii="Calibri" w:hAnsi="Calibri"/>
                <w:b/>
                <w:sz w:val="18"/>
              </w:rPr>
              <w:t>Causa</w:t>
            </w:r>
          </w:p>
        </w:tc>
        <w:tc>
          <w:tcPr>
            <w:tcW w:type="dxa" w:w="4320"/>
          </w:tcPr>
          <w:p>
            <w:r>
              <w:rPr>
                <w:rFonts w:ascii="Calibri" w:hAnsi="Calibri"/>
                <w:sz w:val="18"/>
              </w:rPr>
              <w:t>La falta de un programa de auditorías internas de seguridad formalmente establecido y ejecutado de manera regular, a pesar de la existencia de normas generales de auditoría, indica una brecha en la aplicación práctica de los controles de monitoreo y evaluación.</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5/5</w:t>
              <w:br/>
              <w:t>(P=4, I=5, R=20)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BL-H16</w:t>
            </w:r>
          </w:p>
        </w:tc>
      </w:tr>
      <w:tr>
        <w:tc>
          <w:tcPr>
            <w:tcW w:type="dxa" w:w="4320"/>
            <w:shd w:fill="D9E2F3" w:val="clear"/>
          </w:tcPr>
          <w:p>
            <w:r>
              <w:rPr>
                <w:rFonts w:ascii="Calibri" w:hAnsi="Calibri"/>
                <w:b/>
                <w:sz w:val="18"/>
              </w:rPr>
              <w:t>Dominio</w:t>
            </w:r>
          </w:p>
        </w:tc>
        <w:tc>
          <w:tcPr>
            <w:tcW w:type="dxa" w:w="4320"/>
          </w:tcPr>
          <w:p>
            <w:r>
              <w:rPr>
                <w:rFonts w:ascii="Calibri" w:hAnsi="Calibri"/>
                <w:sz w:val="18"/>
              </w:rPr>
              <w:t>ME – 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ME2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madurez y efectividad del registro y seguimiento periódico de hallazgos de auditoría y riesgos tecnológicos.</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R7: Retraso en la mitigación de riesgos y hallazgos críticos, R8: Recurrencia de problemas y deficiencias de control, R9: Dificultad para demostrar la efectividad de los controles y el cumplimiento normativo.</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Las 'Normas de Auditoría de Sistemas' establecen que la GSI mantendrá una 'Matriz de Hallazgos institucional actualizada' y que esta se revisará 'mensualmente por la GSI y se presentará trimestralmente al Comité de TI'. Sin embargo, el 'Plan Estratégico de Tecnología de la Información (PETI) 2025-2030' identifica que el 'Nivel de madurez COBIT' actual es 'Nivel 1' con una meta de 'Nivel 3 al 2027' para el objetivo de 'Implementar gobierno de TI con COBIT 2019'. Un nivel de madurez 1 en COBIT sugiere que los procesos son ad hoc y desorganizados, lo que contrasta con la formalidad descrita en las normas de auditoría para el seguimiento de hallazgos. Esto indica una posible brecha entre la política documentada y la práctica real o la madurez del proceso.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Fortalecer la implementación y madurez del proceso de registro y seguimiento de hallazgos y riesgos, asegurando que la 'Matriz de Hallazgos institucional' se mantenga actualizada, completa y sea utilizada activamente para la toma de decisiones. Esto incluye la definición clara de responsables, plazos y mecanismos de escalamiento, y la integración de las lecciones aprendidas en la mejora continua.</w:t>
            </w:r>
          </w:p>
        </w:tc>
      </w:tr>
      <w:tr>
        <w:tc>
          <w:tcPr>
            <w:tcW w:type="dxa" w:w="4320"/>
            <w:shd w:fill="D9E2F3" w:val="clear"/>
          </w:tcPr>
          <w:p>
            <w:r>
              <w:rPr>
                <w:rFonts w:ascii="Calibri" w:hAnsi="Calibri"/>
                <w:b/>
                <w:sz w:val="18"/>
              </w:rPr>
              <w:t>Causa</w:t>
            </w:r>
          </w:p>
        </w:tc>
        <w:tc>
          <w:tcPr>
            <w:tcW w:type="dxa" w:w="4320"/>
          </w:tcPr>
          <w:p>
            <w:r>
              <w:rPr>
                <w:rFonts w:ascii="Calibri" w:hAnsi="Calibri"/>
                <w:sz w:val="18"/>
              </w:rPr>
              <w:t>La baja madurez en el gobierno de TI, reflejada en el nivel 1 de COBIT, sugiere que, a pesar de la existencia de normas documentadas para el seguimiento de hallazgos, la implementación y ejecución de estos procesos pueden ser inconsistentes, reactivas o carecer de la estructura y formalidad necesarias para un seguimiento efectivo y proactivo de los riesgos.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BL-H17</w:t>
            </w:r>
          </w:p>
        </w:tc>
      </w:tr>
      <w:tr>
        <w:tc>
          <w:tcPr>
            <w:tcW w:type="dxa" w:w="4320"/>
            <w:shd w:fill="D9E2F3" w:val="clear"/>
          </w:tcPr>
          <w:p>
            <w:r>
              <w:rPr>
                <w:rFonts w:ascii="Calibri" w:hAnsi="Calibri"/>
                <w:b/>
                <w:sz w:val="18"/>
              </w:rPr>
              <w:t>Dominio</w:t>
            </w:r>
          </w:p>
        </w:tc>
        <w:tc>
          <w:tcPr>
            <w:tcW w:type="dxa" w:w="4320"/>
          </w:tcPr>
          <w:p>
            <w:r>
              <w:rPr>
                <w:rFonts w:ascii="Calibri" w:hAnsi="Calibri"/>
                <w:sz w:val="18"/>
              </w:rPr>
              <w:t>PO – Planear y Organizar, ME – Monitorear, Evaluar y Valorar</w:t>
            </w:r>
          </w:p>
        </w:tc>
      </w:tr>
      <w:tr>
        <w:tc>
          <w:tcPr>
            <w:tcW w:type="dxa" w:w="4320"/>
            <w:shd w:fill="D9E2F3" w:val="clear"/>
          </w:tcPr>
          <w:p>
            <w:r>
              <w:rPr>
                <w:rFonts w:ascii="Calibri" w:hAnsi="Calibri"/>
                <w:b/>
                <w:sz w:val="18"/>
              </w:rPr>
              <w:t>Proceso</w:t>
            </w:r>
          </w:p>
        </w:tc>
        <w:tc>
          <w:tcPr>
            <w:tcW w:type="dxa" w:w="4320"/>
          </w:tcPr>
          <w:p>
            <w:r>
              <w:rPr>
                <w:rFonts w:ascii="Calibri" w:hAnsi="Calibri"/>
                <w:sz w:val="18"/>
              </w:rPr>
              <w:t>APO03</w:t>
              <w:br/>
              <w:t>APO04</w:t>
              <w:br/>
              <w:t>MEA02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efectividad de un marco formal para la gestión de cambios tecnológicos que asegure la alineación con los objetivos estratégicos y la minimización de riesgos.</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Se ha identificado que el Banco Luna Llena carece de un marco formal y unificado para la gestión de cambios tecnológicos que abarque todos los tipos de modificaciones en la infraestructura, sistemas y servicios de TI. Si bien existen procedimientos específicos para la gestión de accesos (Manual de Procedimientos, 6.3), el control de calidad y pase a producción de software (Manual de Procedimientos, 6.5), y la evaluación de proveedores (Manual de Procedimientos, 6.9), no se evidencia un procedimiento general que defina el ciclo de vida completo de un cambio (solicitud, evaluación, planificación, aprobación, implementación, verificación y cierre) para todas las áreas de TI. Esta situación se alinea con la brecha identificada en el Plan Estratégico de Tecnología de la Información (PETI) que señala 'Procesos de TI sin marco formal' y la iniciativa de 'Implementar COBIT 2019 como marco de gobierno'.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Elaborar e implementar un procedimiento integral de gestión de cambios tecnológicos, basado en las directrices de COBIT 2019, que defina roles, responsabilidades, etapas del ciclo de vida del cambio, criterios de evaluación de impacto, procesos de aprobación (incluyendo un Comité Asesor de Cambios - CAB) y mecanismos de monitoreo post-implementación para todos los activos de TI. Este procedimiento debe ser comunicado y aplicado de manera transversal en toda la organización.</w:t>
            </w:r>
          </w:p>
        </w:tc>
      </w:tr>
      <w:tr>
        <w:tc>
          <w:tcPr>
            <w:tcW w:type="dxa" w:w="4320"/>
            <w:shd w:fill="D9E2F3" w:val="clear"/>
          </w:tcPr>
          <w:p>
            <w:r>
              <w:rPr>
                <w:rFonts w:ascii="Calibri" w:hAnsi="Calibri"/>
                <w:b/>
                <w:sz w:val="18"/>
              </w:rPr>
              <w:t>Causa</w:t>
            </w:r>
          </w:p>
        </w:tc>
        <w:tc>
          <w:tcPr>
            <w:tcW w:type="dxa" w:w="4320"/>
          </w:tcPr>
          <w:p>
            <w:r>
              <w:rPr>
                <w:rFonts w:ascii="Calibri" w:hAnsi="Calibri"/>
                <w:sz w:val="18"/>
              </w:rPr>
              <w:t>La ausencia de una implementación completa y madura de un marco de gobierno de TI como COBIT 2019, a pesar de haber sido identificado como una iniciativa clave en el PETI, ha resultado en la falta de un proceso estandarizado y centralizado para la gestión de cambios tecnológicos en toda la organización.</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4/5</w:t>
              <w:br/>
              <w:t>(P=4, I=4, R=16)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BL-H18</w:t>
            </w:r>
          </w:p>
        </w:tc>
      </w:tr>
      <w:tr>
        <w:tc>
          <w:tcPr>
            <w:tcW w:type="dxa" w:w="4320"/>
            <w:shd w:fill="D9E2F3" w:val="clear"/>
          </w:tcPr>
          <w:p>
            <w:r>
              <w:rPr>
                <w:rFonts w:ascii="Calibri" w:hAnsi="Calibri"/>
                <w:b/>
                <w:sz w:val="18"/>
              </w:rPr>
              <w:t>Dominio</w:t>
            </w:r>
          </w:p>
        </w:tc>
        <w:tc>
          <w:tcPr>
            <w:tcW w:type="dxa" w:w="4320"/>
          </w:tcPr>
          <w:p>
            <w:r>
              <w:rPr>
                <w:rFonts w:ascii="Calibri" w:hAnsi="Calibri"/>
                <w:sz w:val="18"/>
              </w:rPr>
              <w:t>ME – Monitorear, Evaluar y Valorar, PO – Planear y Organizar</w:t>
            </w:r>
          </w:p>
        </w:tc>
      </w:tr>
      <w:tr>
        <w:tc>
          <w:tcPr>
            <w:tcW w:type="dxa" w:w="4320"/>
            <w:shd w:fill="D9E2F3" w:val="clear"/>
          </w:tcPr>
          <w:p>
            <w:r>
              <w:rPr>
                <w:rFonts w:ascii="Calibri" w:hAnsi="Calibri"/>
                <w:b/>
                <w:sz w:val="18"/>
              </w:rPr>
              <w:t>Proceso</w:t>
            </w:r>
          </w:p>
        </w:tc>
        <w:tc>
          <w:tcPr>
            <w:tcW w:type="dxa" w:w="4320"/>
          </w:tcPr>
          <w:p>
            <w:r>
              <w:rPr>
                <w:rFonts w:ascii="Calibri" w:hAnsi="Calibri"/>
                <w:sz w:val="18"/>
              </w:rPr>
              <w:t>MEA02</w:t>
              <w:br/>
              <w:t>APO03</w:t>
              <w:br/>
              <w:t>APO04</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existencia y aplicación de un proceso formal para el análisis de impacto de los cambios tecnológicos en los controles de seguridad y operativos existentes, así como la consideración de cambios regulatorios externos.</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R2, R3, R4</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Aunque el Banco Luna Llena realiza evaluaciones de riesgo anuales y ante eventos significativos que incluyen 'cambios regulatorios, incorporación de nuevos sistemas o proveedores cloud' (Normas de Auditoría de Sistemas, N-PLAN-02), y existen pruebas de seguridad en el ciclo de desarrollo (Manual de Procedimientos, 6.5. Procedimiento N° 5), no se detalla un procedimiento formal y transversal que asegure un análisis de impacto exhaustivo de todos los cambios tecnológicos propuestos sobre el conjunto de controles de seguridad y operativos existentes. La documentación no especifica cómo se evalúa sistemáticamente el impacto de un cambio en la matriz de controles, en la segregación de funciones, o en la conformidad con los marcos de referencia adoptados (ISO 27001, PCI DSS, NIST CSF, CIS Controls). Además, si bien se menciona la necesidad de obtener la no objeción de ASFI para servicios cloud que involucren procesos core (PETI, Anexo A), no se describe un proceso proactivo y continuo para monitorear y adaptar los cambios tecnológicos a la evolución de la normativa ASFI y otros marcos regulatorios.</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Establecer y documentar un proceso formal de análisis de impacto para todos los cambios tecnológicos, que incluya la evaluación de su efecto en los controles de seguridad y operativos, la segregación de funciones, y el cumplimiento normativo (ASFI, ISO 27001, PCI DSS). Este proceso debe integrarse en el ciclo de vida de la gestión de cambios y ser revisado periódicamente. Adicionalmente, implementar un mecanismo proactivo para el monitoreo de cambios regulatorios y su impacto en la infraestructura y sistemas de TI.</w:t>
            </w:r>
          </w:p>
        </w:tc>
      </w:tr>
      <w:tr>
        <w:tc>
          <w:tcPr>
            <w:tcW w:type="dxa" w:w="4320"/>
            <w:shd w:fill="D9E2F3" w:val="clear"/>
          </w:tcPr>
          <w:p>
            <w:r>
              <w:rPr>
                <w:rFonts w:ascii="Calibri" w:hAnsi="Calibri"/>
                <w:b/>
                <w:sz w:val="18"/>
              </w:rPr>
              <w:t>Causa</w:t>
            </w:r>
          </w:p>
        </w:tc>
        <w:tc>
          <w:tcPr>
            <w:tcW w:type="dxa" w:w="4320"/>
          </w:tcPr>
          <w:p>
            <w:r>
              <w:rPr>
                <w:rFonts w:ascii="Calibri" w:hAnsi="Calibri"/>
                <w:sz w:val="18"/>
              </w:rPr>
              <w:t>La ausencia de un marco de gobierno de TI maduro (como se reconoce en el PETI) y la falta de un procedimiento de gestión de cambios unificado contribuyen a que el análisis de impacto sobre los controles y la consideración de cambios regulatorios sean realizados de manera inconsistente o reactiva, en lugar de ser un paso formal e integral en cada ciclo de cambio.</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BL-H19</w:t>
            </w:r>
          </w:p>
        </w:tc>
      </w:tr>
      <w:tr>
        <w:tc>
          <w:tcPr>
            <w:tcW w:type="dxa" w:w="4320"/>
            <w:shd w:fill="D9E2F3" w:val="clear"/>
          </w:tcPr>
          <w:p>
            <w:r>
              <w:rPr>
                <w:rFonts w:ascii="Calibri" w:hAnsi="Calibri"/>
                <w:b/>
                <w:sz w:val="18"/>
              </w:rPr>
              <w:t>Dominio</w:t>
            </w:r>
          </w:p>
        </w:tc>
        <w:tc>
          <w:tcPr>
            <w:tcW w:type="dxa" w:w="4320"/>
          </w:tcPr>
          <w:p>
            <w:r>
              <w:rPr>
                <w:rFonts w:ascii="Calibri" w:hAnsi="Calibri"/>
                <w:sz w:val="18"/>
              </w:rPr>
              <w:t>APO (Align, Plan, Organise), MEA (Monitor, Evaluate, Assess)</w:t>
            </w:r>
          </w:p>
        </w:tc>
      </w:tr>
      <w:tr>
        <w:tc>
          <w:tcPr>
            <w:tcW w:type="dxa" w:w="4320"/>
            <w:shd w:fill="D9E2F3" w:val="clear"/>
          </w:tcPr>
          <w:p>
            <w:r>
              <w:rPr>
                <w:rFonts w:ascii="Calibri" w:hAnsi="Calibri"/>
                <w:b/>
                <w:sz w:val="18"/>
              </w:rPr>
              <w:t>Proceso</w:t>
            </w:r>
          </w:p>
        </w:tc>
        <w:tc>
          <w:tcPr>
            <w:tcW w:type="dxa" w:w="4320"/>
          </w:tcPr>
          <w:p>
            <w:r>
              <w:rPr>
                <w:rFonts w:ascii="Calibri" w:hAnsi="Calibri"/>
                <w:sz w:val="18"/>
              </w:rPr>
              <w:t>APO01</w:t>
              <w:br/>
              <w:t>MEA02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efectividad del monitoreo de sistemas y la gestión de incidentes de seguridad.</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Detección tardía de incidentes de seguridad, R2: Mayor tiempo de respuesta y recuperación ante ciberataques, R3: Incumplimiento de objetivos de seguridad y disponibilidad</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opera con un monitoreo de sistemas predominantemente reactivo, evidenciado por la ausencia de un Sistema de Gestión de Eventos e Información de Seguridad (SIEM) activo y un Centro de Operaciones de Seguridad (SOC) funcional. Esta situación ha sido identificada como una brecha en el Plan Estratégico de Tecnología de la Información (PETI) y en el Diagnóstico de Seguridad Actual del Plan Estratégico de Seguridad de la Información (PESI). Aunque existe una iniciativa para implementar un SIEM y SOC funcional con una meta de operación 24/7 para 2027, la situación actual representa una debilidad significativa en la capacidad de monitoreo proactivo.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Acelerar la implementación del SIEM y SOC funcional, priorizando la integración de todas las fuentes de log relevantes y el desarrollo de reglas de correlación efectivas para transicionar de un monitoreo reactivo a uno proactivo 24/7.</w:t>
            </w:r>
          </w:p>
        </w:tc>
      </w:tr>
      <w:tr>
        <w:tc>
          <w:tcPr>
            <w:tcW w:type="dxa" w:w="4320"/>
            <w:shd w:fill="D9E2F3" w:val="clear"/>
          </w:tcPr>
          <w:p>
            <w:r>
              <w:rPr>
                <w:rFonts w:ascii="Calibri" w:hAnsi="Calibri"/>
                <w:b/>
                <w:sz w:val="18"/>
              </w:rPr>
              <w:t>Causa</w:t>
            </w:r>
          </w:p>
        </w:tc>
        <w:tc>
          <w:tcPr>
            <w:tcW w:type="dxa" w:w="4320"/>
          </w:tcPr>
          <w:p>
            <w:r>
              <w:rPr>
                <w:rFonts w:ascii="Calibri" w:hAnsi="Calibri"/>
                <w:sz w:val="18"/>
              </w:rPr>
              <w:t>La falta de una inversión prioritaria y una hoja de ruta acelerada para la implementación de herramientas de monitoreo proactivo como SIEM y SOC, a pesar de su identificación como brecha estratégica.</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4/5, Impacto: 5/5</w:t>
              <w:br/>
              <w:t>(P=4, I=5, R=20) Riesgo Extremo.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BL-H20</w:t>
            </w:r>
          </w:p>
        </w:tc>
      </w:tr>
      <w:tr>
        <w:tc>
          <w:tcPr>
            <w:tcW w:type="dxa" w:w="4320"/>
            <w:shd w:fill="D9E2F3" w:val="clear"/>
          </w:tcPr>
          <w:p>
            <w:r>
              <w:rPr>
                <w:rFonts w:ascii="Calibri" w:hAnsi="Calibri"/>
                <w:b/>
                <w:sz w:val="18"/>
              </w:rPr>
              <w:t>Dominio</w:t>
            </w:r>
          </w:p>
        </w:tc>
        <w:tc>
          <w:tcPr>
            <w:tcW w:type="dxa" w:w="4320"/>
          </w:tcPr>
          <w:p>
            <w:r>
              <w:rPr>
                <w:rFonts w:ascii="Calibri" w:hAnsi="Calibri"/>
                <w:sz w:val="18"/>
              </w:rPr>
              <w:t>APO (Align, Plan, Organise), MEA (Monitor, Evaluate, Assess)</w:t>
            </w:r>
          </w:p>
        </w:tc>
      </w:tr>
      <w:tr>
        <w:tc>
          <w:tcPr>
            <w:tcW w:type="dxa" w:w="4320"/>
            <w:shd w:fill="D9E2F3" w:val="clear"/>
          </w:tcPr>
          <w:p>
            <w:r>
              <w:rPr>
                <w:rFonts w:ascii="Calibri" w:hAnsi="Calibri"/>
                <w:b/>
                <w:sz w:val="18"/>
              </w:rPr>
              <w:t>Proceso</w:t>
            </w:r>
          </w:p>
        </w:tc>
        <w:tc>
          <w:tcPr>
            <w:tcW w:type="dxa" w:w="4320"/>
          </w:tcPr>
          <w:p>
            <w:r>
              <w:rPr>
                <w:rFonts w:ascii="Calibri" w:hAnsi="Calibri"/>
                <w:sz w:val="18"/>
              </w:rPr>
              <w:t>APO01</w:t>
              <w:br/>
              <w:t>MEA02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el nivel de madurez en la implementación del marco de gobierno y gestión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Ineficiencia en la toma de decisiones de TI, R2: Desalineación de TI con los objetivos de negocio, R3: Dificultad para medir y mejorar el desempeño de TI</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presenta un nivel de madurez COBIT de Nivel 1, lo que indica que los procesos de gobierno y gestión de TI son iniciales o ad-hoc. Aunque se ha establecido la implementación de COBIT 2019 como una iniciativa clave con una meta de alcanzar el Nivel 3 para 2027, la situación actual sugiere una falta de formalización y optimización en los procesos de TI, incluyendo aquellos relacionados con el monitoreo del desempeño.</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Fortalecer la iniciativa de implementación de COBIT 2019, priorizando la definición y formalización de procesos, roles y métricas de TI, especialmente en las áreas de monitoreo y evaluación del desempeño, para asegurar una transición efectiva hacia un nivel de madurez superior.</w:t>
            </w:r>
          </w:p>
        </w:tc>
      </w:tr>
      <w:tr>
        <w:tc>
          <w:tcPr>
            <w:tcW w:type="dxa" w:w="4320"/>
            <w:shd w:fill="D9E2F3" w:val="clear"/>
          </w:tcPr>
          <w:p>
            <w:r>
              <w:rPr>
                <w:rFonts w:ascii="Calibri" w:hAnsi="Calibri"/>
                <w:b/>
                <w:sz w:val="18"/>
              </w:rPr>
              <w:t>Causa</w:t>
            </w:r>
          </w:p>
        </w:tc>
        <w:tc>
          <w:tcPr>
            <w:tcW w:type="dxa" w:w="4320"/>
          </w:tcPr>
          <w:p>
            <w:r>
              <w:rPr>
                <w:rFonts w:ascii="Calibri" w:hAnsi="Calibri"/>
                <w:sz w:val="18"/>
              </w:rPr>
              <w:t>La etapa inicial de adopción del marco COBIT 2019, lo que implica que muchos procesos de TI aún no están formalmente definidos, medidos o gestionados de manera proactiva.</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BL-H21</w:t>
            </w:r>
          </w:p>
        </w:tc>
      </w:tr>
      <w:tr>
        <w:tc>
          <w:tcPr>
            <w:tcW w:type="dxa" w:w="4320"/>
            <w:shd w:fill="D9E2F3" w:val="clear"/>
          </w:tcPr>
          <w:p>
            <w:r>
              <w:rPr>
                <w:rFonts w:ascii="Calibri" w:hAnsi="Calibri"/>
                <w:b/>
                <w:sz w:val="18"/>
              </w:rPr>
              <w:t>Dominio</w:t>
            </w:r>
          </w:p>
        </w:tc>
        <w:tc>
          <w:tcPr>
            <w:tcW w:type="dxa" w:w="4320"/>
          </w:tcPr>
          <w:p>
            <w:r>
              <w:rPr>
                <w:rFonts w:ascii="Calibri" w:hAnsi="Calibri"/>
                <w:sz w:val="18"/>
              </w:rPr>
              <w:t>APO (Align, Plan, Organise), MEA (Monitor, Evaluate, Assess)</w:t>
            </w:r>
          </w:p>
        </w:tc>
      </w:tr>
      <w:tr>
        <w:tc>
          <w:tcPr>
            <w:tcW w:type="dxa" w:w="4320"/>
            <w:shd w:fill="D9E2F3" w:val="clear"/>
          </w:tcPr>
          <w:p>
            <w:r>
              <w:rPr>
                <w:rFonts w:ascii="Calibri" w:hAnsi="Calibri"/>
                <w:b/>
                <w:sz w:val="18"/>
              </w:rPr>
              <w:t>Proceso</w:t>
            </w:r>
          </w:p>
        </w:tc>
        <w:tc>
          <w:tcPr>
            <w:tcW w:type="dxa" w:w="4320"/>
          </w:tcPr>
          <w:p>
            <w:r>
              <w:rPr>
                <w:rFonts w:ascii="Calibri" w:hAnsi="Calibri"/>
                <w:sz w:val="18"/>
              </w:rPr>
              <w:t>APO01</w:t>
              <w:br/>
              <w:t>MEA02</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disponibilidad y uso de herramientas de Business Intelligence y dashboards para el monitoreo del desempeño de TI y negocio.</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Toma de decisiones gerenciales sin información completa, R2: Dificultad para identificar tendencias y anomalías operativas, R3: Desalineación entre las operaciones de TI y las necesidades del negocio</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El Banco Luna Llena ha identificado la necesidad de 'Desarrollar capacidades de analítica de datos' mediante una 'Plataforma de Business Intelligence y Data Warehouse' con la meta de tener 'Dashboards operativos para el 100% de gerencias'. Esta iniciativa, programada para iniciar en 2026 y finalizar en 2028, sugiere que actualmente no todos los niveles gerenciales disponen de dashboards operativos completos y centralizados para el monitoreo del desempeño, lo que limita la visibilidad y la capacidad de análisis de datos en tiempo real.</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Priorizar el desarrollo e implementación de la plataforma de Business Intelligence y los dashboards operativos, asegurando que cubran los KPIs críticos de TI y negocio, y que sean accesibles y comprensibles para todas las gerencias relevantes, conforme a la meta establecida en el PETI.</w:t>
            </w:r>
          </w:p>
        </w:tc>
      </w:tr>
      <w:tr>
        <w:tc>
          <w:tcPr>
            <w:tcW w:type="dxa" w:w="4320"/>
            <w:shd w:fill="D9E2F3" w:val="clear"/>
          </w:tcPr>
          <w:p>
            <w:r>
              <w:rPr>
                <w:rFonts w:ascii="Calibri" w:hAnsi="Calibri"/>
                <w:b/>
                <w:sz w:val="18"/>
              </w:rPr>
              <w:t>Causa</w:t>
            </w:r>
          </w:p>
        </w:tc>
        <w:tc>
          <w:tcPr>
            <w:tcW w:type="dxa" w:w="4320"/>
          </w:tcPr>
          <w:p>
            <w:r>
              <w:rPr>
                <w:rFonts w:ascii="Calibri" w:hAnsi="Calibri"/>
                <w:sz w:val="18"/>
              </w:rPr>
              <w:t>La iniciativa de desarrollar capacidades de analítica de datos y dashboards operativos se encuentra en fase de planificación/ejecución, lo que implica que la cobertura actual es parcial o inexistente para algunas gerencias.</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4/5</w:t>
              <w:br/>
              <w:t>(P=3, I=4, R=12) Riesgo Alto.</w:t>
            </w:r>
          </w:p>
        </w:tc>
      </w:tr>
    </w:tbl>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r>
              <w:rPr>
                <w:rFonts w:ascii="Calibri" w:hAnsi="Calibri"/>
                <w:b/>
                <w:color w:val="FFFFFF"/>
                <w:sz w:val="18"/>
              </w:rPr>
              <w:t>Cod.</w:t>
            </w:r>
          </w:p>
        </w:tc>
        <w:tc>
          <w:tcPr>
            <w:tcW w:type="dxa" w:w="4320"/>
          </w:tcPr>
          <w:p>
            <w:r>
              <w:rPr>
                <w:rFonts w:ascii="Calibri" w:hAnsi="Calibri"/>
                <w:b/>
                <w:sz w:val="18"/>
              </w:rPr>
              <w:t>Hallazgos de la Auditoría</w:t>
              <w:br/>
              <w:t>BL-H22</w:t>
            </w:r>
          </w:p>
        </w:tc>
      </w:tr>
      <w:tr>
        <w:tc>
          <w:tcPr>
            <w:tcW w:type="dxa" w:w="4320"/>
            <w:shd w:fill="D9E2F3" w:val="clear"/>
          </w:tcPr>
          <w:p>
            <w:r>
              <w:rPr>
                <w:rFonts w:ascii="Calibri" w:hAnsi="Calibri"/>
                <w:b/>
                <w:sz w:val="18"/>
              </w:rPr>
              <w:t>Dominio</w:t>
            </w:r>
          </w:p>
        </w:tc>
        <w:tc>
          <w:tcPr>
            <w:tcW w:type="dxa" w:w="4320"/>
          </w:tcPr>
          <w:p>
            <w:r>
              <w:rPr>
                <w:rFonts w:ascii="Calibri" w:hAnsi="Calibri"/>
                <w:sz w:val="18"/>
              </w:rPr>
              <w:t>MEA (Monitor, Evaluate, Assess), APO (Align, Plan, Organise)</w:t>
            </w:r>
          </w:p>
        </w:tc>
      </w:tr>
      <w:tr>
        <w:tc>
          <w:tcPr>
            <w:tcW w:type="dxa" w:w="4320"/>
            <w:shd w:fill="D9E2F3" w:val="clear"/>
          </w:tcPr>
          <w:p>
            <w:r>
              <w:rPr>
                <w:rFonts w:ascii="Calibri" w:hAnsi="Calibri"/>
                <w:b/>
                <w:sz w:val="18"/>
              </w:rPr>
              <w:t>Proceso</w:t>
            </w:r>
          </w:p>
        </w:tc>
        <w:tc>
          <w:tcPr>
            <w:tcW w:type="dxa" w:w="4320"/>
          </w:tcPr>
          <w:p>
            <w:r>
              <w:rPr>
                <w:rFonts w:ascii="Calibri" w:hAnsi="Calibri"/>
                <w:sz w:val="18"/>
              </w:rPr>
              <w:t>MEA02</w:t>
              <w:br/>
              <w:t>APO01</w:t>
            </w:r>
          </w:p>
        </w:tc>
      </w:tr>
      <w:tr>
        <w:tc>
          <w:tcPr>
            <w:tcW w:type="dxa" w:w="4320"/>
            <w:shd w:fill="D9E2F3" w:val="clear"/>
          </w:tcPr>
          <w:p>
            <w:r>
              <w:rPr>
                <w:rFonts w:ascii="Calibri" w:hAnsi="Calibri"/>
                <w:b/>
                <w:sz w:val="18"/>
              </w:rPr>
              <w:t>Objetivo de Control</w:t>
            </w:r>
          </w:p>
        </w:tc>
        <w:tc>
          <w:tcPr>
            <w:tcW w:type="dxa" w:w="4320"/>
          </w:tcPr>
          <w:p>
            <w:r>
              <w:rPr>
                <w:rFonts w:ascii="Calibri" w:hAnsi="Calibri"/>
                <w:sz w:val="18"/>
              </w:rPr>
              <w:t>Evaluar la frecuencia y exhaustividad de los reportes de hallazgos de auditoría a las instancias de gobierno de TI.</w:t>
            </w:r>
          </w:p>
        </w:tc>
      </w:tr>
      <w:tr>
        <w:tc>
          <w:tcPr>
            <w:tcW w:type="dxa" w:w="4320"/>
            <w:shd w:fill="D9E2F3" w:val="clear"/>
          </w:tcPr>
          <w:p>
            <w:r>
              <w:rPr>
                <w:rFonts w:ascii="Calibri" w:hAnsi="Calibri"/>
                <w:b/>
                <w:sz w:val="18"/>
              </w:rPr>
              <w:t>Riesgos Asociados</w:t>
            </w:r>
          </w:p>
        </w:tc>
        <w:tc>
          <w:tcPr>
            <w:tcW w:type="dxa" w:w="4320"/>
          </w:tcPr>
          <w:p>
            <w:r>
              <w:rPr>
                <w:rFonts w:ascii="Calibri" w:hAnsi="Calibri"/>
                <w:sz w:val="18"/>
              </w:rPr>
              <w:t>R1: Retraso en la toma de decisiones sobre hallazgos no críticos, R2: Acumulación de hallazgos de bajo impacto que pueden escalar, R3: Menor visibilidad del Comité de TI sobre el estado general de los controles</w:t>
            </w:r>
          </w:p>
        </w:tc>
      </w:tr>
      <w:tr>
        <w:tc>
          <w:tcPr>
            <w:tcW w:type="dxa" w:w="4320"/>
            <w:shd w:fill="D9E2F3" w:val="clear"/>
          </w:tcPr>
          <w:p>
            <w:r>
              <w:rPr>
                <w:rFonts w:ascii="Calibri" w:hAnsi="Calibri"/>
                <w:b/>
                <w:sz w:val="18"/>
              </w:rPr>
              <w:t>Descripción</w:t>
            </w:r>
          </w:p>
        </w:tc>
        <w:tc>
          <w:tcPr>
            <w:tcW w:type="dxa" w:w="4320"/>
          </w:tcPr>
          <w:p>
            <w:r>
              <w:rPr>
                <w:rFonts w:ascii="Calibri" w:hAnsi="Calibri"/>
                <w:sz w:val="18"/>
              </w:rPr>
              <w:t>La 'Matriz de Hallazgos' institucional, que registra todos los hallazgos de auditoría, se revisa mensualmente por la Gerencia de Seguridad de la Información (GSI) pero se presenta al Comité de TI de forma trimestral. Aunque los hallazgos críticos (P1) se escalan de inmediato, la frecuencia trimestral para la matriz completa podría limitar la visibilidad oportuna del Comité de TI sobre el progreso y la gestión de hallazgos no críticos o de menor prioridad, los cuales podrían acumularse o escalar si no se abordan con suficiente prontitud.</w:t>
            </w:r>
          </w:p>
        </w:tc>
      </w:tr>
      <w:tr>
        <w:tc>
          <w:tcPr>
            <w:tcW w:type="dxa" w:w="4320"/>
            <w:shd w:fill="D9E2F3" w:val="clear"/>
          </w:tcPr>
          <w:p>
            <w:r>
              <w:rPr>
                <w:rFonts w:ascii="Calibri" w:hAnsi="Calibri"/>
                <w:b/>
                <w:sz w:val="18"/>
              </w:rPr>
              <w:t>Recomendación</w:t>
            </w:r>
          </w:p>
        </w:tc>
        <w:tc>
          <w:tcPr>
            <w:tcW w:type="dxa" w:w="4320"/>
          </w:tcPr>
          <w:p>
            <w:r>
              <w:rPr>
                <w:rFonts w:ascii="Calibri" w:hAnsi="Calibri"/>
                <w:sz w:val="18"/>
              </w:rPr>
              <w:t>Evaluar la posibilidad de incrementar la frecuencia de presentación de la Matriz de Hallazgos al Comité de TI, al menos para un resumen ejecutivo o los hallazgos de mayor impacto (P2 y P3), a una base mensual, para mejorar la supervisión y la toma de decisiones proactiva.</w:t>
            </w:r>
          </w:p>
        </w:tc>
      </w:tr>
      <w:tr>
        <w:tc>
          <w:tcPr>
            <w:tcW w:type="dxa" w:w="4320"/>
            <w:shd w:fill="D9E2F3" w:val="clear"/>
          </w:tcPr>
          <w:p>
            <w:r>
              <w:rPr>
                <w:rFonts w:ascii="Calibri" w:hAnsi="Calibri"/>
                <w:b/>
                <w:sz w:val="18"/>
              </w:rPr>
              <w:t>Causa</w:t>
            </w:r>
          </w:p>
        </w:tc>
        <w:tc>
          <w:tcPr>
            <w:tcW w:type="dxa" w:w="4320"/>
          </w:tcPr>
          <w:p>
            <w:r>
              <w:rPr>
                <w:rFonts w:ascii="Calibri" w:hAnsi="Calibri"/>
                <w:sz w:val="18"/>
              </w:rPr>
              <w:t>La política interna establece una revisión mensual por la GSI pero una presentación trimestral al Comité de TI, posiblemente para optimizar el tiempo de las reuniones del comité o debido a la carga de trabajo.</w:t>
            </w:r>
          </w:p>
        </w:tc>
      </w:tr>
      <w:tr>
        <w:tc>
          <w:tcPr>
            <w:tcW w:type="dxa" w:w="4320"/>
            <w:shd w:fill="D9E2F3" w:val="clear"/>
          </w:tcPr>
          <w:p>
            <w:r>
              <w:rPr>
                <w:rFonts w:ascii="Calibri" w:hAnsi="Calibri"/>
                <w:b/>
                <w:sz w:val="18"/>
              </w:rPr>
              <w:t>Nivel del Riesgo</w:t>
            </w:r>
          </w:p>
        </w:tc>
        <w:tc>
          <w:tcPr>
            <w:tcW w:type="dxa" w:w="4320"/>
          </w:tcPr>
          <w:p>
            <w:r>
              <w:rPr>
                <w:rFonts w:ascii="Calibri" w:hAnsi="Calibri"/>
                <w:sz w:val="18"/>
              </w:rPr>
              <w:t>Probabilidad: 3/5, Impacto: 3/5</w:t>
              <w:br/>
              <w:t>(P=3, I=3, R=9) Riesgo Medio.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