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AUDITORES: </w:t>
      </w:r>
      <w:r w:rsidDel="00000000" w:rsidR="00000000" w:rsidRPr="00000000">
        <w:rPr>
          <w:rFonts w:ascii="Cambria" w:cs="Cambria" w:eastAsia="Cambria" w:hAnsi="Cambria"/>
          <w:rtl w:val="0"/>
        </w:rPr>
        <w:t xml:space="preserve">CACTUCITOS</w:t>
      </w:r>
      <w:r w:rsidDel="00000000" w:rsidR="00000000" w:rsidRPr="00000000">
        <w:rPr>
          <w:rtl w:val="0"/>
        </w:rPr>
      </w:r>
    </w:p>
    <w:p w:rsidR="00000000" w:rsidDel="00000000" w:rsidP="00000000" w:rsidRDefault="00000000" w:rsidRPr="00000000" w14:paraId="00000002">
      <w:pPr>
        <w:spacing w:after="160" w:line="278.0000000000000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Integrantes: </w:t>
      </w:r>
    </w:p>
    <w:p w:rsidR="00000000" w:rsidDel="00000000" w:rsidP="00000000" w:rsidRDefault="00000000" w:rsidRPr="00000000" w14:paraId="00000003">
      <w:pPr>
        <w:widowControl w:val="0"/>
        <w:numPr>
          <w:ilvl w:val="0"/>
          <w:numId w:val="1"/>
        </w:numPr>
        <w:spacing w:after="0" w:afterAutospacing="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Josue Nisthaus</w:t>
      </w:r>
    </w:p>
    <w:p w:rsidR="00000000" w:rsidDel="00000000" w:rsidP="00000000" w:rsidRDefault="00000000" w:rsidRPr="00000000" w14:paraId="00000004">
      <w:pPr>
        <w:widowControl w:val="0"/>
        <w:numPr>
          <w:ilvl w:val="0"/>
          <w:numId w:val="1"/>
        </w:numPr>
        <w:spacing w:after="0" w:afterAutospacing="0"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Carlos Caba</w:t>
      </w:r>
    </w:p>
    <w:p w:rsidR="00000000" w:rsidDel="00000000" w:rsidP="00000000" w:rsidRDefault="00000000" w:rsidRPr="00000000" w14:paraId="00000005">
      <w:pPr>
        <w:widowControl w:val="0"/>
        <w:numPr>
          <w:ilvl w:val="0"/>
          <w:numId w:val="1"/>
        </w:numPr>
        <w:spacing w:after="0" w:afterAutospacing="0"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Luciana Velasco</w:t>
      </w:r>
    </w:p>
    <w:p w:rsidR="00000000" w:rsidDel="00000000" w:rsidP="00000000" w:rsidRDefault="00000000" w:rsidRPr="00000000" w14:paraId="00000006">
      <w:pPr>
        <w:widowControl w:val="0"/>
        <w:numPr>
          <w:ilvl w:val="0"/>
          <w:numId w:val="1"/>
        </w:numPr>
        <w:spacing w:after="0" w:afterAutospacing="0"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Daniela Guzman</w:t>
      </w:r>
    </w:p>
    <w:p w:rsidR="00000000" w:rsidDel="00000000" w:rsidP="00000000" w:rsidRDefault="00000000" w:rsidRPr="00000000" w14:paraId="00000007">
      <w:pPr>
        <w:widowControl w:val="0"/>
        <w:numPr>
          <w:ilvl w:val="0"/>
          <w:numId w:val="1"/>
        </w:numPr>
        <w:spacing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José Manzaneda</w:t>
      </w:r>
    </w:p>
    <w:p w:rsidR="00000000" w:rsidDel="00000000" w:rsidP="00000000" w:rsidRDefault="00000000" w:rsidRPr="00000000" w14:paraId="00000008">
      <w:pPr>
        <w:widowControl w:val="0"/>
        <w:spacing w:before="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BANCO AUDITADO: </w:t>
      </w:r>
      <w:r w:rsidDel="00000000" w:rsidR="00000000" w:rsidRPr="00000000">
        <w:rPr>
          <w:rFonts w:ascii="Cambria" w:cs="Cambria" w:eastAsia="Cambria" w:hAnsi="Cambria"/>
          <w:sz w:val="24"/>
          <w:szCs w:val="24"/>
          <w:rtl w:val="0"/>
        </w:rPr>
        <w:t xml:space="preserve">Banco Fondo de Bikini</w:t>
      </w:r>
    </w:p>
    <w:p w:rsidR="00000000" w:rsidDel="00000000" w:rsidP="00000000" w:rsidRDefault="00000000" w:rsidRPr="00000000" w14:paraId="00000009">
      <w:pPr>
        <w:spacing w:after="200" w:line="24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IDENTIFICACIÓN DE EVIDENCIAS EN BASE A LOS HALLAZGOS</w:t>
      </w:r>
      <w:r w:rsidDel="00000000" w:rsidR="00000000" w:rsidRPr="00000000">
        <w:rPr>
          <w:rtl w:val="0"/>
        </w:rPr>
      </w:r>
    </w:p>
    <w:p w:rsidR="00000000" w:rsidDel="00000000" w:rsidP="00000000" w:rsidRDefault="00000000" w:rsidRPr="00000000" w14:paraId="0000000A">
      <w:pPr>
        <w:spacing w:after="200" w:line="24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bl>
      <w:tblPr>
        <w:tblStyle w:val="Table1"/>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rHeight w:val="313.9599609375" w:hRule="atLeast"/>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B">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E">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F">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FB-H1</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3">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5">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7">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9">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PO1 Definir un plan estratégico de TI</w:t>
            </w:r>
            <w:r w:rsidDel="00000000" w:rsidR="00000000" w:rsidRPr="00000000">
              <w:rPr>
                <w:rtl w:val="0"/>
              </w:rPr>
            </w:r>
          </w:p>
          <w:p w:rsidR="00000000" w:rsidDel="00000000" w:rsidP="00000000" w:rsidRDefault="00000000" w:rsidRPr="00000000" w14:paraId="0000001A">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PO3 Determinar la dirección tecnológica</w:t>
            </w:r>
            <w:r w:rsidDel="00000000" w:rsidR="00000000" w:rsidRPr="00000000">
              <w:rPr>
                <w:rtl w:val="0"/>
              </w:rPr>
            </w:r>
          </w:p>
          <w:p w:rsidR="00000000" w:rsidDel="00000000" w:rsidP="00000000" w:rsidRDefault="00000000" w:rsidRPr="00000000" w14:paraId="0000001B">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PO7 Administrar recursos humanos de TI</w:t>
            </w:r>
            <w:r w:rsidDel="00000000" w:rsidR="00000000" w:rsidRPr="00000000">
              <w:rPr>
                <w:rtl w:val="0"/>
              </w:rPr>
            </w:r>
          </w:p>
          <w:p w:rsidR="00000000" w:rsidDel="00000000" w:rsidP="00000000" w:rsidRDefault="00000000" w:rsidRPr="00000000" w14:paraId="0000001C">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E">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0">
            <w:pPr>
              <w:spacing w:after="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2">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7">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8">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B">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PEI 2025-2027, Sección 2.3 — Valores institucionales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PEI declara los valores institucionales (integridad, innovación, confianza, calidez, responsabilidad y excelencia), pero no establece mecanismos de control ni consecuencias ante comportamientos contrarios a dichos valores. No existe instrumento que vincule estos valores con el comportamiento concreto del personal de 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F">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3 — Política Maestra de Seguridad de la Información</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La política maestra del PESI  exige compromiso con la confidencialidad, integridad y disponibilidad, y asigna responsabilidades a todos los empleados (valores diferentes a los establecidos en el PEI). Sin embargo, no contempla un Código de Conducta ni mecanismos disciplinarios formales vinculados al comportamiento ético, limitándose al ámbito de la seguridad de la información.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3">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4.6 — PRG-TI-06 Desarrollo de Talento TI; Manuales de Funciones (19 manuales)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programa de desarrollo de talento planifica capacitaciones y certificaciones, pero no incluye formación en ética ni en conducta profesional. Los manuales de funciones describen responsabilidades técnicas sin hacer referencia a un código de conducta o instrumento ético que rija el comportamiento del personal.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7">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Políticas (documentos 6.1, 6.2, 6.3), Sección 8 Incumplimientos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La sección de incumplimientos remite al Reglamento Interno de Trabajo y a la normativa interna para sanciones, pero no existe dicho reglamento específico para TI ni un Código de Ética documentado al que pueda remitirse. Esto deja sin sustento formal el régimen disciplinario del área. Por otro lado,el nombre de este reglamento no tiene consistencia entre documentos.</w:t>
            </w:r>
            <w:r w:rsidDel="00000000" w:rsidR="00000000" w:rsidRPr="00000000">
              <w:rPr>
                <w:rtl w:val="0"/>
              </w:rPr>
            </w:r>
          </w:p>
        </w:tc>
      </w:tr>
    </w:tbl>
    <w:p w:rsidR="00000000" w:rsidDel="00000000" w:rsidP="00000000" w:rsidRDefault="00000000" w:rsidRPr="00000000" w14:paraId="0000003A">
      <w:pPr>
        <w:spacing w:after="200" w:line="240" w:lineRule="auto"/>
        <w:jc w:val="both"/>
        <w:rPr>
          <w:rFonts w:ascii="Cambria" w:cs="Cambria" w:eastAsia="Cambria" w:hAnsi="Cambria"/>
        </w:rPr>
      </w:pPr>
      <w:r w:rsidDel="00000000" w:rsidR="00000000" w:rsidRPr="00000000">
        <w:rPr>
          <w:rtl w:val="0"/>
        </w:rPr>
      </w:r>
    </w:p>
    <w:tbl>
      <w:tblPr>
        <w:tblStyle w:val="Table2"/>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B">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E">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F">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FB-H2</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3">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5">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046">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8">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A">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PO1 Definir un plan estratégico de TI</w:t>
            </w:r>
            <w:r w:rsidDel="00000000" w:rsidR="00000000" w:rsidRPr="00000000">
              <w:rPr>
                <w:rtl w:val="0"/>
              </w:rPr>
            </w:r>
          </w:p>
          <w:p w:rsidR="00000000" w:rsidDel="00000000" w:rsidP="00000000" w:rsidRDefault="00000000" w:rsidRPr="00000000" w14:paraId="0000004B">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PO4 Definir los procesos, organización y relaciones de TI</w:t>
            </w:r>
            <w:r w:rsidDel="00000000" w:rsidR="00000000" w:rsidRPr="00000000">
              <w:rPr>
                <w:rtl w:val="0"/>
              </w:rPr>
            </w:r>
          </w:p>
          <w:p w:rsidR="00000000" w:rsidDel="00000000" w:rsidP="00000000" w:rsidRDefault="00000000" w:rsidRPr="00000000" w14:paraId="0000004C">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E">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0">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2">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7">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8">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B">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2.3 — Nivel de Madurez COBIT (EDM01 nivel 1-Inicial)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reconoce explícitamente que el proceso EDM01 (Gobierno de TI) se encuentra en nivel 1-Inicial con meta de alcanzar nivel 3-Establecido para 2027. Esto confirma que el Comité de Gobierno de TI no opera formalmente, ya que EDM01 es el proceso que establece y mantiene el marco de gobierno incluyendo los comités directivos.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F">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9.1 — Comité de Gobierno de TI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describe la composición prevista del Comité (Gerente General como presidente, Gerente de TI, Gerentes de área funcional y Auditoría con voz sin voto), pero no se encontró acta constitutiva, nombramiento formal de integrantes, calendario de sesiones ni evidencia de reuniones realizadas. El Comité existe en el papel pero no en la práctica.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3">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Organigrama del Área de TI — Banco Fondos de Bikini S.A.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organigrama muestra la estructura de las cinco subgerencias y la independencia de Auditoría, pero no refleja la existencia ni el nivel jerárquico del Comité de Gobierno de TI. No hay instancia de supervisión estratégica de TI representada en la estructura organizacional vigente.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7">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Políticas de Gestión Scrum, Sección 7.1 — Políticas de Gobierno y Gestión de TI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Las políticas establecen que el Comité de Gobierno de TI será responsable de supervisar la ejecución del PETI y reportar al Directorio. Sin embargo, al no existir el Comité constituido formalmente, estas políticas carecen del órgano ejecutor necesario para que el gobierno de TI funcione conforme a lo planificado.</w:t>
            </w:r>
            <w:r w:rsidDel="00000000" w:rsidR="00000000" w:rsidRPr="00000000">
              <w:rPr>
                <w:rtl w:val="0"/>
              </w:rPr>
            </w:r>
          </w:p>
        </w:tc>
      </w:tr>
    </w:tbl>
    <w:p w:rsidR="00000000" w:rsidDel="00000000" w:rsidP="00000000" w:rsidRDefault="00000000" w:rsidRPr="00000000" w14:paraId="0000006A">
      <w:pPr>
        <w:spacing w:after="200" w:line="240" w:lineRule="auto"/>
        <w:jc w:val="both"/>
        <w:rPr>
          <w:rFonts w:ascii="Cambria" w:cs="Cambria" w:eastAsia="Cambria" w:hAnsi="Cambria"/>
        </w:rPr>
      </w:pPr>
      <w:r w:rsidDel="00000000" w:rsidR="00000000" w:rsidRPr="00000000">
        <w:rPr>
          <w:rtl w:val="0"/>
        </w:rPr>
      </w:r>
    </w:p>
    <w:tbl>
      <w:tblPr>
        <w:tblStyle w:val="Table3"/>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B">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E">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F">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FB-H3</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3">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5">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7">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9">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PO7 Administrar recursos humanos de TI</w:t>
            </w:r>
            <w:r w:rsidDel="00000000" w:rsidR="00000000" w:rsidRPr="00000000">
              <w:rPr>
                <w:rtl w:val="0"/>
              </w:rPr>
            </w:r>
          </w:p>
          <w:p w:rsidR="00000000" w:rsidDel="00000000" w:rsidP="00000000" w:rsidRDefault="00000000" w:rsidRPr="00000000" w14:paraId="0000007A">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C">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E">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0">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4">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5">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2.3 — Nivel de Madurez COBIT (APO07 nivel 2-Gestionado)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reconoce APO07 en nivel 2-Gestionado con brecha hacia nivel 3-Establecido. La recomendación del propio documento es implementar un plan de desarrollo de competencias digitales, lo que evidencia la necesidad de implementar un plan de desarrollo de competencias, sin que se cuente con evidencia de su existencia o ejecución al momento de la auditoría.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4.6 — PRG-TI-06 Desarrollo de Talento TI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programa PRG-TI-06 planifica certificaciones técnicas (COBIT 2019, ITIL 4, CISSP, CEH) para el período 2025-2027, pero no se encontraron: listas de asistencia a capacitaciones, certificados obtenidos, cronograma de formación ejecutado ni registros de evaluaciones de desempeño realizadas. El programa existe en el PETI pero sin evidencia de ejecución.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1">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Manuales de Funciones del área de TI — 19 manuales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Los manuales describen las responsabilidades por cargo pero no incluyen: requisitos de formación continua, criterios de evaluación de desempeño, plan de carrera ni procedimiento de transferencia de conocimiento ante retiro del personal. El ciclo de vida del servidor (ingreso, permanencia, retiro) no está documentado en ningún manual ni procedimiento del área.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5">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7.4 — INI-SEG-04 Programa de Concienciación en Seguridad</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programa planifica capacitación anual para los 850 empleados y simulaciones de phishing trimestrales, con meta de tasa de clics ≤ 15% para 2025. No se encontraron registros de ejecución del programa, resultados de simulaciones ni certificados de e-learning del personal de TI, lo que evidencia que el plan existe pero no se ha ejecutado.</w:t>
            </w:r>
            <w:r w:rsidDel="00000000" w:rsidR="00000000" w:rsidRPr="00000000">
              <w:rPr>
                <w:rtl w:val="0"/>
              </w:rPr>
            </w:r>
          </w:p>
        </w:tc>
      </w:tr>
    </w:tbl>
    <w:p w:rsidR="00000000" w:rsidDel="00000000" w:rsidP="00000000" w:rsidRDefault="00000000" w:rsidRPr="00000000" w14:paraId="00000098">
      <w:pPr>
        <w:spacing w:after="200" w:line="240" w:lineRule="auto"/>
        <w:jc w:val="both"/>
        <w:rPr>
          <w:rFonts w:ascii="Cambria" w:cs="Cambria" w:eastAsia="Cambria" w:hAnsi="Cambria"/>
        </w:rPr>
      </w:pPr>
      <w:r w:rsidDel="00000000" w:rsidR="00000000" w:rsidRPr="00000000">
        <w:rPr>
          <w:rtl w:val="0"/>
        </w:rPr>
      </w:r>
    </w:p>
    <w:tbl>
      <w:tblPr>
        <w:tblStyle w:val="Table4"/>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9">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C">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D">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1">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3">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0A4">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8">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PO1 Definir un plan estratégico de TI</w:t>
            </w:r>
            <w:r w:rsidDel="00000000" w:rsidR="00000000" w:rsidRPr="00000000">
              <w:rPr>
                <w:rtl w:val="0"/>
              </w:rPr>
            </w:r>
          </w:p>
          <w:p w:rsidR="00000000" w:rsidDel="00000000" w:rsidP="00000000" w:rsidRDefault="00000000" w:rsidRPr="00000000" w14:paraId="000000A9">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PO2 Definir la arquitectura de la información</w:t>
            </w:r>
            <w:r w:rsidDel="00000000" w:rsidR="00000000" w:rsidRPr="00000000">
              <w:rPr>
                <w:rtl w:val="0"/>
              </w:rPr>
            </w:r>
          </w:p>
          <w:p w:rsidR="00000000" w:rsidDel="00000000" w:rsidP="00000000" w:rsidRDefault="00000000" w:rsidRPr="00000000" w14:paraId="000000AA">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C">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E">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0">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4">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5">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4.3 — Registro de Riesgos Críticos (R01-R08)</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PESI identifica 8 riesgos críticos con probabilidad, impacto y tratamiento definidos. Sin embargo, la meta de cobertura con tratamiento formal es del 80% para 2025, lo que indica que, al momento de la planificación, no se contemplaba una cobertura total de tratamiento, sin que se cuente con evidencia actualizada que confirme el nivel real de gestión de dichos riesgos.  No se encontraron registros de revisiones periódicas del registro ni evidencia de seguimiento de los tratamientos definidos.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1.2 — Marco COBIT (APO12 sin nivel de madurez asignado)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B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incluye APO12 (Gestión del Riesgo) en su marco de referencia COBIT, pero no le asigna nivel de madurez actual ni meta 2027, a diferencia de los demás procesos.Esto evidencia que el proceso APO12 no cuenta con una definición formal de madurez ni con evidencia clara de su implementación operativa dentro del marco COBIT adoptado.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1">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4.1 — Metodología de Gestión de Riesgos (ISO 27005)</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La metodología establece revisión y actualización anual del registro de riesgos. No se encontró evidencia de que dicha revisión anual se haya ejecutado ni documentado. La ausencia de registros de actualización indica que el proceso de gestión de riesgos opera como declaración de intención y no como práctica verificable lo que evidencia que el proceso no cuenta con soporte documental que permita verificar su ejecución periódica.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5">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2.3 — Nivel de Madurez COBIT (APO02 nivel 1-Inicial)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APO02 (Estrategia de TI) también está en nivel 1, lo que indica que la alineación entre los riesgos tecnológicos identificados y los objetivos estratégicos del banco no está operativamente asegurada lo que limita la capacidad de asegurar una alineación efectiva entre los riesgos tecnológicos y los objetivos estratégicos. . Sin un proceso de estrategia de TI funcionando, la gestión de riesgos carece del contexto necesario para priorizar y tratar adecuadamente los riesgos identificados.</w:t>
            </w:r>
            <w:r w:rsidDel="00000000" w:rsidR="00000000" w:rsidRPr="00000000">
              <w:rPr>
                <w:rtl w:val="0"/>
              </w:rPr>
            </w:r>
          </w:p>
        </w:tc>
      </w:tr>
    </w:tbl>
    <w:p w:rsidR="00000000" w:rsidDel="00000000" w:rsidP="00000000" w:rsidRDefault="00000000" w:rsidRPr="00000000" w14:paraId="000000C8">
      <w:pPr>
        <w:spacing w:after="200" w:line="240" w:lineRule="auto"/>
        <w:jc w:val="both"/>
        <w:rPr>
          <w:rFonts w:ascii="Cambria" w:cs="Cambria" w:eastAsia="Cambria" w:hAnsi="Cambria"/>
        </w:rPr>
      </w:pPr>
      <w:r w:rsidDel="00000000" w:rsidR="00000000" w:rsidRPr="00000000">
        <w:rPr>
          <w:rtl w:val="0"/>
        </w:rPr>
      </w:r>
    </w:p>
    <w:tbl>
      <w:tblPr>
        <w:tblStyle w:val="Table5"/>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9">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C">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CD">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FB-H5</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1">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3">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0D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6">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PO3 Determinar la dirección tecnológica</w:t>
            </w:r>
            <w:r w:rsidDel="00000000" w:rsidR="00000000" w:rsidRPr="00000000">
              <w:rPr>
                <w:rtl w:val="0"/>
              </w:rPr>
            </w:r>
          </w:p>
          <w:p w:rsidR="00000000" w:rsidDel="00000000" w:rsidP="00000000" w:rsidRDefault="00000000" w:rsidRPr="00000000" w14:paraId="000000D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B">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D">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DF">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1">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3">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4">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5">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7">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6 — SoA (control 8.16: Actividades de Monitoreo/SOC)</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control 8.16 del SoA indica que el SOC (Security Operations Center) está previsto para el segundo semestre de 2025. Sin embargo, no se encontró evidencia que confirme que el SOC se encuentre implementado o en funcionamiento al momento de la auditoría, lo que evidencia la ausencia de confirmación de un SOC formalmente establecido y de capacidades de monitoreo continuo estructurado.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B">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6 — SoA (control 8.5: Autenticación Segura / MFA)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control 8.5 establece como objetivo la implementación de MFA en sistemas críticos. La definición de este control como meta indica que su implementación se encontraba planificada o en proceso; sin embargo, no se encontró evidencia que permita confirmar su nivel de cobertura actual en los sistemas críticos.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F">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0">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PESI 2025-2027, Sección 6 — SoA (control 8.16: Actividades de Monitoreo/SOC)</w:t>
            </w:r>
          </w:p>
          <w:p w:rsidR="00000000" w:rsidDel="00000000" w:rsidP="00000000" w:rsidRDefault="00000000" w:rsidRPr="00000000" w14:paraId="000000F1">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Inventario de Activos TI — Hoja 3 (Software / SIEM)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En el inventario de activos se identifica la herramienta SIEM IBM QRadar con una capacidad licenciada de 50 eventos por segundo (EPS). Adicionalmente, en la documentación del PESI se señala la necesidad de contar con capacidades avanzadas de correlación de eventos. Esto evidencia que, si bien existe una herramienta SIEM, su capacidad y/o configuración actual serían limitadas en relación con los requerimientos de monitoreo de seguridad definidos por la propia organización, sin que se cuente con evidencia que permita confirmar el uso de funcionalidades avanzadas de detección. </w:t>
            </w:r>
            <w:r w:rsidDel="00000000" w:rsidR="00000000" w:rsidRPr="00000000">
              <w:rPr>
                <w:rtl w:val="0"/>
              </w:rPr>
            </w:r>
          </w:p>
        </w:tc>
      </w:tr>
    </w:tbl>
    <w:p w:rsidR="00000000" w:rsidDel="00000000" w:rsidP="00000000" w:rsidRDefault="00000000" w:rsidRPr="00000000" w14:paraId="000000F4">
      <w:pPr>
        <w:spacing w:after="200" w:line="240" w:lineRule="auto"/>
        <w:jc w:val="both"/>
        <w:rPr>
          <w:rFonts w:ascii="Cambria" w:cs="Cambria" w:eastAsia="Cambria" w:hAnsi="Cambria"/>
        </w:rPr>
      </w:pPr>
      <w:r w:rsidDel="00000000" w:rsidR="00000000" w:rsidRPr="00000000">
        <w:rPr>
          <w:rtl w:val="0"/>
        </w:rPr>
      </w:r>
    </w:p>
    <w:tbl>
      <w:tblPr>
        <w:tblStyle w:val="Table6"/>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5">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8">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9">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FB-H6</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D">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FF">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100">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2">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4">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PO3 Determinar la dirección tecnológica</w:t>
            </w:r>
            <w:r w:rsidDel="00000000" w:rsidR="00000000" w:rsidRPr="00000000">
              <w:rPr>
                <w:rtl w:val="0"/>
              </w:rPr>
            </w:r>
          </w:p>
          <w:p w:rsidR="00000000" w:rsidDel="00000000" w:rsidP="00000000" w:rsidRDefault="00000000" w:rsidRPr="00000000" w14:paraId="00000105">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PO4 Definir los procesos, organización y relaciones de TI</w:t>
            </w:r>
            <w:r w:rsidDel="00000000" w:rsidR="00000000" w:rsidRPr="00000000">
              <w:rPr>
                <w:rtl w:val="0"/>
              </w:rPr>
            </w:r>
          </w:p>
          <w:p w:rsidR="00000000" w:rsidDel="00000000" w:rsidP="00000000" w:rsidRDefault="00000000" w:rsidRPr="00000000" w14:paraId="00000106">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8">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A">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C">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0">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1">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2">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5">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2.3 — Nivel de Madurez COBIT (BAI06 nivel 2-Gestionado)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reconoce BAI06 (Gestión de Cambios) en nivel 2-Gestionado con brecha hacia nivel 4-Predecible. En el nivel 2, los cambios se gestionan de forma reactiva; la ausencia de análisis de impacto sobre el entorno externo confirma que el proceso no ha madurado para anticipar ni gestionar cambios normativos o arquitectónicos de manera controlada.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Inventario de Activos, Hoja 5 — Procedimiento de Gestión de Cambios v2.4</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procedimiento establece un CAB (Change Advisory Board) semanal para cambios planificados, con aprobación especial del CISO para cambios de emergencia. Sin embargo, el documento no incluye ninguna etapa de análisis de impacto sobre controles de seguridad existentes, ni contempla cambios del entorno externo (regulaciones ASFI, nuevas normativas, cambios de arquitectura) como disparadores de revisión.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9 — Hoja de Ruta de Seguridad 2025-2027</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La hoja de ruta del PESI incluye el cumplimiento de PCI DSS como iniciativa paralela al SGSI, con etapas de evaluación, remediación y certificación. No existe un mecanismo documentado que vincule los cambios regulatorios externos (ej. nuevas circulares ASFI) con una revisión automática de los controles vigentes definidos en el SoA.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1">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4.1 — PRG-TI-01 Modernización del Core Bancario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programa de modernización del Core Bancario implica cambios arquitectónicos significativos (migración a microservicios, APIs RESTful), pero no se encontró evidencia de un proceso de evaluación de impacto sobre los controles de seguridad existentes antes o durante la ejecución del cambio. Esto representa un riesgo concreto de que los controles actuales queden desactualizados ante la nueva arquitectura.</w:t>
            </w:r>
            <w:r w:rsidDel="00000000" w:rsidR="00000000" w:rsidRPr="00000000">
              <w:rPr>
                <w:rtl w:val="0"/>
              </w:rPr>
            </w:r>
          </w:p>
        </w:tc>
      </w:tr>
    </w:tbl>
    <w:p w:rsidR="00000000" w:rsidDel="00000000" w:rsidP="00000000" w:rsidRDefault="00000000" w:rsidRPr="00000000" w14:paraId="00000124">
      <w:pPr>
        <w:spacing w:after="20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5">
      <w:pPr>
        <w:spacing w:after="200" w:line="240" w:lineRule="auto"/>
        <w:jc w:val="both"/>
        <w:rPr>
          <w:rFonts w:ascii="Cambria" w:cs="Cambria" w:eastAsia="Cambria" w:hAnsi="Cambria"/>
        </w:rPr>
      </w:pPr>
      <w:r w:rsidDel="00000000" w:rsidR="00000000" w:rsidRPr="00000000">
        <w:rPr>
          <w:rtl w:val="0"/>
        </w:rPr>
      </w:r>
    </w:p>
    <w:tbl>
      <w:tblPr>
        <w:tblStyle w:val="Table7"/>
        <w:tblW w:w="8712.0" w:type="dxa"/>
        <w:jc w:val="left"/>
        <w:tblLayout w:type="fixed"/>
        <w:tblLook w:val="0400"/>
      </w:tblPr>
      <w:tblGrid>
        <w:gridCol w:w="569"/>
        <w:gridCol w:w="1973"/>
        <w:gridCol w:w="4934"/>
        <w:gridCol w:w="1236"/>
        <w:tblGridChange w:id="0">
          <w:tblGrid>
            <w:gridCol w:w="569"/>
            <w:gridCol w:w="1973"/>
            <w:gridCol w:w="4934"/>
            <w:gridCol w:w="1236"/>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6">
            <w:pPr>
              <w:spacing w:after="200" w:line="240" w:lineRule="auto"/>
              <w:jc w:val="both"/>
              <w:rPr>
                <w:rFonts w:ascii="Cambria" w:cs="Cambria" w:eastAsia="Cambria" w:hAnsi="Cambria"/>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9">
            <w:pPr>
              <w:spacing w:after="200" w:line="240" w:lineRule="auto"/>
              <w:jc w:val="both"/>
              <w:rPr>
                <w:rFonts w:ascii="Cambria" w:cs="Cambria" w:eastAsia="Cambria" w:hAnsi="Cambria"/>
                <w:b w:val="1"/>
                <w:bCs w:val="1"/>
                <w:sz w:val="21"/>
                <w:szCs w:val="21"/>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A">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Guía de Pruebas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FB-H7</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E">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0">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131">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3">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5">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PO1 Definir un plan estratégico de TI</w:t>
            </w:r>
            <w:r w:rsidDel="00000000" w:rsidR="00000000" w:rsidRPr="00000000">
              <w:rPr>
                <w:rtl w:val="0"/>
              </w:rPr>
            </w:r>
          </w:p>
          <w:p w:rsidR="00000000" w:rsidDel="00000000" w:rsidP="00000000" w:rsidRDefault="00000000" w:rsidRPr="00000000" w14:paraId="00000136">
            <w:pPr>
              <w:spacing w:after="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8">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A">
            <w:pPr>
              <w:spacing w:after="160" w:line="278.0000000000000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C">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R7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0">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1">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Evidencia</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2">
            <w:pPr>
              <w:spacing w:after="200" w:line="240" w:lineRule="auto"/>
              <w:jc w:val="both"/>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4">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5">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2.3 — Nivel de Madurez COBIT (MEA01 nivel 1-Inicial)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6">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reconoce MEA01 (Monitoreo y Evaluación) en nivel 1-Inicial con meta de nivel 3-Establecido para 2027. La brecha implica que no existe un proceso formal de monitoreo del desempeño de TI: no hay responsables asignados para la medición de indicadores, ni frecuencia definida de revisión, ni herramientas configuradas para generar reportes automáticos.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8">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9">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PETI 2025-2027, Sección 6 — Indicadores de Desempeño de TI (KPIs)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A">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PETI define KPIs con fórmulas y metas para 2025, 2026 y 2027 en cada objetivo estratégico. No se encontraron: reportes de medición generados, dashboards implementados, informes trimestrales presentados al Comité de TI ni reportes semestrales al Directorio. Los indicadores existen formalmente, pero no se miden ni comunican.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C">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D">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Inventario de Activos Tecnológicos, Hoja 4 — Datos de Rendimiento (Dynatrace APM)</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4E">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inventario registra métricas operacionales como disponibilidad del Core Bancario (99.92%) y tiempos de respuesta medidos por Dynatrace. Sin embargo, estos datos operacionales no están integrados en un reporte formal de desempeño de TI para la dirección. La existencia de métricas técnicas no sustituye la ausencia de un proceso de monitoreo y comunicación hacia las instancias de gobierno.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50">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51">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PESI 2025-2027, Sección 8 — KPIs de Seguridad; Sección 11.2 — Ciclo PDCA del SGSI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52">
            <w:pPr>
              <w:spacing w:after="200" w:line="240" w:lineRule="auto"/>
              <w:jc w:val="both"/>
              <w:rPr>
                <w:rFonts w:ascii="Cambria" w:cs="Cambria" w:eastAsia="Cambria" w:hAnsi="Cambria"/>
              </w:rPr>
            </w:pPr>
            <w:r w:rsidDel="00000000" w:rsidR="00000000" w:rsidRPr="00000000">
              <w:rPr>
                <w:rFonts w:ascii="Cambria" w:cs="Cambria" w:eastAsia="Cambria" w:hAnsi="Cambria"/>
                <w:sz w:val="21"/>
                <w:szCs w:val="21"/>
                <w:rtl w:val="0"/>
              </w:rPr>
              <w:t xml:space="preserve">El PESI define KPIs de seguridad (MTTD, MTTR, incidentes críticos, cobertura de capacitación) y establece un ciclo PDCA con verificación semestral. No se encontraron registros de ejecución de la fase de verificación (VERIFICAR), ni informes de auditoría interna del SGSI, lo que confirma que el ciclo de mejora continua no está operando en la práctica.</w:t>
            </w:r>
            <w:r w:rsidDel="00000000" w:rsidR="00000000" w:rsidRPr="00000000">
              <w:rPr>
                <w:rtl w:val="0"/>
              </w:rPr>
            </w:r>
          </w:p>
        </w:tc>
      </w:tr>
    </w:tbl>
    <w:p w:rsidR="00000000" w:rsidDel="00000000" w:rsidP="00000000" w:rsidRDefault="00000000" w:rsidRPr="00000000" w14:paraId="00000154">
      <w:pPr>
        <w:spacing w:after="20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5">
      <w:pPr>
        <w:jc w:val="both"/>
        <w:rPr>
          <w:rFonts w:ascii="Cambria" w:cs="Cambria" w:eastAsia="Cambria" w:hAnsi="Cambria"/>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tabs>
        <w:tab w:val="center" w:leader="none" w:pos="4252"/>
        <w:tab w:val="right" w:leader="none" w:pos="8504"/>
      </w:tabs>
      <w:spacing w:line="240" w:lineRule="auto"/>
      <w:rPr/>
    </w:pPr>
    <w:r w:rsidDel="00000000" w:rsidR="00000000" w:rsidRPr="00000000">
      <w:rPr>
        <w:rFonts w:ascii="Calibri" w:cs="Calibri" w:eastAsia="Calibri" w:hAnsi="Calibri"/>
        <w:rtl w:val="0"/>
      </w:rPr>
      <w:t xml:space="preserve">SIS 324 Auditoría de Sistemas </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