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代码质量检查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移动端源码通过模板编译、接口冒烟测试、HBuilderX App 编译和真机连通性检查，未发现阻断提交的问题。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81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7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模板编译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node tools/check_vue.js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28/28 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接口冒烟测试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tools/smoke_test.ps1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23/23 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后端构建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mvn -B -DskipTests package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SUCCESS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 编译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HBuilderX 运行到 App 基座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app-plus 产物已生成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真机网络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手机访问 /api/health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status: UP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风险扫描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TODO/FIXME/debugger/console.log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未发现</w:t>
            </w:r>
          </w:p>
        </w:tc>
      </w:tr>
    </w:tbl>
    <w:p>
      <w:pPr>
        <w:spacing w:after="40"/>
      </w:pPr>
    </w:p>
    <w:p>
      <w:pPr>
        <w:pStyle w:val="Heading2"/>
      </w:pPr>
      <w:r>
        <w:t>代码结构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70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pages 下按登录、报告、分析、预测和个人中心拆分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公共组件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顶部栏、筛选栏、页签、底部导航、分区标题、折线图和环形图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统一携带 Token、处理 401 和业务错误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MobileApiController 统一返回 code/message/data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AnalyticsService、ForecastService、InvestmentService</w:t>
            </w:r>
          </w:p>
        </w:tc>
      </w:tr>
    </w:tbl>
    <w:p>
      <w:pPr>
        <w:spacing w:after="40"/>
      </w:pPr>
    </w:p>
    <w:p>
      <w:pPr>
        <w:pStyle w:val="Heading2"/>
      </w:pPr>
      <w:r>
        <w:t>已处理问题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90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报表页切换后趋势图不显示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监听数据变化并在页面进入时重绘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账龄占比包含未到期金额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按已到期区间合计计算占比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速动比率与效果图相差 0.01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按页面口径保留两位小数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电脑 IP 变化导致真机失效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登录页支持修改服务器地址并保存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ADB 版本冲突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自动优先使用 HBuilderX 自带 ADB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JSP /static 资源 404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增加静态资源映射</w:t>
            </w:r>
          </w:p>
        </w:tc>
      </w:tr>
    </w:tbl>
    <w:p>
      <w:pPr>
        <w:spacing w:after="40"/>
      </w:pPr>
    </w:p>
    <w:p>
      <w:pPr>
        <w:pStyle w:val="Heading2"/>
      </w:pPr>
      <w:r>
        <w:t>剩余改进项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75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API_BASE 保留默认值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正式环境改为配置中心或构建变量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AnalyticsService 使用 Map 接收 JDBC 结果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后续改为强类型 DTO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移动端 Token 存储在内存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生产环境改为 Redis 持久化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UI 自动化覆盖不足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 Appium 关键路径用例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以上问题不影响当前实训阶段的演示与验收。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