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PortfolioApp — Project Overview</w:t>
      </w:r>
    </w:p>
    <w:p>
      <w:pPr>
        <w:jc w:val="center"/>
      </w:pPr>
      <w:r>
        <w:rPr>
          <w:i/>
        </w:rPr>
        <w:t>A stock screener and IBKR portfolio tracker</w:t>
      </w:r>
    </w:p>
    <w:p>
      <w:pPr>
        <w:pStyle w:val="Heading1"/>
      </w:pPr>
      <w:r>
        <w:t>1. What This Project Is</w:t>
      </w:r>
    </w:p>
    <w:p>
      <w:r>
        <w:t>PortfolioApp is a personal investment research and portfolio-tracking system built around Interactive Brokers (IBKR). A Python backend pulls market data from several sources (Yahoo Finance, IBKR's TWS API, SEC EDGAR, FINRA, StockTwits), scores the whole tracked stock universe on a weighted composite of valuation, quality, growth, and sentiment factors, and tracks a live IBKR account (positions, trades, P&amp;L, account performance) in real time. A React/Vite frontend presents all of this across thirteen tabs, from a ranked screener table down to a rules-driven Long/Short recommendation engine with an embedded chat assistant.</w:t>
      </w:r>
    </w:p>
    <w:p>
      <w:r>
        <w:t>The two halves of the system are independent processes: main.py owns the on-demand download/scoring pipeline (run manually or on a schedule), and ib_server.py is a long-running local server that holds the live IB Gateway connection open, streaming prices/positions/account data to the frontend over Server-Sent Events and serving the on-disk datasets the pipeline produces.</w:t>
      </w:r>
    </w:p>
    <w:p>
      <w:pPr>
        <w:pStyle w:val="Heading1"/>
      </w:pPr>
      <w:r>
        <w:t>2. Data Pipeline (Python Backend)</w:t>
      </w:r>
    </w:p>
    <w:p>
      <w:r>
        <w:t>main.py is the entry point for every data download and scoring run, invoked as python main.py &lt;mode&gt;. Each mode is scoped to exactly what it needs to refresh, so a small update (e.g. backfilling one factor, or re-scoring after a formula change) doesn't require re-running the whole pipeline.</w:t>
      </w:r>
    </w:p>
    <w:p>
      <w:pPr>
        <w:pStyle w:val="ListBullet"/>
      </w:pPr>
      <w:r>
        <w:t>all / prices — the full screener pipeline: forward P/E and related valuation metrics from Yahoo Finance, momentum from IB Gateway's own daily/hourly bars (yfinance as fallback), and the composite score/rating for every active ticker in symbols.json.</w:t>
      </w:r>
    </w:p>
    <w:p>
      <w:pPr>
        <w:pStyle w:val="ListBullet"/>
      </w:pPr>
      <w:r>
        <w:t>rescore — rebuilds the score/rating columns from data already on disk, zero network calls, for when only the scoring formula itself changed.</w:t>
      </w:r>
    </w:p>
    <w:p>
      <w:pPr>
        <w:pStyle w:val="ListBullet"/>
      </w:pPr>
      <w:r>
        <w:t>form4 / xbrl / 13f / shortinterest — SEC EDGAR insider transactions, multi-year XBRL financial history, quarterly 13F institutional holdings, and FINRA short interest, each a separate, independently-rate-limited download.</w:t>
      </w:r>
    </w:p>
    <w:p>
      <w:pPr>
        <w:pStyle w:val="ListBullet"/>
      </w:pPr>
      <w:r>
        <w:t>themes — zero-shot classification (a local Hugging Face model, no API key) of each company's business description against a fixed theme taxonomy, for the Themes tab's exposure breakdown.</w:t>
      </w:r>
    </w:p>
    <w:p>
      <w:pPr>
        <w:pStyle w:val="ListBullet"/>
      </w:pPr>
      <w:r>
        <w:t>recommendations — rebuilds the Recommendations tab's underlying dataset from everything already on disk (score, momentum, news, insiders, institutions).</w:t>
      </w:r>
    </w:p>
    <w:p>
      <w:pPr>
        <w:pStyle w:val="ListBullet"/>
      </w:pPr>
      <w:r>
        <w:t>simulations — an EPS-driven Monte Carlo price simulation prototype (see Section 4 below).</w:t>
      </w:r>
    </w:p>
    <w:p>
      <w:pPr>
        <w:pStyle w:val="ListBullet"/>
      </w:pPr>
      <w:r>
        <w:t>epsvol / revgrowth / grossmargin / insiderown — targeted backfills for a single scoring factor, without redoing the whole valuation/momentum fetch.</w:t>
      </w:r>
    </w:p>
    <w:p>
      <w:r>
        <w:t>ib_server.py is the live counterpart: it holds the IB Gateway TWS API connection open, streams live prices/positions/account snapshots to the frontend over SSE, polls IBKR's Flex Web Service for account performance and trade fills, fetches and FinBERT-scores news headlines, and exposes the same download jobs main.py offers as "Run" buttons on the Dataset tab, so most of the pipeline can be triggered without a terminal.</w:t>
      </w:r>
    </w:p>
    <w:p>
      <w:pPr>
        <w:pStyle w:val="Heading1"/>
      </w:pPr>
      <w:r>
        <w:t>3. Scoring Methodology</w:t>
      </w:r>
    </w:p>
    <w:p>
      <w:r>
        <w:t>Every active ticker is scored on a weighted composite of independent factors (lower composite score is better), computed in modules/scoring.py. The score then buckets into a forced Strong Buy/Buy/Hold/Sell/Strong Sell distribution shaped like Zacks Rank (the best/worst 6% of the ranked universe land in the Strong tiers), independent of Yahoo Finance's own raw analyst consensus.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Factor</w:t>
            </w:r>
          </w:p>
        </w:tc>
        <w:tc>
          <w:tcPr>
            <w:tcW w:type="dxa" w:w="1728"/>
          </w:tcPr>
          <w:p>
            <w:r>
              <w:t>Standard</w:t>
            </w:r>
          </w:p>
        </w:tc>
        <w:tc>
          <w:tcPr>
            <w:tcW w:type="dxa" w:w="1728"/>
          </w:tcPr>
          <w:p>
            <w:r>
              <w:t>Financials</w:t>
            </w:r>
          </w:p>
        </w:tc>
        <w:tc>
          <w:tcPr>
            <w:tcW w:type="dxa" w:w="1728"/>
          </w:tcPr>
          <w:p>
            <w:r>
              <w:t>Utilities</w:t>
            </w:r>
          </w:p>
        </w:tc>
        <w:tc>
          <w:tcPr>
            <w:tcW w:type="dxa" w:w="1728"/>
          </w:tcPr>
          <w:p>
            <w:r>
              <w:t>Real Estate</w:t>
            </w:r>
          </w:p>
        </w:tc>
      </w:tr>
      <w:tr>
        <w:tc>
          <w:tcPr>
            <w:tcW w:type="dxa" w:w="1728"/>
          </w:tcPr>
          <w:p>
            <w:r>
              <w:t>Low forward P/E</w:t>
            </w:r>
          </w:p>
        </w:tc>
        <w:tc>
          <w:tcPr>
            <w:tcW w:type="dxa" w:w="1728"/>
          </w:tcPr>
          <w:p>
            <w:r>
              <w:t>3%</w:t>
            </w:r>
          </w:p>
        </w:tc>
        <w:tc>
          <w:tcPr>
            <w:tcW w:type="dxa" w:w="1728"/>
          </w:tcPr>
          <w:p>
            <w:r>
              <w:t>3%</w:t>
            </w:r>
          </w:p>
        </w:tc>
        <w:tc>
          <w:tcPr>
            <w:tcW w:type="dxa" w:w="1728"/>
          </w:tcPr>
          <w:p>
            <w:r>
              <w:t>3%</w:t>
            </w:r>
          </w:p>
        </w:tc>
        <w:tc>
          <w:tcPr>
            <w:tcW w:type="dxa" w:w="1728"/>
          </w:tcPr>
          <w:p>
            <w:r>
              <w:t>3%</w:t>
            </w:r>
          </w:p>
        </w:tc>
      </w:tr>
      <w:tr>
        <w:tc>
          <w:tcPr>
            <w:tcW w:type="dxa" w:w="1728"/>
          </w:tcPr>
          <w:p>
            <w:r>
              <w:t>Low forward P/E vs. sector average</w:t>
            </w:r>
          </w:p>
        </w:tc>
        <w:tc>
          <w:tcPr>
            <w:tcW w:type="dxa" w:w="1728"/>
          </w:tcPr>
          <w:p>
            <w:r>
              <w:t>5%</w:t>
            </w:r>
          </w:p>
        </w:tc>
        <w:tc>
          <w:tcPr>
            <w:tcW w:type="dxa" w:w="1728"/>
          </w:tcPr>
          <w:p>
            <w:r>
              <w:t>12%</w:t>
            </w:r>
          </w:p>
        </w:tc>
        <w:tc>
          <w:tcPr>
            <w:tcW w:type="dxa" w:w="1728"/>
          </w:tcPr>
          <w:p>
            <w:r>
              <w:t>11%</w:t>
            </w:r>
          </w:p>
        </w:tc>
        <w:tc>
          <w:tcPr>
            <w:tcW w:type="dxa" w:w="1728"/>
          </w:tcPr>
          <w:p>
            <w:r>
              <w:t>7%</w:t>
            </w:r>
          </w:p>
        </w:tc>
      </w:tr>
      <w:tr>
        <w:tc>
          <w:tcPr>
            <w:tcW w:type="dxa" w:w="1728"/>
          </w:tcPr>
          <w:p>
            <w:r>
              <w:t>Low yearly EPS volatility</w:t>
            </w:r>
          </w:p>
        </w:tc>
        <w:tc>
          <w:tcPr>
            <w:tcW w:type="dxa" w:w="1728"/>
          </w:tcPr>
          <w:p>
            <w:r>
              <w:t>5%</w:t>
            </w:r>
          </w:p>
        </w:tc>
        <w:tc>
          <w:tcPr>
            <w:tcW w:type="dxa" w:w="1728"/>
          </w:tcPr>
          <w:p>
            <w:r>
              <w:t>5%</w:t>
            </w:r>
          </w:p>
        </w:tc>
        <w:tc>
          <w:tcPr>
            <w:tcW w:type="dxa" w:w="1728"/>
          </w:tcPr>
          <w:p>
            <w:r>
              <w:t>5%</w:t>
            </w:r>
          </w:p>
        </w:tc>
        <w:tc>
          <w:tcPr>
            <w:tcW w:type="dxa" w:w="1728"/>
          </w:tcPr>
          <w:p>
            <w:r>
              <w:t>5%</w:t>
            </w:r>
          </w:p>
        </w:tc>
      </w:tr>
      <w:tr>
        <w:tc>
          <w:tcPr>
            <w:tcW w:type="dxa" w:w="1728"/>
          </w:tcPr>
          <w:p>
            <w:r>
              <w:t>Low price/FCF (negative/missing ranked worst)</w:t>
            </w:r>
          </w:p>
        </w:tc>
        <w:tc>
          <w:tcPr>
            <w:tcW w:type="dxa" w:w="1728"/>
          </w:tcPr>
          <w:p>
            <w:r>
              <w:t>5%</w:t>
            </w:r>
          </w:p>
        </w:tc>
        <w:tc>
          <w:tcPr>
            <w:tcW w:type="dxa" w:w="1728"/>
          </w:tcPr>
          <w:p>
            <w:r>
              <w:t>0%</w:t>
            </w:r>
          </w:p>
        </w:tc>
        <w:tc>
          <w:tcPr>
            <w:tcW w:type="dxa" w:w="1728"/>
          </w:tcPr>
          <w:p>
            <w:r>
              <w:t>0%</w:t>
            </w:r>
          </w:p>
        </w:tc>
        <w:tc>
          <w:tcPr>
            <w:tcW w:type="dxa" w:w="1728"/>
          </w:tcPr>
          <w:p>
            <w:r>
              <w:t>5%</w:t>
            </w:r>
          </w:p>
        </w:tc>
      </w:tr>
      <w:tr>
        <w:tc>
          <w:tcPr>
            <w:tcW w:type="dxa" w:w="1728"/>
          </w:tcPr>
          <w:p>
            <w:r>
              <w:t>Low EV/EBITDA (negative EBITDA ranked worst)</w:t>
            </w:r>
          </w:p>
        </w:tc>
        <w:tc>
          <w:tcPr>
            <w:tcW w:type="dxa" w:w="1728"/>
          </w:tcPr>
          <w:p>
            <w:r>
              <w:t>4%</w:t>
            </w:r>
          </w:p>
        </w:tc>
        <w:tc>
          <w:tcPr>
            <w:tcW w:type="dxa" w:w="1728"/>
          </w:tcPr>
          <w:p>
            <w:r>
              <w:t>0%</w:t>
            </w:r>
          </w:p>
        </w:tc>
        <w:tc>
          <w:tcPr>
            <w:tcW w:type="dxa" w:w="1728"/>
          </w:tcPr>
          <w:p>
            <w:r>
              <w:t>5%</w:t>
            </w:r>
          </w:p>
        </w:tc>
        <w:tc>
          <w:tcPr>
            <w:tcW w:type="dxa" w:w="1728"/>
          </w:tcPr>
          <w:p>
            <w:r>
              <w:t>0%</w:t>
            </w:r>
          </w:p>
        </w:tc>
      </w:tr>
      <w:tr>
        <w:tc>
          <w:tcPr>
            <w:tcW w:type="dxa" w:w="1728"/>
          </w:tcPr>
          <w:p>
            <w:r>
              <w:t>High daily-timeframe momentum (MFI/RSI)</w:t>
            </w:r>
          </w:p>
        </w:tc>
        <w:tc>
          <w:tcPr>
            <w:tcW w:type="dxa" w:w="1728"/>
          </w:tcPr>
          <w:p>
            <w:r>
              <w:t>5%</w:t>
            </w:r>
          </w:p>
        </w:tc>
        <w:tc>
          <w:tcPr>
            <w:tcW w:type="dxa" w:w="1728"/>
          </w:tcPr>
          <w:p>
            <w:r>
              <w:t>5%</w:t>
            </w:r>
          </w:p>
        </w:tc>
        <w:tc>
          <w:tcPr>
            <w:tcW w:type="dxa" w:w="1728"/>
          </w:tcPr>
          <w:p>
            <w:r>
              <w:t>5%</w:t>
            </w:r>
          </w:p>
        </w:tc>
        <w:tc>
          <w:tcPr>
            <w:tcW w:type="dxa" w:w="1728"/>
          </w:tcPr>
          <w:p>
            <w:r>
              <w:t>5%</w:t>
            </w:r>
          </w:p>
        </w:tc>
      </w:tr>
      <w:tr>
        <w:tc>
          <w:tcPr>
            <w:tcW w:type="dxa" w:w="1728"/>
          </w:tcPr>
          <w:p>
            <w:r>
              <w:t>High hourly-timeframe mean reversion (MFI)</w:t>
            </w:r>
          </w:p>
        </w:tc>
        <w:tc>
          <w:tcPr>
            <w:tcW w:type="dxa" w:w="1728"/>
          </w:tcPr>
          <w:p>
            <w:r>
              <w:t>5%</w:t>
            </w:r>
          </w:p>
        </w:tc>
        <w:tc>
          <w:tcPr>
            <w:tcW w:type="dxa" w:w="1728"/>
          </w:tcPr>
          <w:p>
            <w:r>
              <w:t>5%</w:t>
            </w:r>
          </w:p>
        </w:tc>
        <w:tc>
          <w:tcPr>
            <w:tcW w:type="dxa" w:w="1728"/>
          </w:tcPr>
          <w:p>
            <w:r>
              <w:t>5%</w:t>
            </w:r>
          </w:p>
        </w:tc>
        <w:tc>
          <w:tcPr>
            <w:tcW w:type="dxa" w:w="1728"/>
          </w:tcPr>
          <w:p>
            <w:r>
              <w:t>5%</w:t>
            </w:r>
          </w:p>
        </w:tc>
      </w:tr>
      <w:tr>
        <w:tc>
          <w:tcPr>
            <w:tcW w:type="dxa" w:w="1728"/>
          </w:tcPr>
          <w:p>
            <w:r>
              <w:t>EPS-estimate revision trend</w:t>
            </w:r>
          </w:p>
        </w:tc>
        <w:tc>
          <w:tcPr>
            <w:tcW w:type="dxa" w:w="1728"/>
          </w:tcPr>
          <w:p>
            <w:r>
              <w:t>5%</w:t>
            </w:r>
          </w:p>
        </w:tc>
        <w:tc>
          <w:tcPr>
            <w:tcW w:type="dxa" w:w="1728"/>
          </w:tcPr>
          <w:p>
            <w:r>
              <w:t>15%</w:t>
            </w:r>
          </w:p>
        </w:tc>
        <w:tc>
          <w:tcPr>
            <w:tcW w:type="dxa" w:w="1728"/>
          </w:tcPr>
          <w:p>
            <w:r>
              <w:t>4%</w:t>
            </w:r>
          </w:p>
        </w:tc>
        <w:tc>
          <w:tcPr>
            <w:tcW w:type="dxa" w:w="1728"/>
          </w:tcPr>
          <w:p>
            <w:r>
              <w:t>10%</w:t>
            </w:r>
          </w:p>
        </w:tc>
      </w:tr>
      <w:tr>
        <w:tc>
          <w:tcPr>
            <w:tcW w:type="dxa" w:w="1728"/>
          </w:tcPr>
          <w:p>
            <w:r>
              <w:t>Analyst conviction</w:t>
            </w:r>
          </w:p>
        </w:tc>
        <w:tc>
          <w:tcPr>
            <w:tcW w:type="dxa" w:w="1728"/>
          </w:tcPr>
          <w:p>
            <w:r>
              <w:t>5%</w:t>
            </w:r>
          </w:p>
        </w:tc>
        <w:tc>
          <w:tcPr>
            <w:tcW w:type="dxa" w:w="1728"/>
          </w:tcPr>
          <w:p>
            <w:r>
              <w:t>5%</w:t>
            </w:r>
          </w:p>
        </w:tc>
        <w:tc>
          <w:tcPr>
            <w:tcW w:type="dxa" w:w="1728"/>
          </w:tcPr>
          <w:p>
            <w:r>
              <w:t>5%</w:t>
            </w:r>
          </w:p>
        </w:tc>
        <w:tc>
          <w:tcPr>
            <w:tcW w:type="dxa" w:w="1728"/>
          </w:tcPr>
          <w:p>
            <w:r>
              <w:t>5%</w:t>
            </w:r>
          </w:p>
        </w:tc>
      </w:tr>
      <w:tr>
        <w:tc>
          <w:tcPr>
            <w:tcW w:type="dxa" w:w="1728"/>
          </w:tcPr>
          <w:p>
            <w:r>
              <w:t>Simulations (Monte Carlo forecastReturn)</w:t>
            </w:r>
          </w:p>
        </w:tc>
        <w:tc>
          <w:tcPr>
            <w:tcW w:type="dxa" w:w="1728"/>
          </w:tcPr>
          <w:p>
            <w:r>
              <w:t>10%</w:t>
            </w:r>
          </w:p>
        </w:tc>
        <w:tc>
          <w:tcPr>
            <w:tcW w:type="dxa" w:w="1728"/>
          </w:tcPr>
          <w:p>
            <w:r>
              <w:t>10%</w:t>
            </w:r>
          </w:p>
        </w:tc>
        <w:tc>
          <w:tcPr>
            <w:tcW w:type="dxa" w:w="1728"/>
          </w:tcPr>
          <w:p>
            <w:r>
              <w:t>10%</w:t>
            </w:r>
          </w:p>
        </w:tc>
        <w:tc>
          <w:tcPr>
            <w:tcW w:type="dxa" w:w="1728"/>
          </w:tcPr>
          <w:p>
            <w:r>
              <w:t>10%</w:t>
            </w:r>
          </w:p>
        </w:tc>
      </w:tr>
      <w:tr>
        <w:tc>
          <w:tcPr>
            <w:tcW w:type="dxa" w:w="1728"/>
          </w:tcPr>
          <w:p>
            <w:r>
              <w:t>Forward P/E vs. trailing P/E</w:t>
            </w:r>
          </w:p>
        </w:tc>
        <w:tc>
          <w:tcPr>
            <w:tcW w:type="dxa" w:w="1728"/>
          </w:tcPr>
          <w:p>
            <w:r>
              <w:t>3%</w:t>
            </w:r>
          </w:p>
        </w:tc>
        <w:tc>
          <w:tcPr>
            <w:tcW w:type="dxa" w:w="1728"/>
          </w:tcPr>
          <w:p>
            <w:r>
              <w:t>3%</w:t>
            </w:r>
          </w:p>
        </w:tc>
        <w:tc>
          <w:tcPr>
            <w:tcW w:type="dxa" w:w="1728"/>
          </w:tcPr>
          <w:p>
            <w:r>
              <w:t>3%</w:t>
            </w:r>
          </w:p>
        </w:tc>
        <w:tc>
          <w:tcPr>
            <w:tcW w:type="dxa" w:w="1728"/>
          </w:tcPr>
          <w:p>
            <w:r>
              <w:t>3%</w:t>
            </w:r>
          </w:p>
        </w:tc>
      </w:tr>
      <w:tr>
        <w:tc>
          <w:tcPr>
            <w:tcW w:type="dxa" w:w="1728"/>
          </w:tcPr>
          <w:p>
            <w:r>
              <w:t>Low PEG ratio</w:t>
            </w:r>
          </w:p>
        </w:tc>
        <w:tc>
          <w:tcPr>
            <w:tcW w:type="dxa" w:w="1728"/>
          </w:tcPr>
          <w:p>
            <w:r>
              <w:t>4%</w:t>
            </w:r>
          </w:p>
        </w:tc>
        <w:tc>
          <w:tcPr>
            <w:tcW w:type="dxa" w:w="1728"/>
          </w:tcPr>
          <w:p>
            <w:r>
              <w:t>8%</w:t>
            </w:r>
          </w:p>
        </w:tc>
        <w:tc>
          <w:tcPr>
            <w:tcW w:type="dxa" w:w="1728"/>
          </w:tcPr>
          <w:p>
            <w:r>
              <w:t>5%</w:t>
            </w:r>
          </w:p>
        </w:tc>
        <w:tc>
          <w:tcPr>
            <w:tcW w:type="dxa" w:w="1728"/>
          </w:tcPr>
          <w:p>
            <w:r>
              <w:t>5%</w:t>
            </w:r>
          </w:p>
        </w:tc>
      </w:tr>
      <w:tr>
        <w:tc>
          <w:tcPr>
            <w:tcW w:type="dxa" w:w="1728"/>
          </w:tcPr>
          <w:p>
            <w:r>
              <w:t>Low trailing P/S</w:t>
            </w:r>
          </w:p>
        </w:tc>
        <w:tc>
          <w:tcPr>
            <w:tcW w:type="dxa" w:w="1728"/>
          </w:tcPr>
          <w:p>
            <w:r>
              <w:t>2%</w:t>
            </w:r>
          </w:p>
        </w:tc>
        <w:tc>
          <w:tcPr>
            <w:tcW w:type="dxa" w:w="1728"/>
          </w:tcPr>
          <w:p>
            <w:r>
              <w:t>2%</w:t>
            </w:r>
          </w:p>
        </w:tc>
        <w:tc>
          <w:tcPr>
            <w:tcW w:type="dxa" w:w="1728"/>
          </w:tcPr>
          <w:p>
            <w:r>
              <w:t>2%</w:t>
            </w:r>
          </w:p>
        </w:tc>
        <w:tc>
          <w:tcPr>
            <w:tcW w:type="dxa" w:w="1728"/>
          </w:tcPr>
          <w:p>
            <w:r>
              <w:t>2%</w:t>
            </w:r>
          </w:p>
        </w:tc>
      </w:tr>
      <w:tr>
        <w:tc>
          <w:tcPr>
            <w:tcW w:type="dxa" w:w="1728"/>
          </w:tcPr>
          <w:p>
            <w:r>
              <w:t>High revenue growth</w:t>
            </w:r>
          </w:p>
        </w:tc>
        <w:tc>
          <w:tcPr>
            <w:tcW w:type="dxa" w:w="1728"/>
          </w:tcPr>
          <w:p>
            <w:r>
              <w:t>4%</w:t>
            </w:r>
          </w:p>
        </w:tc>
        <w:tc>
          <w:tcPr>
            <w:tcW w:type="dxa" w:w="1728"/>
          </w:tcPr>
          <w:p>
            <w:r>
              <w:t>6%</w:t>
            </w:r>
          </w:p>
        </w:tc>
        <w:tc>
          <w:tcPr>
            <w:tcW w:type="dxa" w:w="1728"/>
          </w:tcPr>
          <w:p>
            <w:r>
              <w:t>2%</w:t>
            </w:r>
          </w:p>
        </w:tc>
        <w:tc>
          <w:tcPr>
            <w:tcW w:type="dxa" w:w="1728"/>
          </w:tcPr>
          <w:p>
            <w:r>
              <w:t>6%</w:t>
            </w:r>
          </w:p>
        </w:tc>
      </w:tr>
      <w:tr>
        <w:tc>
          <w:tcPr>
            <w:tcW w:type="dxa" w:w="1728"/>
          </w:tcPr>
          <w:p>
            <w:r>
              <w:t>Low debt/equity vs. sector average</w:t>
            </w:r>
          </w:p>
        </w:tc>
        <w:tc>
          <w:tcPr>
            <w:tcW w:type="dxa" w:w="1728"/>
          </w:tcPr>
          <w:p>
            <w:r>
              <w:t>5%</w:t>
            </w:r>
          </w:p>
        </w:tc>
        <w:tc>
          <w:tcPr>
            <w:tcW w:type="dxa" w:w="1728"/>
          </w:tcPr>
          <w:p>
            <w:r>
              <w:t>0%</w:t>
            </w:r>
          </w:p>
        </w:tc>
        <w:tc>
          <w:tcPr>
            <w:tcW w:type="dxa" w:w="1728"/>
          </w:tcPr>
          <w:p>
            <w:r>
              <w:t>5%</w:t>
            </w:r>
          </w:p>
        </w:tc>
        <w:tc>
          <w:tcPr>
            <w:tcW w:type="dxa" w:w="1728"/>
          </w:tcPr>
          <w:p>
            <w:r>
              <w:t>0%</w:t>
            </w:r>
          </w:p>
        </w:tc>
      </w:tr>
      <w:tr>
        <w:tc>
          <w:tcPr>
            <w:tcW w:type="dxa" w:w="1728"/>
          </w:tcPr>
          <w:p>
            <w:r>
              <w:t>Liquidity (quick + current ratio)</w:t>
            </w:r>
          </w:p>
        </w:tc>
        <w:tc>
          <w:tcPr>
            <w:tcW w:type="dxa" w:w="1728"/>
          </w:tcPr>
          <w:p>
            <w:r>
              <w:t>2%</w:t>
            </w:r>
          </w:p>
        </w:tc>
        <w:tc>
          <w:tcPr>
            <w:tcW w:type="dxa" w:w="1728"/>
          </w:tcPr>
          <w:p>
            <w:r>
              <w:t>0%</w:t>
            </w:r>
          </w:p>
        </w:tc>
        <w:tc>
          <w:tcPr>
            <w:tcW w:type="dxa" w:w="1728"/>
          </w:tcPr>
          <w:p>
            <w:r>
              <w:t>0%</w:t>
            </w:r>
          </w:p>
        </w:tc>
        <w:tc>
          <w:tcPr>
            <w:tcW w:type="dxa" w:w="1728"/>
          </w:tcPr>
          <w:p>
            <w:r>
              <w:t>0%</w:t>
            </w:r>
          </w:p>
        </w:tc>
      </w:tr>
      <w:tr>
        <w:tc>
          <w:tcPr>
            <w:tcW w:type="dxa" w:w="1728"/>
          </w:tcPr>
          <w:p>
            <w:r>
              <w:t>High return on equity</w:t>
            </w:r>
          </w:p>
        </w:tc>
        <w:tc>
          <w:tcPr>
            <w:tcW w:type="dxa" w:w="1728"/>
          </w:tcPr>
          <w:p>
            <w:r>
              <w:t>3%</w:t>
            </w:r>
          </w:p>
        </w:tc>
        <w:tc>
          <w:tcPr>
            <w:tcW w:type="dxa" w:w="1728"/>
          </w:tcPr>
          <w:p>
            <w:r>
              <w:t>3%</w:t>
            </w:r>
          </w:p>
        </w:tc>
        <w:tc>
          <w:tcPr>
            <w:tcW w:type="dxa" w:w="1728"/>
          </w:tcPr>
          <w:p>
            <w:r>
              <w:t>6%</w:t>
            </w:r>
          </w:p>
        </w:tc>
        <w:tc>
          <w:tcPr>
            <w:tcW w:type="dxa" w:w="1728"/>
          </w:tcPr>
          <w:p>
            <w:r>
              <w:t>3%</w:t>
            </w:r>
          </w:p>
        </w:tc>
      </w:tr>
      <w:tr>
        <w:tc>
          <w:tcPr>
            <w:tcW w:type="dxa" w:w="1728"/>
          </w:tcPr>
          <w:p>
            <w:r>
              <w:t>Short interest (deliberately contrarian)</w:t>
            </w:r>
          </w:p>
        </w:tc>
        <w:tc>
          <w:tcPr>
            <w:tcW w:type="dxa" w:w="1728"/>
          </w:tcPr>
          <w:p>
            <w:r>
              <w:t>8%</w:t>
            </w:r>
          </w:p>
        </w:tc>
        <w:tc>
          <w:tcPr>
            <w:tcW w:type="dxa" w:w="1728"/>
          </w:tcPr>
          <w:p>
            <w:r>
              <w:t>5%</w:t>
            </w:r>
          </w:p>
        </w:tc>
        <w:tc>
          <w:tcPr>
            <w:tcW w:type="dxa" w:w="1728"/>
          </w:tcPr>
          <w:p>
            <w:r>
              <w:t>6%</w:t>
            </w:r>
          </w:p>
        </w:tc>
        <w:tc>
          <w:tcPr>
            <w:tcW w:type="dxa" w:w="1728"/>
          </w:tcPr>
          <w:p>
            <w:r>
              <w:t>8%</w:t>
            </w:r>
          </w:p>
        </w:tc>
      </w:tr>
      <w:tr>
        <w:tc>
          <w:tcPr>
            <w:tcW w:type="dxa" w:w="1728"/>
          </w:tcPr>
          <w:p>
            <w:r>
              <w:t>Combined news/social/institutional sentiment</w:t>
            </w:r>
          </w:p>
        </w:tc>
        <w:tc>
          <w:tcPr>
            <w:tcW w:type="dxa" w:w="1728"/>
          </w:tcPr>
          <w:p>
            <w:r>
              <w:t>8%</w:t>
            </w:r>
          </w:p>
        </w:tc>
        <w:tc>
          <w:tcPr>
            <w:tcW w:type="dxa" w:w="1728"/>
          </w:tcPr>
          <w:p>
            <w:r>
              <w:t>8%</w:t>
            </w:r>
          </w:p>
        </w:tc>
        <w:tc>
          <w:tcPr>
            <w:tcW w:type="dxa" w:w="1728"/>
          </w:tcPr>
          <w:p>
            <w:r>
              <w:t>8%</w:t>
            </w:r>
          </w:p>
        </w:tc>
        <w:tc>
          <w:tcPr>
            <w:tcW w:type="dxa" w:w="1728"/>
          </w:tcPr>
          <w:p>
            <w:r>
              <w:t>8%</w:t>
            </w:r>
          </w:p>
        </w:tc>
      </w:tr>
      <w:tr>
        <w:tc>
          <w:tcPr>
            <w:tcW w:type="dxa" w:w="1728"/>
          </w:tcPr>
          <w:p>
            <w:r>
              <w:t>Insiders (SEC Form 4 buys minus sells)</w:t>
            </w:r>
          </w:p>
        </w:tc>
        <w:tc>
          <w:tcPr>
            <w:tcW w:type="dxa" w:w="1728"/>
          </w:tcPr>
          <w:p>
            <w:r>
              <w:t>4%</w:t>
            </w:r>
          </w:p>
        </w:tc>
        <w:tc>
          <w:tcPr>
            <w:tcW w:type="dxa" w:w="1728"/>
          </w:tcPr>
          <w:p>
            <w:r>
              <w:t>5%</w:t>
            </w:r>
          </w:p>
        </w:tc>
        <w:tc>
          <w:tcPr>
            <w:tcW w:type="dxa" w:w="1728"/>
          </w:tcPr>
          <w:p>
            <w:r>
              <w:t>5%</w:t>
            </w:r>
          </w:p>
        </w:tc>
        <w:tc>
          <w:tcPr>
            <w:tcW w:type="dxa" w:w="1728"/>
          </w:tcPr>
          <w:p>
            <w:r>
              <w:t>5%</w:t>
            </w:r>
          </w:p>
        </w:tc>
      </w:tr>
      <w:tr>
        <w:tc>
          <w:tcPr>
            <w:tcW w:type="dxa" w:w="1728"/>
          </w:tcPr>
          <w:p>
            <w:r>
              <w:t>Margins (profit + operating)</w:t>
            </w:r>
          </w:p>
        </w:tc>
        <w:tc>
          <w:tcPr>
            <w:tcW w:type="dxa" w:w="1728"/>
          </w:tcPr>
          <w:p>
            <w:r>
              <w:t>5%</w:t>
            </w:r>
          </w:p>
        </w:tc>
        <w:tc>
          <w:tcPr>
            <w:tcW w:type="dxa" w:w="1728"/>
          </w:tcPr>
          <w:p>
            <w:r>
              <w:t>0%</w:t>
            </w:r>
          </w:p>
        </w:tc>
        <w:tc>
          <w:tcPr>
            <w:tcW w:type="dxa" w:w="1728"/>
          </w:tcPr>
          <w:p>
            <w:r>
              <w:t>5%</w:t>
            </w:r>
          </w:p>
        </w:tc>
        <w:tc>
          <w:tcPr>
            <w:tcW w:type="dxa" w:w="1728"/>
          </w:tcPr>
          <w:p>
            <w:r>
              <w:t>5%</w:t>
            </w:r>
          </w:p>
        </w:tc>
      </w:tr>
    </w:tbl>
    <w:p>
      <w:r>
        <w:t>Two corrections were made after auditing the live rating distribution by sector. Utilities was landing almost no Buy ratings: three of its weight columns (short_interest, eps_trend, growth) had been pushed ABOVE the Standard weight, each independently amplifying noisy factors for a low-volatility, income-oriented sector — corrected by cutting eps_trend and growth and moving that weight into sector_pe and roe, which better reflect what actually differentiates utilities. Financials was skewed the other way, landing disproportionately many Buy ratings, traced to two layers: the composite score over-weighted forecast_return relative to eps_trend, now rebalanced from 15%/10% to 10% forecast_return / 15% eps_trend, moving weight toward the more reliable estimate-revision signal, and a genuine bug in the Monte Carlo simulation itself, where marginAdjustedRevenueGrowth (= revenueGrowth × operatingMargin) used Yahoo's operatingMargins uncorrected for Banks, Insurance, and mortgage REITs — sectors where that field is computed off net-interest-income rather than gross revenue, inflating the ratio roughly 3x and, compounded through the growth-rate math, inflating projected EPS growth roughly 4x. Fixed in modules/simulations.py via a curated _MARGIN_DISTORTED_SECTORS set (Banks – Diversified/Regional, the Insurance sub-industries, and REIT – Mortgage); Asset Management, Financial Data &amp; Stock Exchanges, Capital Markets, Credit Services, and equity REITs were deliberately excluded after confirming their elevated margins reflect genuine fee-business economics rather than a denominator artifact. Combined news/social/institutional sentiment was raised from 5% to 8% in every column after this session's news-classification work (the fast_path_score regex system, headline-importance stars) meaningfully improved what that factor actually measures. Funded two different ways: Financials/Utilities/Real Estate each give up the full 3% from sector_pe alone (still well above the 5% standard weight even after the cut); Standard instead splits its 3% three ways, 1% each from peg, ev_ebitda, and insiders, since Standard's own sector_pe is already at the 5% baseline with no comparable margin to trim.</w:t>
      </w:r>
    </w:p>
    <w:p>
      <w:pPr>
        <w:pStyle w:val="Heading1"/>
      </w:pPr>
      <w:r>
        <w:t>4. Monte Carlo EPS Forecast (Prototype)</w:t>
      </w:r>
    </w:p>
    <w:p>
      <w:r>
        <w:t>python main.py simulations runs an EPS-driven Monte Carlo price simulation — zero network calls, reading only data/yfinance/forward_pe.csv — and writes data/output/simulations.json. Defaults to the full active universe (well under a minute, numpy-vectorized, across roughly 1,900 tickers) when no tickers are given, same as simulations --all, which is what feeds the Simulations tab; given a specific ticker list instead, runs just those. It answers a narrow question: given what's already known about a company's earnings trajectory — not just today's consensus estimate, but where analysts are revising it and whether the business can sustain that — what's this stock's plausible fair value today, weighted by how much that projection should actually be trusted?</w:t>
      </w:r>
    </w:p>
    <w:p>
      <w:pPr>
        <w:pStyle w:val="Heading2"/>
      </w:pPr>
      <w:r>
        <w:t>The formula</w:t>
      </w:r>
    </w:p>
    <w:p>
      <w:pPr>
        <w:pStyle w:val="ListBullet"/>
      </w:pPr>
      <w:r>
        <w:t>mu_eps is a 5-year average of a discounted EPS path anchored not at forwardEps directly but at anchorEps = currentPrice / industryMedianPe — the EPS today's price already implies at the peer group's own multiple. When no industry multiple is available, falls back to a 50/50 blend of epsCurrentYear (current-fiscal-year consensus EPS) and forwardEps, then a 50/50 blend of trailingEps (= currentPrice / trailingPE) and forwardEps, then forwardEps alone — blending rather than trusting either fallback estimate in isolation, since each is a single (potentially noisy) data source. From that anchor, the growth rate reverts from ownGrowthRate = avg(epsTrend, marginAdjustedRevenueGrowth) toward industryGrowthRate (the same combination built from the peer group's median epsTrend / revenueGrowth / operatingMargin) over 4 annual steps via a concave square-root schedule: weight wₜ = √((4−t)/4) on the own rate at step t, so year 1 is ≈87% own / 13% industry, year 2 ≈71/29, year 3 ≈50/50, and year 4 is 0/100 — pure industry, a gradual fade rather than a hard cutover after year 1. Year 1's growth rate is additionally blended 50/50 with g_fwd = forwardEps / anchorEps − 1, letting the analyst-consensus forwardEps estimate nudge — without fully anchoring — the nearest-term step. marginAdjustedRevenueGrowth = revenueGrowth × operatingMargin (revenue growth converted to its earnings-equivalent) — skipped for a curated set of margin-distorted sectors (Banks, Insurance, REIT - Mortgage), where Yahoo's operatingMargins is computed off net-interest-income rather than gross revenue and would otherwise inflate this ratio roughly 3x; those sectors fall back to epsTrend alone for ownGrowthRate/industryGrowthRate; all growth rates are clamped to −99%/+100% per year so a near-zero-baseline artifact can't flip the path's sign or compound into an absurd multiple.</w:t>
      </w:r>
    </w:p>
    <w:p>
      <w:pPr>
        <w:pStyle w:val="ListBullet"/>
      </w:pPr>
      <w:r>
        <w:t>Each year of the resulting epsPath is discounted back to present value at effectiveDiscountRate = 5% × clamp(beta, 0.5, 3.0) — a CAPM-style stand-in for cost of equity, so a higher-beta ticker's future earnings count for less today (beta defaults to 1.0 when missing; clamped so one extreme beta reading can't over-discount the whole 5-year path). mu_eps is the mean of that discounted path — already a genuine present value, not a nominal figure that still needs discounting later; sigma_eps = combinedVol × |mu_eps|, where combinedVol blends historical earnings unpredictability with analyst disagreement as independent uncertainty sources: combinedVol = √(epsVolatility² + analystDispersion²) (root-sum-square), epsVolatility being stdev/mean of the company's own trailing up to 5 years of annual EPS (floored at 20% for missing or implausibly quiet data), and analystDispersion = (targetHighPrice − targetLowPrice) / (2 × targetMeanPrice) when analyst price targets are on file. 20,000 EPS draws are then taken from Normal(mu_eps, sigma_eps).</w:t>
      </w:r>
    </w:p>
    <w:p>
      <w:pPr>
        <w:pStyle w:val="ListBullet"/>
      </w:pPr>
      <w:r>
        <w:t>Draws are floored ONLY at 0 — a below-zero simulated EPS draw isn't sellable through this model, so it's treated as ‘worth nothing’ rather than producing a nonsensical negative price. No analyst-target-derived floor or cap on either side: an earlier version had both (targetLowPrice/targetHighPrice converted to an EPS bound via industryMedianPe, scaled into mu_eps’s 5-year-average space by mu_eps / forwardEps), but whenever the bound’s own min()/max() picked the abs(forwardEps) branch, the rescaling collapsed it to EXACTLY mu_eps — silently clipping half the distribution to a single point. Confirmed live on the cap side for individual tickers, and on the floor side for 83% of the simulated universe (binding on more than 25% of draws; several tickers had epsFloor == muEps to the last decimal, and for the worst cases even the median collapsed to the same clipped value as P5/P25). Both removed rather than patched. The floored draws are priced a single way — at industryMedianPe only, the peer group’s MEDIAN forwardPE (same industry-then-sector-fallback peer group as the growth rate above) — and the resulting price distribution’s mean/median/standard deviation/percentiles and probability of landing above today’s price are reported as priceAtIndustryMultiple.</w:t>
      </w:r>
    </w:p>
    <w:p>
      <w:pPr>
        <w:pStyle w:val="ListBullet"/>
      </w:pPr>
      <w:r>
        <w:t>confidence = 1 / (1 + combinedVol) pulls a ‘fair value today’ toward currentPrice in proportion to how much the estimate should be trusted: forecastPrice = currentPrice + confidence × (industryMultiple median − currentPrice). This IS forecastPrice — no further adjustment needed, since mu_eps is already a genuine present value from the discounted 5-year EPS path above. An earlier version additionally shifted it forward one year (× (1 + effectiveDiscountRate)), reasoning that a fairly-valued asset should also mechanically drift up by its cost of equity over the next year — dropped, because for a high-beta ticker that let a beta-sized markup dominate forecastReturn regardless of the earnings view, and put forecastPrice on a different horizon than priceAtIndustryMultiple's own probAboveCurrentPrice (today), so the two could disagree about which side of even a ticker was on for no visible reason. forecastReturn = forecastPrice / currentPrice − 1 is the ranking signal the Simulations tab sorts on. The SAME confidence-weighted transform applied to industryMultiple's P5/P25/P75/P95 instead of its median gives forecastPriceP5/P25/P75/P95 — P5/P95 double as this model's bear/bull case (floor/ceiling), replacing the earlier separate analyst-target-derived priceFloor/priceCap fields.</w:t>
      </w:r>
    </w:p>
    <w:p>
      <w:r>
        <w:t>This is explicitly a prototype: Normal is a simplifying assumption for what are often skewed, fat-tailed real-world EPS distributions, and the model is earnings-driven only — it says nothing about sentiment, macro, or narrative-driven re-rating. The industry multiple is a fixed what-if scenario (‘at the peer group's current median multiple’), not a forecast of where multiples are headed. There is no fundamental book-value price floor — an earlier version had one, but it was built from this same model's own projected EPS path and ended up silently overriding a genuinely bearish view for a meaningful share of the universe. The output is meant as a probabilistic sanity-check range, not a price target.</w:t>
      </w:r>
    </w:p>
    <w:p>
      <w:pPr>
        <w:pStyle w:val="Heading1"/>
      </w:pPr>
      <w:r>
        <w:t>5. Frontend Application</w:t>
      </w:r>
    </w:p>
    <w:p>
      <w:r>
        <w:t>The React/Vite frontend (web/) presents the backend's output across thirteen tabs:</w:t>
      </w:r>
    </w:p>
    <w:p>
      <w:pPr>
        <w:pStyle w:val="ListBullet"/>
      </w:pPr>
      <w:r>
        <w:t>Screener — the full ranked, filterable universe, scored on the composite above.</w:t>
      </w:r>
    </w:p>
    <w:p>
      <w:pPr>
        <w:pStyle w:val="ListBullet"/>
      </w:pPr>
      <w:r>
        <w:t>Positions — live IB Gateway prices/positions/account data over SSE, with daily and since-acquisition P&amp;L, long/short and sector grouping, portfolio volatility decomposition, and candlestick/volume detail charts.</w:t>
      </w:r>
    </w:p>
    <w:p>
      <w:pPr>
        <w:pStyle w:val="ListBullet"/>
      </w:pPr>
      <w:r>
        <w:t>Trades — today's fills, one row per ticker traded.</w:t>
      </w:r>
    </w:p>
    <w:p>
      <w:pPr>
        <w:pStyle w:val="ListBullet"/>
      </w:pPr>
      <w:r>
        <w:t>Portfolio — daily account performance from an IBKR Flex Query (NAV, P&amp;L, Sharpe/Sortino/volatility) with a NAV chart and full daily breakdown table.</w:t>
      </w:r>
    </w:p>
    <w:p>
      <w:pPr>
        <w:pStyle w:val="ListBullet"/>
      </w:pPr>
      <w:r>
        <w:t>Factsheet — a printable, formal-report-style summary (NAV chart, exposure chart, monthly returns table) suitable for exporting or sharing.</w:t>
      </w:r>
    </w:p>
    <w:p>
      <w:pPr>
        <w:pStyle w:val="ListBullet"/>
      </w:pPr>
      <w:r>
        <w:t>News — every FinBERT-scored headline currently cached, filterable by ticker.</w:t>
      </w:r>
    </w:p>
    <w:p>
      <w:pPr>
        <w:pStyle w:val="ListBullet"/>
      </w:pPr>
      <w:r>
        <w:t>Themes — held positions grouped by theme (Gold &amp; Precious Metals, Semiconductors &amp; AI, Fintech &amp; Payments, etc.), each ticker's exposure split evenly across its tags.</w:t>
      </w:r>
    </w:p>
    <w:p>
      <w:pPr>
        <w:pStyle w:val="ListBullet"/>
      </w:pPr>
      <w:r>
        <w:t>Sectors — the full universe grouped into an expandable Sector → Industry → Asset tree, each level averaging the same composite factors.</w:t>
      </w:r>
    </w:p>
    <w:p>
      <w:pPr>
        <w:pStyle w:val="ListBullet"/>
      </w:pPr>
      <w:r>
        <w:t>Holders — per-ticker institutional holders and 13F holdings detail.</w:t>
      </w:r>
    </w:p>
    <w:p>
      <w:pPr>
        <w:pStyle w:val="ListBullet"/>
      </w:pPr>
      <w:r>
        <w:t>Recommendations — a rules-driven Long/Short idea engine built on the composite score plus entry/exit gates (momentum, revenue growth, EPS trend, short interest, crowding), a Portfolio view flagging held positions to close/overbought/oversold, hedge and same-industry-concentration detection between positions, thumb-factor filters, and an embedded chat assistant for ad hoc questions.</w:t>
      </w:r>
    </w:p>
    <w:p>
      <w:pPr>
        <w:pStyle w:val="ListBullet"/>
      </w:pPr>
      <w:r>
        <w:t>Simulations — a Screener-style ranked table over the Monte Carlo EPS forecast (Section 4), one row per simulated ticker with every field the model produces as its own column, sorted by default on the industry-multiple median upside.</w:t>
      </w:r>
    </w:p>
    <w:p>
      <w:pPr>
        <w:pStyle w:val="ListBullet"/>
      </w:pPr>
      <w:r>
        <w:t>Dataset — an operations dashboard listing every generated data file (path, last refreshed, size) with one-click “Run” buttons to trigger the corresponding backend job and watch its live log.</w:t>
      </w:r>
    </w:p>
    <w:p>
      <w:pPr>
        <w:pStyle w:val="ListBullet"/>
      </w:pPr>
      <w:r>
        <w:t>Scoring — the composite score's weight breakdown plus a rating distribution table broken down by sector, the in-app counterpart to Section 3 above.</w:t>
      </w:r>
    </w:p>
    <w:p>
      <w:pPr>
        <w:pStyle w:val="Heading1"/>
      </w:pPr>
      <w:r>
        <w:t>6. Data &amp; File Layout</w:t>
      </w:r>
    </w:p>
    <w:p>
      <w:r>
        <w:t>Everything the backend downloads or computes lives under data/: data/yfinance/ for Yahoo Finance's raw payloads and the curated forward_pe.csv, data/IB/ for IB Gateway-derived bars, trades, and news, data/sec/ for SEC EDGAR filings, and data/output/ for the final computed artifacts (sorted_screen.csv, recommendations.json, news_sentiment.json, simulations.json). Most of these are gitignored generated caches, regenerated by running the pipeline; symbols.json (the curated ticker universe) and the theme taxonomy/tag files are the hand-maintained exceptions.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