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PortfolioApp — Project Overview</w:t>
      </w:r>
    </w:p>
    <w:p>
      <w:pPr>
        <w:jc w:val="center"/>
      </w:pPr>
      <w:r>
        <w:rPr>
          <w:i/>
        </w:rPr>
        <w:t>A stock screener and IBKR portfolio tracker</w:t>
      </w:r>
    </w:p>
    <w:p>
      <w:pPr>
        <w:pStyle w:val="Heading1"/>
      </w:pPr>
      <w:r>
        <w:t>1. What This Project Is</w:t>
      </w:r>
    </w:p>
    <w:p>
      <w:r>
        <w:t>PortfolioApp is a personal investment research and portfolio-tracking system built around Interactive Brokers (IBKR). A Python backend pulls market data from several sources (Yahoo Finance, IBKR's TWS API, SEC EDGAR, FINRA, StockTwits), scores the whole tracked stock universe on a weighted composite of valuation, quality, growth, and sentiment factors, and tracks a live IBKR account (positions, trades, P&amp;L, account performance) in real time. A React/Vite frontend presents all of this across thirteen tabs, from a ranked screener table down to a rules-driven Long/Short recommendation engine with an embedded chat assistant.</w:t>
      </w:r>
    </w:p>
    <w:p>
      <w:r>
        <w:t>The two halves of the system are independent processes: main.py owns the on-demand download/scoring pipeline (run manually or on a schedule), and ib_server.py is a long-running local server that holds the live IB Gateway connection open, streaming prices/positions/account data to the frontend over Server-Sent Events and serving the on-disk datasets the pipeline produces.</w:t>
      </w:r>
    </w:p>
    <w:p>
      <w:pPr>
        <w:pStyle w:val="Heading1"/>
      </w:pPr>
      <w:r>
        <w:t>2. Data Pipeline (Python Backend)</w:t>
      </w:r>
    </w:p>
    <w:p>
      <w:r>
        <w:t>main.py is the entry point for every data download and scoring run, invoked as python main.py &lt;mode&gt;. Each mode is scoped to exactly what it needs to refresh, so a small update (e.g. backfilling one factor, or re-scoring after a formula change) doesn't require re-running the whole pipeline.</w:t>
      </w:r>
    </w:p>
    <w:p>
      <w:pPr>
        <w:pStyle w:val="ListBullet"/>
      </w:pPr>
      <w:r>
        <w:t>all / prices — the full screener pipeline: forward P/E and related valuation metrics from Yahoo Finance, momentum from IB Gateway's own daily/hourly bars (yfinance as fallback), and the composite score/rating for every active ticker in symbols.json.</w:t>
      </w:r>
    </w:p>
    <w:p>
      <w:pPr>
        <w:pStyle w:val="ListBullet"/>
      </w:pPr>
      <w:r>
        <w:t>rescore — rebuilds the score/rating columns from data already on disk, zero network calls, for when only the scoring formula itself changed.</w:t>
      </w:r>
    </w:p>
    <w:p>
      <w:pPr>
        <w:pStyle w:val="ListBullet"/>
      </w:pPr>
      <w:r>
        <w:t>form4 / xbrl / 13f / shortinterest — SEC EDGAR insider transactions, multi-year XBRL financial history, quarterly 13F institutional holdings, and FINRA short interest, each a separate, independently-rate-limited download.</w:t>
      </w:r>
    </w:p>
    <w:p>
      <w:pPr>
        <w:pStyle w:val="ListBullet"/>
      </w:pPr>
      <w:r>
        <w:t>themes — zero-shot classification (a local Hugging Face model, no API key) of each company's business description against a fixed theme taxonomy, for the Themes tab's exposure breakdown.</w:t>
      </w:r>
    </w:p>
    <w:p>
      <w:pPr>
        <w:pStyle w:val="ListBullet"/>
      </w:pPr>
      <w:r>
        <w:t>recommendations — rebuilds the Recommendations tab's underlying dataset from everything already on disk (score, momentum, news, insiders, institutions).</w:t>
      </w:r>
    </w:p>
    <w:p>
      <w:pPr>
        <w:pStyle w:val="ListBullet"/>
      </w:pPr>
      <w:r>
        <w:t>montecarlo — an EPS-driven Monte Carlo price simulation prototype (see Section 4 below).</w:t>
      </w:r>
    </w:p>
    <w:p>
      <w:pPr>
        <w:pStyle w:val="ListBullet"/>
      </w:pPr>
      <w:r>
        <w:t>epsvol / revgrowth / grossmargin / insiderown — targeted backfills for a single scoring factor, without redoing the whole valuation/momentum fetch.</w:t>
      </w:r>
    </w:p>
    <w:p>
      <w:r>
        <w:t>ib_server.py is the live counterpart: it holds the IB Gateway TWS API connection open, streams live prices/positions/account snapshots to the frontend over SSE, polls IBKR's Flex Web Service for account performance and trade fills, fetches and FinBERT-scores news headlines, and exposes the same download jobs main.py offers as "Run" buttons on the Dataset tab, so most of the pipeline can be triggered without a terminal.</w:t>
      </w:r>
    </w:p>
    <w:p>
      <w:pPr>
        <w:pStyle w:val="Heading1"/>
      </w:pPr>
      <w:r>
        <w:t>3. Scoring Methodology</w:t>
      </w:r>
    </w:p>
    <w:p>
      <w:r>
        <w:t>Every active ticker is scored on a weighted composite of independent factors (lower composite score is better), computed in modules/scoring.py. The score then buckets into a forced Strong Buy/Buy/Hold/Sell/Strong Sell distribution shaped like Zacks Rank (the best/worst 5% of the ranked universe land in the Strong tiers), independent of Yahoo Finance's own raw analyst consensus.</w:t>
      </w:r>
    </w:p>
    <w:tbl>
      <w:tblPr>
        <w:tblStyle w:val="LightGrid-Accent1"/>
        <w:tblW w:type="auto" w:w="0"/>
        <w:tblLook w:firstColumn="1" w:firstRow="1" w:lastColumn="0" w:lastRow="0" w:noHBand="0" w:noVBand="1" w:val="04A0"/>
      </w:tblPr>
      <w:tblGrid>
        <w:gridCol w:w="4320"/>
        <w:gridCol w:w="4320"/>
      </w:tblGrid>
      <w:tr>
        <w:tc>
          <w:tcPr>
            <w:tcW w:type="dxa" w:w="4320"/>
          </w:tcPr>
          <w:p>
            <w:r>
              <w:t>Weight</w:t>
            </w:r>
          </w:p>
        </w:tc>
        <w:tc>
          <w:tcPr>
            <w:tcW w:type="dxa" w:w="4320"/>
          </w:tcPr>
          <w:p>
            <w:r>
              <w:t>Factor</w:t>
            </w:r>
          </w:p>
        </w:tc>
      </w:tr>
      <w:tr>
        <w:tc>
          <w:tcPr>
            <w:tcW w:type="dxa" w:w="4320"/>
          </w:tcPr>
          <w:p>
            <w:r>
              <w:t>5%</w:t>
            </w:r>
          </w:p>
        </w:tc>
        <w:tc>
          <w:tcPr>
            <w:tcW w:type="dxa" w:w="4320"/>
          </w:tcPr>
          <w:p>
            <w:r>
              <w:t>Low forward P/E</w:t>
            </w:r>
          </w:p>
        </w:tc>
      </w:tr>
      <w:tr>
        <w:tc>
          <w:tcPr>
            <w:tcW w:type="dxa" w:w="4320"/>
          </w:tcPr>
          <w:p>
            <w:r>
              <w:t>10%</w:t>
            </w:r>
          </w:p>
        </w:tc>
        <w:tc>
          <w:tcPr>
            <w:tcW w:type="dxa" w:w="4320"/>
          </w:tcPr>
          <w:p>
            <w:r>
              <w:t>Low forward P/E relative to sector average</w:t>
            </w:r>
          </w:p>
        </w:tc>
      </w:tr>
      <w:tr>
        <w:tc>
          <w:tcPr>
            <w:tcW w:type="dxa" w:w="4320"/>
          </w:tcPr>
          <w:p>
            <w:r>
              <w:t>5%</w:t>
            </w:r>
          </w:p>
        </w:tc>
        <w:tc>
          <w:tcPr>
            <w:tcW w:type="dxa" w:w="4320"/>
          </w:tcPr>
          <w:p>
            <w:r>
              <w:t>Low price/FCF (negative or missing FCF ranked worst)</w:t>
            </w:r>
          </w:p>
        </w:tc>
      </w:tr>
      <w:tr>
        <w:tc>
          <w:tcPr>
            <w:tcW w:type="dxa" w:w="4320"/>
          </w:tcPr>
          <w:p>
            <w:r>
              <w:t>5%</w:t>
            </w:r>
          </w:p>
        </w:tc>
        <w:tc>
          <w:tcPr>
            <w:tcW w:type="dxa" w:w="4320"/>
          </w:tcPr>
          <w:p>
            <w:r>
              <w:t>Low EV/EBITDA (negative EBITDA ranked worst)</w:t>
            </w:r>
          </w:p>
        </w:tc>
      </w:tr>
      <w:tr>
        <w:tc>
          <w:tcPr>
            <w:tcW w:type="dxa" w:w="4320"/>
          </w:tcPr>
          <w:p>
            <w:r>
              <w:t>2.5%</w:t>
            </w:r>
          </w:p>
        </w:tc>
        <w:tc>
          <w:tcPr>
            <w:tcW w:type="dxa" w:w="4320"/>
          </w:tcPr>
          <w:p>
            <w:r>
              <w:t>Low trailing P/S — stays meaningful for unprofitable names</w:t>
            </w:r>
          </w:p>
        </w:tc>
      </w:tr>
      <w:tr>
        <w:tc>
          <w:tcPr>
            <w:tcW w:type="dxa" w:w="4320"/>
          </w:tcPr>
          <w:p>
            <w:r>
              <w:t>5%</w:t>
            </w:r>
          </w:p>
        </w:tc>
        <w:tc>
          <w:tcPr>
            <w:tcW w:type="dxa" w:w="4320"/>
          </w:tcPr>
          <w:p>
            <w:r>
              <w:t>High daily-timeframe momentum (regression-slope trend / its own volatility)</w:t>
            </w:r>
          </w:p>
        </w:tc>
      </w:tr>
      <w:tr>
        <w:tc>
          <w:tcPr>
            <w:tcW w:type="dxa" w:w="4320"/>
          </w:tcPr>
          <w:p>
            <w:r>
              <w:t>5%</w:t>
            </w:r>
          </w:p>
        </w:tc>
        <w:tc>
          <w:tcPr>
            <w:tcW w:type="dxa" w:w="4320"/>
          </w:tcPr>
          <w:p>
            <w:r>
              <w:t>High hourly-timeframe mean reversion (short-term reversal signal)</w:t>
            </w:r>
          </w:p>
        </w:tc>
      </w:tr>
      <w:tr>
        <w:tc>
          <w:tcPr>
            <w:tcW w:type="dxa" w:w="4320"/>
          </w:tcPr>
          <w:p>
            <w:r>
              <w:t>5%</w:t>
            </w:r>
          </w:p>
        </w:tc>
        <w:tc>
          <w:tcPr>
            <w:tcW w:type="dxa" w:w="4320"/>
          </w:tcPr>
          <w:p>
            <w:r>
              <w:t>EPS trend (current + next fiscal year 30-day consensus estimate revision)</w:t>
            </w:r>
          </w:p>
        </w:tc>
      </w:tr>
      <w:tr>
        <w:tc>
          <w:tcPr>
            <w:tcW w:type="dxa" w:w="4320"/>
          </w:tcPr>
          <w:p>
            <w:r>
              <w:t>7.5%</w:t>
            </w:r>
          </w:p>
        </w:tc>
        <w:tc>
          <w:tcPr>
            <w:tcW w:type="dxa" w:w="4320"/>
          </w:tcPr>
          <w:p>
            <w:r>
              <w:t>High revenue growth (dilution-adjusted, per share)</w:t>
            </w:r>
          </w:p>
        </w:tc>
      </w:tr>
      <w:tr>
        <w:tc>
          <w:tcPr>
            <w:tcW w:type="dxa" w:w="4320"/>
          </w:tcPr>
          <w:p>
            <w:r>
              <w:t>7.5%</w:t>
            </w:r>
          </w:p>
        </w:tc>
        <w:tc>
          <w:tcPr>
            <w:tcW w:type="dxa" w:w="4320"/>
          </w:tcPr>
          <w:p>
            <w:r>
              <w:t>Analyst conviction (target upside + recommendation + low target dispersion)</w:t>
            </w:r>
          </w:p>
        </w:tc>
      </w:tr>
      <w:tr>
        <w:tc>
          <w:tcPr>
            <w:tcW w:type="dxa" w:w="4320"/>
          </w:tcPr>
          <w:p>
            <w:r>
              <w:t>5%</w:t>
            </w:r>
          </w:p>
        </w:tc>
        <w:tc>
          <w:tcPr>
            <w:tcW w:type="dxa" w:w="4320"/>
          </w:tcPr>
          <w:p>
            <w:r>
              <w:t>Forward P/E vs. trailing P/E (more negative is better)</w:t>
            </w:r>
          </w:p>
        </w:tc>
      </w:tr>
      <w:tr>
        <w:tc>
          <w:tcPr>
            <w:tcW w:type="dxa" w:w="4320"/>
          </w:tcPr>
          <w:p>
            <w:r>
              <w:t>5%</w:t>
            </w:r>
          </w:p>
        </w:tc>
        <w:tc>
          <w:tcPr>
            <w:tcW w:type="dxa" w:w="4320"/>
          </w:tcPr>
          <w:p>
            <w:r>
              <w:t>Low PEG ratio</w:t>
            </w:r>
          </w:p>
        </w:tc>
      </w:tr>
      <w:tr>
        <w:tc>
          <w:tcPr>
            <w:tcW w:type="dxa" w:w="4320"/>
          </w:tcPr>
          <w:p>
            <w:r>
              <w:t>5%</w:t>
            </w:r>
          </w:p>
        </w:tc>
        <w:tc>
          <w:tcPr>
            <w:tcW w:type="dxa" w:w="4320"/>
          </w:tcPr>
          <w:p>
            <w:r>
              <w:t>Low debt/equity relative to sector average</w:t>
            </w:r>
          </w:p>
        </w:tc>
      </w:tr>
      <w:tr>
        <w:tc>
          <w:tcPr>
            <w:tcW w:type="dxa" w:w="4320"/>
          </w:tcPr>
          <w:p>
            <w:r>
              <w:t>2.5%</w:t>
            </w:r>
          </w:p>
        </w:tc>
        <w:tc>
          <w:tcPr>
            <w:tcW w:type="dxa" w:w="4320"/>
          </w:tcPr>
          <w:p>
            <w:r>
              <w:t>Liquidity (quick + current ratio)</w:t>
            </w:r>
          </w:p>
        </w:tc>
      </w:tr>
      <w:tr>
        <w:tc>
          <w:tcPr>
            <w:tcW w:type="dxa" w:w="4320"/>
          </w:tcPr>
          <w:p>
            <w:r>
              <w:t>5%</w:t>
            </w:r>
          </w:p>
        </w:tc>
        <w:tc>
          <w:tcPr>
            <w:tcW w:type="dxa" w:w="4320"/>
          </w:tcPr>
          <w:p>
            <w:r>
              <w:t>High return on equity</w:t>
            </w:r>
          </w:p>
        </w:tc>
      </w:tr>
      <w:tr>
        <w:tc>
          <w:tcPr>
            <w:tcW w:type="dxa" w:w="4320"/>
          </w:tcPr>
          <w:p>
            <w:r>
              <w:t>5%</w:t>
            </w:r>
          </w:p>
        </w:tc>
        <w:tc>
          <w:tcPr>
            <w:tcW w:type="dxa" w:w="4320"/>
          </w:tcPr>
          <w:p>
            <w:r>
              <w:t>Short interest (deliberately contrarian — more shorted scores better)</w:t>
            </w:r>
          </w:p>
        </w:tc>
      </w:tr>
      <w:tr>
        <w:tc>
          <w:tcPr>
            <w:tcW w:type="dxa" w:w="4320"/>
          </w:tcPr>
          <w:p>
            <w:r>
              <w:t>5%</w:t>
            </w:r>
          </w:p>
        </w:tc>
        <w:tc>
          <w:tcPr>
            <w:tcW w:type="dxa" w:w="4320"/>
          </w:tcPr>
          <w:p>
            <w:r>
              <w:t>Combined news + social + institutional sentiment (incl. QoQ 13F share change)</w:t>
            </w:r>
          </w:p>
        </w:tc>
      </w:tr>
      <w:tr>
        <w:tc>
          <w:tcPr>
            <w:tcW w:type="dxa" w:w="4320"/>
          </w:tcPr>
          <w:p>
            <w:r>
              <w:t>5%</w:t>
            </w:r>
          </w:p>
        </w:tc>
        <w:tc>
          <w:tcPr>
            <w:tcW w:type="dxa" w:w="4320"/>
          </w:tcPr>
          <w:p>
            <w:r>
              <w:t>Insiders (SEC Form 4 open-market buys minus sells, as a share of both)</w:t>
            </w:r>
          </w:p>
        </w:tc>
      </w:tr>
      <w:tr>
        <w:tc>
          <w:tcPr>
            <w:tcW w:type="dxa" w:w="4320"/>
          </w:tcPr>
          <w:p>
            <w:r>
              <w:t>5%</w:t>
            </w:r>
          </w:p>
        </w:tc>
        <w:tc>
          <w:tcPr>
            <w:tcW w:type="dxa" w:w="4320"/>
          </w:tcPr>
          <w:p>
            <w:r>
              <w:t>Margins (profit + operating)</w:t>
            </w:r>
          </w:p>
        </w:tc>
      </w:tr>
    </w:tbl>
    <w:p/>
    <w:p>
      <w:pPr>
        <w:pStyle w:val="Heading1"/>
      </w:pPr>
      <w:r>
        <w:t>4. Monte Carlo EPS Forecast (Prototype)</w:t>
      </w:r>
    </w:p>
    <w:p>
      <w:r>
        <w:t>python main.py montecarlo runs an EPS-driven Monte Carlo price simulation — zero network calls, reading only data/yfinance/forward_pe.csv — and writes data/output/monte_carlo.json. Defaults to the full active universe (well under a minute, numpy-vectorized, across roughly 1,900 tickers) when no tickers are given, same as montecarlo --all, which is what feeds the Simulations tab; given a specific ticker list instead, runs just those. It answers a narrow question: given what's already known about a company's earnings trajectory — not just today's consensus estimate, but where analysts are revising it and whether the business can sustain that — what's a plausible forecast price a year out, floored at what the company is fundamentally worth today?</w:t>
      </w:r>
    </w:p>
    <w:p>
      <w:pPr>
        <w:pStyle w:val="Heading2"/>
      </w:pPr>
      <w:r>
        <w:t>The formula</w:t>
      </w:r>
    </w:p>
    <w:p>
      <w:pPr>
        <w:pStyle w:val="ListBullet"/>
      </w:pPr>
      <w:r>
        <w:t>mu_eps is a 5-year average projected forward from forwardEps, not the single-year snapshot itself — and the growth rate driving that projection changes source after year 1. ownGrowthRate = avg(epsTrend, marginAdjustedRevenueGrowth), this ticker's own signals, used only for the year-1-to-year-2 step. industryGrowthRate is the same combination but built from the peer group's own median epsTrend / revenueGrowth / operatingMargin, used for years 2-to-3, 3-to-4, and 4-to-5 — a single company's own revision/revenue trend is too noisy (or, for a one-off cut, unrepresentative) to extrapolate for 4 years straight, so only the nearest-term step trusts it. marginAdjustedRevenueGrowth = revenueGrowth × operatingMargin, converting revenue growth to its earnings-equivalent. Both growth rates are clamped to -99%/+100% per year so a near-zero-baseline artifact can't flip the EPS path's sign or blow up over 4 years of compounding. epsPath averages to mu_eps; sigma_eps = epsVolatility × |mu_eps| (stdev/mean of the company's own trailing 5-year annual EPS), and 20,000 eps draws are taken from Normal(mu_eps, sigma_eps).</w:t>
      </w:r>
    </w:p>
    <w:p>
      <w:pPr>
        <w:pStyle w:val="ListBullet"/>
      </w:pPr>
      <w:r>
        <w:t>The SAME eps draws are priced two ways, each against a single fixed multiple, floored at a fundamental price floor: price_current = max(max(eps, 0) × ownPe, floorPrice), and price_blended = max(max(eps, 0) × blendedPe, floorPrice), where blendedPe = (ownPe + industryMedianPe) / 2 — a damped half-way re-rating rather than assuming the multiple fully converges to the peer group. industryMedianPe is the MEDIAN forwardPE of a peer group (same industry-then-sector fallback as the growth rate above). floorPrice = max(0, bookValue + sum(epsPath)) — a company shouldn't be simulated as worth less than what it already owns (book value per share) plus what it's expected to earn over the next 5 years (epsPath's sum).</w:t>
      </w:r>
    </w:p>
    <w:p>
      <w:pPr>
        <w:pStyle w:val="ListBullet"/>
      </w:pPr>
      <w:r>
        <w:t>Both resulting price distributions are reported — mean/median/standard deviation/percentiles and probability of landing above today's price — along with a comparison block: the blended-vs-current median difference and the blendedPe / ownPe ratio driving it.</w:t>
      </w:r>
    </w:p>
    <w:p>
      <w:pPr>
        <w:pStyle w:val="ListBullet"/>
      </w:pPr>
      <w:r>
        <w:t>That median difference is discounted by a confidence score reflecting only earnings-history unpredictability (epsTrend/revenueGrowth already shape mu_eps above, so discounting by them again here would double-count): confidence = 1 / (1 + epsVolatility) — 1.0 at zero volatility, 0.5 once epsVolatility reaches 1.0. discountedMedianDiff(Pct) = medianDiff(Pct) × confidence, multiplying rather than dividing by a risk term so the result stays in the same $/% units as the raw diff. forecastPrice = max(floorPrice, currentPrice + discountedMedianDiff) is shown next to Price on the Simulations tab, and forecastReturn = forecastPrice / currentPrice − 1 is what that tab actually ranks on — the diff PERCENTAGE alone is mathematically invariant to mu_eps (both scenarios scale the same eps draws, so their ratio is always exactly blendedPe/ownPe regardless of mu_eps), so only the dollar-scale forecastReturn can reflect the EPS projection at all.</w:t>
      </w:r>
    </w:p>
    <w:p>
      <w:r>
        <w:t>This is explicitly a prototype: Normal is a simplifying assumption for what are often skewed, fat-tailed real-world EPS distributions, and the model is earnings-driven only — it says nothing about sentiment, macro, or narrative-driven re-rating. Both multiples are fixed what-if scenarios, not a forecast of which one actually happens. The output is meant as a probabilistic sanity-check range, not a price target.</w:t>
      </w:r>
    </w:p>
    <w:p>
      <w:pPr>
        <w:pStyle w:val="Heading1"/>
      </w:pPr>
      <w:r>
        <w:t>5. Frontend Application</w:t>
      </w:r>
    </w:p>
    <w:p>
      <w:r>
        <w:t>The React/Vite frontend (web/) presents the backend's output across thirteen tabs:</w:t>
      </w:r>
    </w:p>
    <w:p>
      <w:pPr>
        <w:pStyle w:val="ListBullet"/>
      </w:pPr>
      <w:r>
        <w:t>Screener — the full ranked, filterable universe, scored on the composite above.</w:t>
      </w:r>
    </w:p>
    <w:p>
      <w:pPr>
        <w:pStyle w:val="ListBullet"/>
      </w:pPr>
      <w:r>
        <w:t>Positions — live IB Gateway prices/positions/account data over SSE, with daily and since-acquisition P&amp;L, long/short and sector grouping, portfolio volatility decomposition, and candlestick/volume detail charts.</w:t>
      </w:r>
    </w:p>
    <w:p>
      <w:pPr>
        <w:pStyle w:val="ListBullet"/>
      </w:pPr>
      <w:r>
        <w:t>Trades — today's fills, one row per ticker traded.</w:t>
      </w:r>
    </w:p>
    <w:p>
      <w:pPr>
        <w:pStyle w:val="ListBullet"/>
      </w:pPr>
      <w:r>
        <w:t>Portfolio — daily account performance from an IBKR Flex Query (NAV, P&amp;L, Sharpe/Sortino/volatility) with a NAV chart and full daily breakdown table.</w:t>
      </w:r>
    </w:p>
    <w:p>
      <w:pPr>
        <w:pStyle w:val="ListBullet"/>
      </w:pPr>
      <w:r>
        <w:t>Factsheet — a printable, formal-report-style summary (NAV chart, exposure chart, monthly returns table) suitable for exporting or sharing.</w:t>
      </w:r>
    </w:p>
    <w:p>
      <w:pPr>
        <w:pStyle w:val="ListBullet"/>
      </w:pPr>
      <w:r>
        <w:t>News — every FinBERT-scored headline currently cached, filterable by ticker.</w:t>
      </w:r>
    </w:p>
    <w:p>
      <w:pPr>
        <w:pStyle w:val="ListBullet"/>
      </w:pPr>
      <w:r>
        <w:t>Themes — held positions grouped by theme (Gold &amp; Precious Metals, Semiconductors &amp; AI, Fintech &amp; Payments, etc.), each ticker's exposure split evenly across its tags.</w:t>
      </w:r>
    </w:p>
    <w:p>
      <w:pPr>
        <w:pStyle w:val="ListBullet"/>
      </w:pPr>
      <w:r>
        <w:t>Sectors — the full universe grouped into an expandable Sector → Industry → Asset tree, each level averaging the same composite factors.</w:t>
      </w:r>
    </w:p>
    <w:p>
      <w:pPr>
        <w:pStyle w:val="ListBullet"/>
      </w:pPr>
      <w:r>
        <w:t>Holders — per-ticker institutional holders and 13F holdings detail.</w:t>
      </w:r>
    </w:p>
    <w:p>
      <w:pPr>
        <w:pStyle w:val="ListBullet"/>
      </w:pPr>
      <w:r>
        <w:t>Recommendations — a rules-driven Long/Short idea engine built on the composite score plus entry/exit gates (momentum, revenue growth, EPS trend, short interest, crowding), a Portfolio view flagging held positions to close/overbought/oversold, hedge and same-industry-concentration detection between positions, thumb-factor filters, and an embedded chat assistant for ad hoc questions.</w:t>
      </w:r>
    </w:p>
    <w:p>
      <w:pPr>
        <w:pStyle w:val="ListBullet"/>
      </w:pPr>
      <w:r>
        <w:t>Simulations — a Screener-style ranked table over the Monte Carlo EPS forecast (Section 4), one row per simulated ticker with every field the model produces as its own column, sorted by default on the industry-multiple median upside.</w:t>
      </w:r>
    </w:p>
    <w:p>
      <w:pPr>
        <w:pStyle w:val="ListBullet"/>
      </w:pPr>
      <w:r>
        <w:t>Dataset — an operations dashboard listing every generated data file (path, last refreshed, size) with one-click “Run” buttons to trigger the corresponding backend job and watch its live log.</w:t>
      </w:r>
    </w:p>
    <w:p>
      <w:pPr>
        <w:pStyle w:val="ListBullet"/>
      </w:pPr>
      <w:r>
        <w:t>Scoring — the composite score's weight breakdown plus a rating distribution table broken down by sector, the in-app counterpart to Section 3 above.</w:t>
      </w:r>
    </w:p>
    <w:p>
      <w:pPr>
        <w:pStyle w:val="Heading1"/>
      </w:pPr>
      <w:r>
        <w:t>6. Data &amp; File Layout</w:t>
      </w:r>
    </w:p>
    <w:p>
      <w:r>
        <w:t>Everything the backend downloads or computes lives under data/: data/yfinance/ for Yahoo Finance's raw payloads and the curated forward_pe.csv, data/IB/ for IB Gateway-derived bars, trades, and news, data/sec/ for SEC EDGAR filings, and data/output/ for the final computed artifacts (sorted_screen.csv, recommendations.json, news_sentiment.json, monte_carlo.json). Most of these are gitignored generated caches, regenerated by running the pipeline; symbols.json (the curated ticker universe) and the theme taxonomy/tag files are the hand-maintained exceptions.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