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PortfolioApp — Project Overview</w:t>
      </w:r>
    </w:p>
    <w:p>
      <w:pPr>
        <w:jc w:val="center"/>
      </w:pPr>
      <w:r>
        <w:rPr>
          <w:i/>
        </w:rPr>
        <w:t>A stock screener and IBKR portfolio tracker</w:t>
      </w:r>
    </w:p>
    <w:p>
      <w:pPr>
        <w:pStyle w:val="Heading1"/>
      </w:pPr>
      <w:r>
        <w:t>1. What This Project Is</w:t>
      </w:r>
    </w:p>
    <w:p>
      <w:r>
        <w:t>PortfolioApp is a personal investment research and portfolio-tracking system built around Interactive Brokers (IBKR). A Python backend pulls market data from several sources (Yahoo Finance, IBKR's TWS API, SEC EDGAR, FINRA, StockTwits), scores the whole tracked stock universe on a weighted composite of valuation, quality, growth, and sentiment factors, and tracks a live IBKR account (positions, trades, P&amp;L, account performance) in real time. A React/Vite frontend presents all of this across thirteen tabs, from a ranked screener table down to a rules-driven Long/Short recommendation engine with an embedded chat assistant.</w:t>
      </w:r>
    </w:p>
    <w:p>
      <w:r>
        <w:t>The two halves of the system are independent processes: main.py owns the on-demand download/scoring pipeline (run manually or on a schedule), and ib_server.py is a long-running local server that holds the live IB Gateway connection open, streaming prices/positions/account data to the frontend over Server-Sent Events and serving the on-disk datasets the pipeline produces.</w:t>
      </w:r>
    </w:p>
    <w:p>
      <w:pPr>
        <w:pStyle w:val="Heading1"/>
      </w:pPr>
      <w:r>
        <w:t>2. Data Pipeline (Python Backend)</w:t>
      </w:r>
    </w:p>
    <w:p>
      <w:r>
        <w:t>main.py is the entry point for every data download and scoring run, invoked as python main.py &lt;mode&gt;. Each mode is scoped to exactly what it needs to refresh, so a small update (e.g. backfilling one factor, or re-scoring after a formula change) doesn't require re-running the whole pipeline.</w:t>
      </w:r>
    </w:p>
    <w:p>
      <w:pPr>
        <w:pStyle w:val="ListBullet"/>
      </w:pPr>
      <w:r>
        <w:t>all / prices — the full screener pipeline: forward P/E and related valuation metrics from Yahoo Finance, momentum from IB Gateway's own daily/hourly bars (yfinance as fallback), and the composite score/rating for every active ticker in symbols.json.</w:t>
      </w:r>
    </w:p>
    <w:p>
      <w:pPr>
        <w:pStyle w:val="ListBullet"/>
      </w:pPr>
      <w:r>
        <w:t>rescore — rebuilds the score/rating columns from data already on disk, zero network calls, for when only the scoring formula itself changed.</w:t>
      </w:r>
    </w:p>
    <w:p>
      <w:pPr>
        <w:pStyle w:val="ListBullet"/>
      </w:pPr>
      <w:r>
        <w:t>form4 / xbrl / 13f / shortinterest — SEC EDGAR insider transactions, multi-year XBRL financial history, quarterly 13F institutional holdings, and FINRA short interest, each a separate, independently-rate-limited download.</w:t>
      </w:r>
    </w:p>
    <w:p>
      <w:pPr>
        <w:pStyle w:val="ListBullet"/>
      </w:pPr>
      <w:r>
        <w:t>themes — zero-shot classification (a local Hugging Face model, no API key) of each company's business description against a fixed theme taxonomy, for the Themes tab's exposure breakdown.</w:t>
      </w:r>
    </w:p>
    <w:p>
      <w:pPr>
        <w:pStyle w:val="ListBullet"/>
      </w:pPr>
      <w:r>
        <w:t>recommendations — rebuilds the Recommendations tab's underlying dataset from everything already on disk (score, momentum, news, insiders, institutions).</w:t>
      </w:r>
    </w:p>
    <w:p>
      <w:pPr>
        <w:pStyle w:val="ListBullet"/>
      </w:pPr>
      <w:r>
        <w:t>simulations — an EPS-driven Monte Carlo price simulation prototype (see Section 4 below).</w:t>
      </w:r>
    </w:p>
    <w:p>
      <w:pPr>
        <w:pStyle w:val="ListBullet"/>
      </w:pPr>
      <w:r>
        <w:t>epsvol / revgrowth / grossmargin / insiderown — targeted backfills for a single scoring factor, without redoing the whole valuation/momentum fetch.</w:t>
      </w:r>
    </w:p>
    <w:p>
      <w:r>
        <w:t>ib_server.py is the live counterpart: it holds the IB Gateway TWS API connection open, streams live prices/positions/account snapshots to the frontend over SSE, polls IBKR's Flex Web Service for account performance and trade fills, fetches and FinBERT-scores news headlines, and exposes the same download jobs main.py offers as "Run" buttons on the Dataset tab, so most of the pipeline can be triggered without a terminal.</w:t>
      </w:r>
    </w:p>
    <w:p>
      <w:pPr>
        <w:pStyle w:val="Heading1"/>
      </w:pPr>
      <w:r>
        <w:t>3. Scoring Methodology</w:t>
      </w:r>
    </w:p>
    <w:p>
      <w:r>
        <w:t>Every active ticker is scored on a weighted composite of independent factors (lower composite score is better), computed in modules/scoring.py. The score then buckets into a forced Strong Buy/Buy/Hold/Sell/Strong Sell distribution shaped like Zacks Rank (the best/worst 5% of the ranked universe land in the Strong tiers), independent of Yahoo Finance's own raw analyst consensus.</w:t>
      </w:r>
    </w:p>
    <w:tbl>
      <w:tblPr>
        <w:tblStyle w:val="LightGrid-Accent1"/>
        <w:tblW w:type="auto" w:w="0"/>
        <w:tblLook w:firstColumn="1" w:firstRow="1" w:lastColumn="0" w:lastRow="0" w:noHBand="0" w:noVBand="1" w:val="04A0"/>
      </w:tblPr>
      <w:tblGrid>
        <w:gridCol w:w="4320"/>
        <w:gridCol w:w="4320"/>
      </w:tblGrid>
      <w:tr>
        <w:tc>
          <w:tcPr>
            <w:tcW w:type="dxa" w:w="4320"/>
          </w:tcPr>
          <w:p>
            <w:r>
              <w:t>Weight</w:t>
            </w:r>
          </w:p>
        </w:tc>
        <w:tc>
          <w:tcPr>
            <w:tcW w:type="dxa" w:w="4320"/>
          </w:tcPr>
          <w:p>
            <w:r>
              <w:t>Factor</w:t>
            </w:r>
          </w:p>
        </w:tc>
      </w:tr>
      <w:tr>
        <w:tc>
          <w:tcPr>
            <w:tcW w:type="dxa" w:w="4320"/>
          </w:tcPr>
          <w:p>
            <w:r>
              <w:t>5%</w:t>
            </w:r>
          </w:p>
        </w:tc>
        <w:tc>
          <w:tcPr>
            <w:tcW w:type="dxa" w:w="4320"/>
          </w:tcPr>
          <w:p>
            <w:r>
              <w:t>Low forward P/E</w:t>
            </w:r>
          </w:p>
        </w:tc>
      </w:tr>
      <w:tr>
        <w:tc>
          <w:tcPr>
            <w:tcW w:type="dxa" w:w="4320"/>
          </w:tcPr>
          <w:p>
            <w:r>
              <w:t>10%</w:t>
            </w:r>
          </w:p>
        </w:tc>
        <w:tc>
          <w:tcPr>
            <w:tcW w:type="dxa" w:w="4320"/>
          </w:tcPr>
          <w:p>
            <w:r>
              <w:t>Low forward P/E relative to sector average</w:t>
            </w:r>
          </w:p>
        </w:tc>
      </w:tr>
      <w:tr>
        <w:tc>
          <w:tcPr>
            <w:tcW w:type="dxa" w:w="4320"/>
          </w:tcPr>
          <w:p>
            <w:r>
              <w:t>5%</w:t>
            </w:r>
          </w:p>
        </w:tc>
        <w:tc>
          <w:tcPr>
            <w:tcW w:type="dxa" w:w="4320"/>
          </w:tcPr>
          <w:p>
            <w:r>
              <w:t>Low price/FCF (negative or missing FCF ranked worst)</w:t>
            </w:r>
          </w:p>
        </w:tc>
      </w:tr>
      <w:tr>
        <w:tc>
          <w:tcPr>
            <w:tcW w:type="dxa" w:w="4320"/>
          </w:tcPr>
          <w:p>
            <w:r>
              <w:t>5%</w:t>
            </w:r>
          </w:p>
        </w:tc>
        <w:tc>
          <w:tcPr>
            <w:tcW w:type="dxa" w:w="4320"/>
          </w:tcPr>
          <w:p>
            <w:r>
              <w:t>Low EV/EBITDA (negative EBITDA ranked worst)</w:t>
            </w:r>
          </w:p>
        </w:tc>
      </w:tr>
      <w:tr>
        <w:tc>
          <w:tcPr>
            <w:tcW w:type="dxa" w:w="4320"/>
          </w:tcPr>
          <w:p>
            <w:r>
              <w:t>2.5%</w:t>
            </w:r>
          </w:p>
        </w:tc>
        <w:tc>
          <w:tcPr>
            <w:tcW w:type="dxa" w:w="4320"/>
          </w:tcPr>
          <w:p>
            <w:r>
              <w:t>Low trailing P/S — stays meaningful for unprofitable names</w:t>
            </w:r>
          </w:p>
        </w:tc>
      </w:tr>
      <w:tr>
        <w:tc>
          <w:tcPr>
            <w:tcW w:type="dxa" w:w="4320"/>
          </w:tcPr>
          <w:p>
            <w:r>
              <w:t>5%</w:t>
            </w:r>
          </w:p>
        </w:tc>
        <w:tc>
          <w:tcPr>
            <w:tcW w:type="dxa" w:w="4320"/>
          </w:tcPr>
          <w:p>
            <w:r>
              <w:t>High daily-timeframe momentum (regression-slope trend / its own volatility)</w:t>
            </w:r>
          </w:p>
        </w:tc>
      </w:tr>
      <w:tr>
        <w:tc>
          <w:tcPr>
            <w:tcW w:type="dxa" w:w="4320"/>
          </w:tcPr>
          <w:p>
            <w:r>
              <w:t>5%</w:t>
            </w:r>
          </w:p>
        </w:tc>
        <w:tc>
          <w:tcPr>
            <w:tcW w:type="dxa" w:w="4320"/>
          </w:tcPr>
          <w:p>
            <w:r>
              <w:t>High hourly-timeframe mean reversion (short-term reversal signal)</w:t>
            </w:r>
          </w:p>
        </w:tc>
      </w:tr>
      <w:tr>
        <w:tc>
          <w:tcPr>
            <w:tcW w:type="dxa" w:w="4320"/>
          </w:tcPr>
          <w:p>
            <w:r>
              <w:t>5%</w:t>
            </w:r>
          </w:p>
        </w:tc>
        <w:tc>
          <w:tcPr>
            <w:tcW w:type="dxa" w:w="4320"/>
          </w:tcPr>
          <w:p>
            <w:r>
              <w:t>EPS trend (current + next fiscal year 30-day consensus estimate revision)</w:t>
            </w:r>
          </w:p>
        </w:tc>
      </w:tr>
      <w:tr>
        <w:tc>
          <w:tcPr>
            <w:tcW w:type="dxa" w:w="4320"/>
          </w:tcPr>
          <w:p>
            <w:r>
              <w:t>7.5%</w:t>
            </w:r>
          </w:p>
        </w:tc>
        <w:tc>
          <w:tcPr>
            <w:tcW w:type="dxa" w:w="4320"/>
          </w:tcPr>
          <w:p>
            <w:r>
              <w:t>High revenue growth (dilution-adjusted, per share)</w:t>
            </w:r>
          </w:p>
        </w:tc>
      </w:tr>
      <w:tr>
        <w:tc>
          <w:tcPr>
            <w:tcW w:type="dxa" w:w="4320"/>
          </w:tcPr>
          <w:p>
            <w:r>
              <w:t>7.5%</w:t>
            </w:r>
          </w:p>
        </w:tc>
        <w:tc>
          <w:tcPr>
            <w:tcW w:type="dxa" w:w="4320"/>
          </w:tcPr>
          <w:p>
            <w:r>
              <w:t>Analyst conviction (target upside + recommendation + low target dispersion)</w:t>
            </w:r>
          </w:p>
        </w:tc>
      </w:tr>
      <w:tr>
        <w:tc>
          <w:tcPr>
            <w:tcW w:type="dxa" w:w="4320"/>
          </w:tcPr>
          <w:p>
            <w:r>
              <w:t>5%</w:t>
            </w:r>
          </w:p>
        </w:tc>
        <w:tc>
          <w:tcPr>
            <w:tcW w:type="dxa" w:w="4320"/>
          </w:tcPr>
          <w:p>
            <w:r>
              <w:t>Forward P/E vs. trailing P/E (more negative is better)</w:t>
            </w:r>
          </w:p>
        </w:tc>
      </w:tr>
      <w:tr>
        <w:tc>
          <w:tcPr>
            <w:tcW w:type="dxa" w:w="4320"/>
          </w:tcPr>
          <w:p>
            <w:r>
              <w:t>5%</w:t>
            </w:r>
          </w:p>
        </w:tc>
        <w:tc>
          <w:tcPr>
            <w:tcW w:type="dxa" w:w="4320"/>
          </w:tcPr>
          <w:p>
            <w:r>
              <w:t>Low PEG ratio</w:t>
            </w:r>
          </w:p>
        </w:tc>
      </w:tr>
      <w:tr>
        <w:tc>
          <w:tcPr>
            <w:tcW w:type="dxa" w:w="4320"/>
          </w:tcPr>
          <w:p>
            <w:r>
              <w:t>5%</w:t>
            </w:r>
          </w:p>
        </w:tc>
        <w:tc>
          <w:tcPr>
            <w:tcW w:type="dxa" w:w="4320"/>
          </w:tcPr>
          <w:p>
            <w:r>
              <w:t>Low debt/equity relative to sector average</w:t>
            </w:r>
          </w:p>
        </w:tc>
      </w:tr>
      <w:tr>
        <w:tc>
          <w:tcPr>
            <w:tcW w:type="dxa" w:w="4320"/>
          </w:tcPr>
          <w:p>
            <w:r>
              <w:t>2.5%</w:t>
            </w:r>
          </w:p>
        </w:tc>
        <w:tc>
          <w:tcPr>
            <w:tcW w:type="dxa" w:w="4320"/>
          </w:tcPr>
          <w:p>
            <w:r>
              <w:t>Liquidity (quick + current ratio)</w:t>
            </w:r>
          </w:p>
        </w:tc>
      </w:tr>
      <w:tr>
        <w:tc>
          <w:tcPr>
            <w:tcW w:type="dxa" w:w="4320"/>
          </w:tcPr>
          <w:p>
            <w:r>
              <w:t>5%</w:t>
            </w:r>
          </w:p>
        </w:tc>
        <w:tc>
          <w:tcPr>
            <w:tcW w:type="dxa" w:w="4320"/>
          </w:tcPr>
          <w:p>
            <w:r>
              <w:t>High return on equity</w:t>
            </w:r>
          </w:p>
        </w:tc>
      </w:tr>
      <w:tr>
        <w:tc>
          <w:tcPr>
            <w:tcW w:type="dxa" w:w="4320"/>
          </w:tcPr>
          <w:p>
            <w:r>
              <w:t>5%</w:t>
            </w:r>
          </w:p>
        </w:tc>
        <w:tc>
          <w:tcPr>
            <w:tcW w:type="dxa" w:w="4320"/>
          </w:tcPr>
          <w:p>
            <w:r>
              <w:t>Short interest (deliberately contrarian — more shorted scores better)</w:t>
            </w:r>
          </w:p>
        </w:tc>
      </w:tr>
      <w:tr>
        <w:tc>
          <w:tcPr>
            <w:tcW w:type="dxa" w:w="4320"/>
          </w:tcPr>
          <w:p>
            <w:r>
              <w:t>5%</w:t>
            </w:r>
          </w:p>
        </w:tc>
        <w:tc>
          <w:tcPr>
            <w:tcW w:type="dxa" w:w="4320"/>
          </w:tcPr>
          <w:p>
            <w:r>
              <w:t>Combined news + social + institutional sentiment (incl. QoQ 13F share change)</w:t>
            </w:r>
          </w:p>
        </w:tc>
      </w:tr>
      <w:tr>
        <w:tc>
          <w:tcPr>
            <w:tcW w:type="dxa" w:w="4320"/>
          </w:tcPr>
          <w:p>
            <w:r>
              <w:t>5%</w:t>
            </w:r>
          </w:p>
        </w:tc>
        <w:tc>
          <w:tcPr>
            <w:tcW w:type="dxa" w:w="4320"/>
          </w:tcPr>
          <w:p>
            <w:r>
              <w:t>Insiders (SEC Form 4 open-market buys minus sells, as a share of both)</w:t>
            </w:r>
          </w:p>
        </w:tc>
      </w:tr>
      <w:tr>
        <w:tc>
          <w:tcPr>
            <w:tcW w:type="dxa" w:w="4320"/>
          </w:tcPr>
          <w:p>
            <w:r>
              <w:t>5%</w:t>
            </w:r>
          </w:p>
        </w:tc>
        <w:tc>
          <w:tcPr>
            <w:tcW w:type="dxa" w:w="4320"/>
          </w:tcPr>
          <w:p>
            <w:r>
              <w:t>Margins (profit + operating)</w:t>
            </w:r>
          </w:p>
        </w:tc>
      </w:tr>
    </w:tbl>
    <w:p/>
    <w:p>
      <w:pPr>
        <w:pStyle w:val="Heading1"/>
      </w:pPr>
      <w:r>
        <w:t>4. Monte Carlo EPS Forecast (Prototype)</w:t>
      </w:r>
    </w:p>
    <w:p>
      <w:r>
        <w:t>python main.py simulations runs an EPS-driven Monte Carlo price simulation — zero network calls, reading only data/yfinance/forward_pe.csv — and writes data/output/simulations.json. Defaults to the full active universe (well under a minute, numpy-vectorized, across roughly 1,900 tickers) when no tickers are given, same as simulations --all, which is what feeds the Simulations tab; given a specific ticker list instead, runs just those. It answers a narrow question: given what's already known about a company's earnings trajectory — not just today's consensus estimate, but where analysts are revising it and whether the business can sustain that — what's this stock's plausible fair value today, weighted by how much that projection should actually be trusted?</w:t>
      </w:r>
    </w:p>
    <w:p>
      <w:pPr>
        <w:pStyle w:val="Heading2"/>
      </w:pPr>
      <w:r>
        <w:t>The formula</w:t>
      </w:r>
    </w:p>
    <w:p>
      <w:pPr>
        <w:pStyle w:val="ListBullet"/>
      </w:pPr>
      <w:r>
        <w:t>mu_eps is a 5-year average of a discounted EPS path anchored not at forwardEps directly but at anchorEps = currentPrice / industryMedianPe — the EPS today's price already implies at the peer group's own multiple. When no industry multiple is available, falls back to a 50/50 blend of epsCurrentYear (current-fiscal-year consensus EPS) and forwardEps, then a 50/50 blend of trailingEps (= currentPrice / trailingPE) and forwardEps, then forwardEps alone — blending rather than trusting either fallback estimate in isolation, since each is a single (potentially noisy) data source. From that anchor, the growth rate reverts from ownGrowthRate = avg(epsTrend, marginAdjustedRevenueGrowth) toward industryGrowthRate (the same combination built from the peer group's median epsTrend / revenueGrowth / operatingMargin) over 4 annual steps via a concave square-root schedule: weight wₜ = √((4−t)/4) on the own rate at step t, so year 1 is ≈87% own / 13% industry, year 2 ≈71/29, year 3 ≈50/50, and year 4 is 0/100 — pure industry, a gradual fade rather than a hard cutover after year 1. Year 1's growth rate is additionally blended 50/50 with g_fwd = forwardEps / anchorEps − 1, letting the analyst-consensus forwardEps estimate nudge — without fully anchoring — the nearest-term step. marginAdjustedRevenueGrowth = revenueGrowth × operatingMargin (revenue growth converted to its earnings-equivalent); all growth rates are clamped to −99%/+100% per year so a near-zero-baseline artifact can't flip the path's sign or compound into an absurd multiple.</w:t>
      </w:r>
    </w:p>
    <w:p>
      <w:pPr>
        <w:pStyle w:val="ListBullet"/>
      </w:pPr>
      <w:r>
        <w:t>Each year of the resulting epsPath is discounted back to present value at effectiveDiscountRate = 5% × clamp(beta, 0.5, 3.0) — a CAPM-style stand-in for cost of equity, so a higher-beta ticker's future earnings count for less today (beta defaults to 1.0 when missing; clamped so one extreme beta reading can't over-discount the whole 5-year path). mu_eps is the mean of that discounted path — already a genuine present value, not a nominal figure that still needs discounting later; sigma_eps = combinedVol × |mu_eps|, where combinedVol blends historical earnings unpredictability with analyst disagreement as independent uncertainty sources: combinedVol = √(epsVolatility² + analystDispersion²) (root-sum-square), epsVolatility being stdev/mean of the company's own trailing up to 5 years of annual EPS (floored at 20% for missing or implausibly quiet data), and analystDispersion = (targetHighPrice − targetLowPrice) / (2 × targetMeanPrice) when analyst price targets are on file. 20,000 EPS draws are then taken from Normal(mu_eps, sigma_eps).</w:t>
      </w:r>
    </w:p>
    <w:p>
      <w:pPr>
        <w:pStyle w:val="ListBullet"/>
      </w:pPr>
      <w:r>
        <w:t>Draws are floored ONLY at 0 — a below-zero simulated EPS draw isn't sellable through this model, so it's treated as ‘worth nothing’ rather than producing a nonsensical negative price. No analyst-target-derived floor or cap on either side: an earlier version had both (targetLowPrice/targetHighPrice converted to an EPS bound via industryMedianPe, scaled into mu_eps’s 5-year-average space by mu_eps / forwardEps), but whenever the bound’s own min()/max() picked the abs(forwardEps) branch, the rescaling collapsed it to EXACTLY mu_eps — silently clipping half the distribution to a single point. Confirmed live on the cap side for individual tickers, and on the floor side for 83% of the simulated universe (binding on more than 25% of draws; several tickers had epsFloor == muEps to the last decimal, and for the worst cases even the median collapsed to the same clipped value as P5/P25). Both removed rather than patched. The floored draws are priced a single way — at industryMedianPe only, the peer group’s MEDIAN forwardPE (same industry-then-sector-fallback peer group as the growth rate above) — and the resulting price distribution’s mean/median/standard deviation/percentiles and probability of landing above today’s price are reported as priceAtIndustryMultiple.</w:t>
      </w:r>
    </w:p>
    <w:p>
      <w:pPr>
        <w:pStyle w:val="ListBullet"/>
      </w:pPr>
      <w:r>
        <w:t>confidence = 1 / (1 + combinedVol) pulls a ‘fair value today’ toward currentPrice in proportion to how much the estimate should be trusted: forecastPrice = currentPrice + confidence × (industryMultiple median − currentPrice). This IS forecastPrice — no further adjustment needed, since mu_eps is already a genuine present value from the discounted 5-year EPS path above. An earlier version additionally shifted it forward one year (× (1 + effectiveDiscountRate)), reasoning that a fairly-valued asset should also mechanically drift up by its cost of equity over the next year — dropped, because for a high-beta ticker that let a beta-sized markup dominate forecastReturn regardless of the earnings view, and put forecastPrice on a different horizon than priceAtIndustryMultiple's own probAboveCurrentPrice (today), so the two could disagree about which side of even a ticker was on for no visible reason. forecastReturn = forecastPrice / currentPrice − 1 is the ranking signal the Simulations tab sorts on. The SAME confidence-weighted transform applied to industryMultiple's P5/P25/P75/P95 instead of its median gives forecastPriceP5/P25/P75/P95 — P5/P95 double as this model's bear/bull case (floor/ceiling), replacing the earlier separate analyst-target-derived priceFloor/priceCap fields.</w:t>
      </w:r>
    </w:p>
    <w:p>
      <w:r>
        <w:t>This is explicitly a prototype: Normal is a simplifying assumption for what are often skewed, fat-tailed real-world EPS distributions, and the model is earnings-driven only — it says nothing about sentiment, macro, or narrative-driven re-rating. The industry multiple is a fixed what-if scenario (‘at the peer group's current median multiple’), not a forecast of where multiples are headed. There is no fundamental book-value price floor — an earlier version had one, but it was built from this same model's own projected EPS path and ended up silently overriding a genuinely bearish view for a meaningful share of the universe. The output is meant as a probabilistic sanity-check range, not a price target.</w:t>
      </w:r>
    </w:p>
    <w:p>
      <w:pPr>
        <w:pStyle w:val="Heading1"/>
      </w:pPr>
      <w:r>
        <w:t>5. Frontend Application</w:t>
      </w:r>
    </w:p>
    <w:p>
      <w:r>
        <w:t>The React/Vite frontend (web/) presents the backend's output across thirteen tabs:</w:t>
      </w:r>
    </w:p>
    <w:p>
      <w:pPr>
        <w:pStyle w:val="ListBullet"/>
      </w:pPr>
      <w:r>
        <w:t>Screener — the full ranked, filterable universe, scored on the composite above.</w:t>
      </w:r>
    </w:p>
    <w:p>
      <w:pPr>
        <w:pStyle w:val="ListBullet"/>
      </w:pPr>
      <w:r>
        <w:t>Positions — live IB Gateway prices/positions/account data over SSE, with daily and since-acquisition P&amp;L, long/short and sector grouping, portfolio volatility decomposition, and candlestick/volume detail charts.</w:t>
      </w:r>
    </w:p>
    <w:p>
      <w:pPr>
        <w:pStyle w:val="ListBullet"/>
      </w:pPr>
      <w:r>
        <w:t>Trades — today's fills, one row per ticker traded.</w:t>
      </w:r>
    </w:p>
    <w:p>
      <w:pPr>
        <w:pStyle w:val="ListBullet"/>
      </w:pPr>
      <w:r>
        <w:t>Portfolio — daily account performance from an IBKR Flex Query (NAV, P&amp;L, Sharpe/Sortino/volatility) with a NAV chart and full daily breakdown table.</w:t>
      </w:r>
    </w:p>
    <w:p>
      <w:pPr>
        <w:pStyle w:val="ListBullet"/>
      </w:pPr>
      <w:r>
        <w:t>Factsheet — a printable, formal-report-style summary (NAV chart, exposure chart, monthly returns table) suitable for exporting or sharing.</w:t>
      </w:r>
    </w:p>
    <w:p>
      <w:pPr>
        <w:pStyle w:val="ListBullet"/>
      </w:pPr>
      <w:r>
        <w:t>News — every FinBERT-scored headline currently cached, filterable by ticker.</w:t>
      </w:r>
    </w:p>
    <w:p>
      <w:pPr>
        <w:pStyle w:val="ListBullet"/>
      </w:pPr>
      <w:r>
        <w:t>Themes — held positions grouped by theme (Gold &amp; Precious Metals, Semiconductors &amp; AI, Fintech &amp; Payments, etc.), each ticker's exposure split evenly across its tags.</w:t>
      </w:r>
    </w:p>
    <w:p>
      <w:pPr>
        <w:pStyle w:val="ListBullet"/>
      </w:pPr>
      <w:r>
        <w:t>Sectors — the full universe grouped into an expandable Sector → Industry → Asset tree, each level averaging the same composite factors.</w:t>
      </w:r>
    </w:p>
    <w:p>
      <w:pPr>
        <w:pStyle w:val="ListBullet"/>
      </w:pPr>
      <w:r>
        <w:t>Holders — per-ticker institutional holders and 13F holdings detail.</w:t>
      </w:r>
    </w:p>
    <w:p>
      <w:pPr>
        <w:pStyle w:val="ListBullet"/>
      </w:pPr>
      <w:r>
        <w:t>Recommendations — a rules-driven Long/Short idea engine built on the composite score plus entry/exit gates (momentum, revenue growth, EPS trend, short interest, crowding), a Portfolio view flagging held positions to close/overbought/oversold, hedge and same-industry-concentration detection between positions, thumb-factor filters, and an embedded chat assistant for ad hoc questions.</w:t>
      </w:r>
    </w:p>
    <w:p>
      <w:pPr>
        <w:pStyle w:val="ListBullet"/>
      </w:pPr>
      <w:r>
        <w:t>Simulations — a Screener-style ranked table over the Monte Carlo EPS forecast (Section 4), one row per simulated ticker with every field the model produces as its own column, sorted by default on the industry-multiple median upside.</w:t>
      </w:r>
    </w:p>
    <w:p>
      <w:pPr>
        <w:pStyle w:val="ListBullet"/>
      </w:pPr>
      <w:r>
        <w:t>Dataset — an operations dashboard listing every generated data file (path, last refreshed, size) with one-click “Run” buttons to trigger the corresponding backend job and watch its live log.</w:t>
      </w:r>
    </w:p>
    <w:p>
      <w:pPr>
        <w:pStyle w:val="ListBullet"/>
      </w:pPr>
      <w:r>
        <w:t>Scoring — the composite score's weight breakdown plus a rating distribution table broken down by sector, the in-app counterpart to Section 3 above.</w:t>
      </w:r>
    </w:p>
    <w:p>
      <w:pPr>
        <w:pStyle w:val="Heading1"/>
      </w:pPr>
      <w:r>
        <w:t>6. Data &amp; File Layout</w:t>
      </w:r>
    </w:p>
    <w:p>
      <w:r>
        <w:t>Everything the backend downloads or computes lives under data/: data/yfinance/ for Yahoo Finance's raw payloads and the curated forward_pe.csv, data/IB/ for IB Gateway-derived bars, trades, and news, data/sec/ for SEC EDGAR filings, and data/output/ for the final computed artifacts (sorted_screen.csv, recommendations.json, news_sentiment.json, simulations.json). Most of these are gitignored generated caches, regenerated by running the pipeline; symbols.json (the curated ticker universe) and the theme taxonomy/tag files are the hand-maintained exceptions.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