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571500" cy="571500"/>
            <wp:effectExtent t="0" r="0" b="0" l="0"/>
            <wp:docPr id="1" name="logo" descr="Logo" title="Luxaeon Sp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SITE VISIT &amp; MEASUREMENT CHECKLIST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4A4A4A"/>
          <w:sz w:val="13"/>
          <w:szCs w:val="13"/>
        </w:rPr>
        <w:t xml:space="preserve">Project: [NAME]   |   Date: [DATE]   |   Attendees: [NAMES]</w:t>
      </w:r>
    </w:p>
    <w:p>
      <w:pPr>
        <w:pBdr>
          <w:bottom w:val="single" w:color="C9A96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Before You Leave the Office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Confirm appointment time and access arrangements with client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Charge phone / camera / laser measure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Pack: tape measure, laser, notepad, floor plan (if any), camera, spirit level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Review existing brief and any previous notes</w:t>
      </w:r>
    </w:p>
    <w:p>
      <w:pPr>
        <w:pBdr>
          <w:bottom w:val="single" w:color="C9A96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On Site – General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Take overall photos of each room (all angles + corners)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Note existing furniture the client wants to keep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Note architectural features, windows, doors, ceiling height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Check natural light direction and existing artificial lighting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Identify power outlets, switches, AC units, TV points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Note any damage, damp, uneven floors or constraints</w:t>
      </w:r>
    </w:p>
    <w:p>
      <w:pPr>
        <w:pBdr>
          <w:bottom w:val="single" w:color="C9A96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Measurements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Overall room dimensions (length × width × height)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Window and door sizes + positions from walls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Ceiling height variations if any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Fixed elements (kitchen units, wardrobes, radiators etc.)</w:t>
      </w:r>
    </w:p>
    <w:p>
      <w:pPr>
        <w:pBdr>
          <w:bottom w:val="single" w:color="C9A96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Client Discussion on Site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Confirm priorities and must-haves while standing in the space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Discuss lifestyle flow and any problem areas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Note client reactions to existing finishes / colours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Key observations / decisions made on site: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
________________________________________________</w:t>
      </w:r>
    </w:p>
    <w:p>
      <w:pPr>
        <w:pBdr>
          <w:bottom w:val="single" w:color="CCCCCC" w:sz="4"/>
        </w:pBdr>
        <w:spacing w:after="30"/>
      </w:pPr>
      <w:r>
        <w:rPr>
          <w:rFonts w:ascii="Calibri" w:cs="Calibri" w:eastAsia="Calibri" w:hAnsi="Calibri"/>
          <w:sz w:val="14"/>
          <w:szCs w:val="14"/>
        </w:rPr>
        <w:t xml:space="preserve"> </w:t>
      </w:r>
    </w:p>
    <w:p>
      <w:pPr>
        <w:pBdr>
          <w:bottom w:val="single" w:color="CCCCCC" w:sz="4"/>
        </w:pBdr>
        <w:spacing w:after="30"/>
      </w:pPr>
      <w:r>
        <w:rPr>
          <w:rFonts w:ascii="Calibri" w:cs="Calibri" w:eastAsia="Calibri" w:hAnsi="Calibri"/>
          <w:sz w:val="14"/>
          <w:szCs w:val="14"/>
        </w:rPr>
        <w:t xml:space="preserve"> 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Follow-up actions required: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
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9B5" w:sz="6" w:space="3"/>
      </w:pBdr>
      <w:jc w:val="center"/>
    </w:pPr>
    <w:r>
      <w:rPr>
        <w:rFonts w:ascii="Calibri" w:cs="Calibri" w:eastAsia="Calibri" w:hAnsi="Calibri"/>
        <w:color w:val="4A4A4A"/>
        <w:sz w:val="14"/>
        <w:szCs w:val="14"/>
      </w:rPr>
      <w:t xml:space="preserve">Site Visit  •  Luxaeon Spaces  •  Page </w:t>
    </w:r>
    <w:r>
      <w:rPr>
        <w:rFonts w:ascii="Calibri" w:cs="Calibri" w:eastAsia="Calibri" w:hAnsi="Calibri"/>
        <w:color w:val="4A4A4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5C1A1B"/>
        <w:sz w:val="16"/>
        <w:szCs w:val="16"/>
      </w:rPr>
      <w:t xml:space="preserve">LUXAEON SPACES</w:t>
    </w:r>
    <w:r>
      <w:rPr>
        <w:rFonts w:ascii="Calibri" w:cs="Calibri" w:eastAsia="Calibri" w:hAnsi="Calibri"/>
        <w:color w:val="4A4A4A"/>
        <w:sz w:val="14"/>
        <w:szCs w:val="14"/>
      </w:rPr>
      <w:t xml:space="preserve">  |  Site Visit Checklist</w:t>
    </w:r>
  </w:p>
  <w:p>
    <w:pPr>
      <w:pBdr>
        <w:bottom w:val="single" w:color="C9A96E" w:sz="10" w:space="3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4f93b5d2b4412ab1dbe153f54b1efc8389686c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2026-08-13T08:03:22.968Z</dcterms:created>
  <dcterms:modified xsi:type="dcterms:W3CDTF">2026-08-13T08:03:22.968Z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