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0F172A"/>
            <w:tcMar>
              <w:top w:w="240" w:type="dxa"/>
              <w:bottom w:w="240" w:type="dxa"/>
              <w:left w:w="240" w:type="dxa"/>
              <w:right w:w="240" w:type="dxa"/>
            </w:tcMar>
          </w:tcPr>
          <w:p>
            <w:pPr>
              <w:spacing w:after="80"/>
            </w:pPr>
            <w:r>
              <w:rPr>
                <w:rFonts w:ascii="Arial" w:hAnsi="Arial"/>
                <w:b/>
                <w:color w:val="06B6D4"/>
                <w:sz w:val="17"/>
              </w:rPr>
              <w:t>PGE EXECUTIVE STRATEGIC INTELLIGENCE REPORT | 2026 AUDIT</w:t>
              <w:br/>
            </w:r>
            <w:r>
              <w:rPr>
                <w:rFonts w:ascii="Arial" w:hAnsi="Arial"/>
                <w:b/>
                <w:color w:val="FFFFFF"/>
                <w:sz w:val="32"/>
              </w:rPr>
              <w:t>DIAGNOSA PENURUNAN KINERJA 2026, RETENSI PEMBELI &amp; RISIKO KEJENUHAN PASAR (MARKET FATIGUE)</w:t>
              <w:br/>
            </w:r>
            <w:r>
              <w:rPr>
                <w:rFonts w:ascii="Arial" w:hAnsi="Arial"/>
                <w:color w:val="94A3B8"/>
                <w:sz w:val="19"/>
              </w:rPr>
              <w:t>Analisis Komprehensif Berbasis Data Master 305.751 Transaksi (2023–2026) &amp; Lanskap Makroekonomi Indonesia</w:t>
            </w:r>
          </w:p>
        </w:tc>
      </w:tr>
    </w:tbl>
    <w:p>
      <w:pPr>
        <w:spacing w:after="80"/>
      </w:pPr>
    </w:p>
    <w:p>
      <w:pPr>
        <w:spacing w:before="320" w:after="120"/>
      </w:pPr>
      <w:r>
        <w:rPr>
          <w:rFonts w:ascii="Arial" w:hAnsi="Arial"/>
          <w:b/>
          <w:color w:val="0F172A"/>
          <w:sz w:val="26"/>
        </w:rPr>
        <w:t>1. Executive Summary &amp; Temuan Kunci (The Hard Truth)</w:t>
      </w:r>
    </w:p>
    <w:p>
      <w:pPr>
        <w:spacing w:line="276" w:lineRule="auto" w:after="160"/>
      </w:pPr>
      <w:r>
        <w:t>Laporan ini disusun untuk menjawab pertanyaan mendasar manajemen PGE: Mengapa tren penjualan 2026 mengalami kontraksi tajam, apakah melempar produk acak (random SKUs) mempercepat kejenuhan pasar, dan kapan pasar akan benar-benar jenuh jika tren ini terus berlanjut tanpa perubahan arah strategi.</w:t>
        <w:br/>
        <w:br/>
        <w:t>Berdasarkan audit data faktual 4 tahun (305.751 transaksi internal PGE) disandingkan dengan dinamika makroekonomi dan pembaruan algoritma marketplace (Shopee &amp; TikTok Shop 2026), ditemukan tiga fakta keras tanpa penghalusan kata:</w:t>
      </w:r>
    </w:p>
    <w:p>
      <w:pPr>
        <w:pStyle w:val="ListBullet"/>
        <w:spacing w:after="80"/>
      </w:pPr>
      <w:r>
        <w:rPr>
          <w:rFonts w:ascii="Arial" w:hAnsi="Arial"/>
          <w:b/>
          <w:sz w:val="19"/>
        </w:rPr>
        <w:t xml:space="preserve">Bukan Jumlah Order yang Runtuh, Melainkan Ukuran Keranjang Belanja (AOV &amp; Unit): </w:t>
      </w:r>
      <w:r>
        <w:rPr>
          <w:rFonts w:ascii="Arial" w:hAnsi="Arial"/>
          <w:sz w:val="19"/>
        </w:rPr>
        <w:t>Pesanan Jan–Agu 2026 hanya turun -26% (19.924 vs 26.921 order di 2024), namun total unit yang diborong anjlok drastis -63,4% (dari 330 ribu pcs menjadi 120 ribu pcs). Rata-rata barang per keranjang belanja turun dari 12 pcs menjadi 6 pcs per transaksi.</w:t>
      </w:r>
    </w:p>
    <w:p>
      <w:pPr>
        <w:pStyle w:val="ListBullet"/>
        <w:spacing w:after="80"/>
      </w:pPr>
      <w:r>
        <w:rPr>
          <w:rFonts w:ascii="Arial" w:hAnsi="Arial"/>
          <w:b/>
          <w:sz w:val="19"/>
        </w:rPr>
        <w:t xml:space="preserve">Tingkat Kematian Katalog Mencapai 85,2%: </w:t>
      </w:r>
      <w:r>
        <w:rPr>
          <w:rFonts w:ascii="Arial" w:hAnsi="Arial"/>
          <w:sz w:val="19"/>
        </w:rPr>
        <w:t>Dari 11.986 SKU yang pernah dibuat PGE sepanjang 2023–2026, sebanyak 8.824 SKU (73,6%) hanya hidup 1 tahun lalu lenyap. Sebanyak 10.213 SKU (85,2%) sudah berstatus mati/ditelantarkan sebelum 2026. Strategi melempar produk acak terbukti secara historis memiliki tingkat kegagalan 85%.</w:t>
      </w:r>
    </w:p>
    <w:p>
      <w:pPr>
        <w:pStyle w:val="ListBullet"/>
        <w:spacing w:after="80"/>
      </w:pPr>
      <w:r>
        <w:rPr>
          <w:rFonts w:ascii="Arial" w:hAnsi="Arial"/>
          <w:b/>
          <w:sz w:val="19"/>
        </w:rPr>
        <w:t xml:space="preserve">Ketiadaan Retensi Pembeli Alami (Repeat Order &lt; 2%): </w:t>
      </w:r>
      <w:r>
        <w:rPr>
          <w:rFonts w:ascii="Arial" w:hAnsi="Arial"/>
          <w:sz w:val="19"/>
        </w:rPr>
        <w:t>Dari 30.607 pembeli unik PGE tahun 2024, hanya 2,0% yang kembali berbelanja di 2026. PGE selama ini bukan bertumpu pada pelanggan loyal, melainkan bergantung penuh pada akuisisi pembeli baru (New Acquisition Engine). Begitu daya beli kelas menengah melemah dan subsidi ongkir berkurang, omzet langsung terpukul -44,5%.</w:t>
      </w:r>
    </w:p>
    <w:p>
      <w:pPr>
        <w:spacing w:before="320" w:after="120"/>
      </w:pPr>
      <w:r>
        <w:rPr>
          <w:rFonts w:ascii="Arial" w:hAnsi="Arial"/>
          <w:b/>
          <w:color w:val="0F172A"/>
          <w:sz w:val="26"/>
        </w:rPr>
        <w:t>2. Pembedahan Data Internal: Perbandingan Apple-to-Apple (Jan–Agu 2023–2026)</w:t>
      </w:r>
    </w:p>
    <w:tbl>
      <w:tblPr>
        <w:tblW w:type="auto" w:w="0"/>
        <w:jc w:val="center"/>
        <w:tblLook w:firstColumn="1" w:firstRow="1" w:lastColumn="0" w:lastRow="0" w:noHBand="0" w:noVBand="1" w:val="04A0"/>
      </w:tblPr>
      <w:tblGrid>
        <w:gridCol w:w="3168"/>
        <w:gridCol w:w="1296"/>
        <w:gridCol w:w="1440"/>
        <w:gridCol w:w="1296"/>
        <w:gridCol w:w="1440"/>
        <w:gridCol w:w="1152"/>
      </w:tblGrid>
      <w:tr>
        <w:tc>
          <w:tcPr>
            <w:tcW w:type="dxa" w:w="1632"/>
            <w:shd w:fill="1E293B"/>
            <w:tcMar>
              <w:top w:w="80" w:type="dxa"/>
              <w:bottom w:w="80" w:type="dxa"/>
              <w:left w:w="80" w:type="dxa"/>
              <w:right w:w="80" w:type="dxa"/>
            </w:tcMar>
          </w:tcPr>
          <w:p>
            <w:r>
              <w:rPr>
                <w:rFonts w:ascii="Arial" w:hAnsi="Arial"/>
                <w:b/>
                <w:color w:val="FFFFFF"/>
                <w:sz w:val="16"/>
              </w:rPr>
              <w:t>Metrik Kinerja (Jan–Agu)</w:t>
            </w:r>
          </w:p>
        </w:tc>
        <w:tc>
          <w:tcPr>
            <w:tcW w:type="dxa" w:w="1632"/>
            <w:shd w:fill="1E293B"/>
            <w:tcMar>
              <w:top w:w="80" w:type="dxa"/>
              <w:bottom w:w="80" w:type="dxa"/>
              <w:left w:w="80" w:type="dxa"/>
              <w:right w:w="80" w:type="dxa"/>
            </w:tcMar>
          </w:tcPr>
          <w:p>
            <w:pPr>
              <w:jc w:val="right"/>
            </w:pPr>
            <w:r>
              <w:rPr>
                <w:rFonts w:ascii="Arial" w:hAnsi="Arial"/>
                <w:b/>
                <w:color w:val="FFFFFF"/>
                <w:sz w:val="16"/>
              </w:rPr>
              <w:t>2023</w:t>
            </w:r>
          </w:p>
        </w:tc>
        <w:tc>
          <w:tcPr>
            <w:tcW w:type="dxa" w:w="1632"/>
            <w:shd w:fill="1E293B"/>
            <w:tcMar>
              <w:top w:w="80" w:type="dxa"/>
              <w:bottom w:w="80" w:type="dxa"/>
              <w:left w:w="80" w:type="dxa"/>
              <w:right w:w="80" w:type="dxa"/>
            </w:tcMar>
          </w:tcPr>
          <w:p>
            <w:pPr>
              <w:jc w:val="right"/>
            </w:pPr>
            <w:r>
              <w:rPr>
                <w:rFonts w:ascii="Arial" w:hAnsi="Arial"/>
                <w:b/>
                <w:color w:val="FFFFFF"/>
                <w:sz w:val="16"/>
              </w:rPr>
              <w:t>2024 (Puncak)</w:t>
            </w:r>
          </w:p>
        </w:tc>
        <w:tc>
          <w:tcPr>
            <w:tcW w:type="dxa" w:w="1632"/>
            <w:shd w:fill="1E293B"/>
            <w:tcMar>
              <w:top w:w="80" w:type="dxa"/>
              <w:bottom w:w="80" w:type="dxa"/>
              <w:left w:w="80" w:type="dxa"/>
              <w:right w:w="80" w:type="dxa"/>
            </w:tcMar>
          </w:tcPr>
          <w:p>
            <w:pPr>
              <w:jc w:val="right"/>
            </w:pPr>
            <w:r>
              <w:rPr>
                <w:rFonts w:ascii="Arial" w:hAnsi="Arial"/>
                <w:b/>
                <w:color w:val="FFFFFF"/>
                <w:sz w:val="16"/>
              </w:rPr>
              <w:t>2025</w:t>
            </w:r>
          </w:p>
        </w:tc>
        <w:tc>
          <w:tcPr>
            <w:tcW w:type="dxa" w:w="1632"/>
            <w:shd w:fill="1E293B"/>
            <w:tcMar>
              <w:top w:w="80" w:type="dxa"/>
              <w:bottom w:w="80" w:type="dxa"/>
              <w:left w:w="80" w:type="dxa"/>
              <w:right w:w="80" w:type="dxa"/>
            </w:tcMar>
          </w:tcPr>
          <w:p>
            <w:pPr>
              <w:jc w:val="right"/>
            </w:pPr>
            <w:r>
              <w:rPr>
                <w:rFonts w:ascii="Arial" w:hAnsi="Arial"/>
                <w:b/>
                <w:color w:val="FFFFFF"/>
                <w:sz w:val="16"/>
              </w:rPr>
              <w:t>2026 (Kini)</w:t>
            </w:r>
          </w:p>
        </w:tc>
        <w:tc>
          <w:tcPr>
            <w:tcW w:type="dxa" w:w="1632"/>
            <w:shd w:fill="1E293B"/>
            <w:tcMar>
              <w:top w:w="80" w:type="dxa"/>
              <w:bottom w:w="80" w:type="dxa"/>
              <w:left w:w="80" w:type="dxa"/>
              <w:right w:w="80" w:type="dxa"/>
            </w:tcMar>
          </w:tcPr>
          <w:p>
            <w:pPr>
              <w:jc w:val="center"/>
            </w:pPr>
            <w:r>
              <w:rPr>
                <w:rFonts w:ascii="Arial" w:hAnsi="Arial"/>
                <w:b/>
                <w:color w:val="FFFFFF"/>
                <w:sz w:val="16"/>
              </w:rPr>
              <w:t>Delta %</w:t>
            </w:r>
          </w:p>
        </w:tc>
      </w:tr>
      <w:tr>
        <w:tc>
          <w:tcPr>
            <w:tcW w:type="dxa" w:w="1632"/>
            <w:shd w:fill="F8FAFC"/>
            <w:tcMar>
              <w:top w:w="60" w:type="dxa"/>
              <w:bottom w:w="60" w:type="dxa"/>
              <w:left w:w="80" w:type="dxa"/>
              <w:right w:w="80" w:type="dxa"/>
            </w:tcMar>
          </w:tcPr>
          <w:p>
            <w:r>
              <w:rPr>
                <w:rFonts w:ascii="Arial" w:hAnsi="Arial"/>
                <w:b/>
                <w:sz w:val="17"/>
              </w:rPr>
              <w:t>Total Omzet Penjualan</w:t>
            </w:r>
          </w:p>
        </w:tc>
        <w:tc>
          <w:tcPr>
            <w:tcW w:type="dxa" w:w="1632"/>
            <w:shd w:fill="F8FAFC"/>
            <w:tcMar>
              <w:top w:w="60" w:type="dxa"/>
              <w:bottom w:w="60" w:type="dxa"/>
              <w:left w:w="80" w:type="dxa"/>
              <w:right w:w="80" w:type="dxa"/>
            </w:tcMar>
          </w:tcPr>
          <w:p>
            <w:pPr>
              <w:jc w:val="right"/>
            </w:pPr>
            <w:r>
              <w:rPr>
                <w:rFonts w:ascii="Arial" w:hAnsi="Arial"/>
                <w:sz w:val="17"/>
              </w:rPr>
              <w:t>Rp 1,88 M</w:t>
            </w:r>
          </w:p>
        </w:tc>
        <w:tc>
          <w:tcPr>
            <w:tcW w:type="dxa" w:w="1632"/>
            <w:shd w:fill="F8FAFC"/>
            <w:tcMar>
              <w:top w:w="60" w:type="dxa"/>
              <w:bottom w:w="60" w:type="dxa"/>
              <w:left w:w="80" w:type="dxa"/>
              <w:right w:w="80" w:type="dxa"/>
            </w:tcMar>
          </w:tcPr>
          <w:p>
            <w:pPr>
              <w:jc w:val="right"/>
            </w:pPr>
            <w:r>
              <w:rPr>
                <w:rFonts w:ascii="Arial" w:hAnsi="Arial"/>
                <w:sz w:val="17"/>
              </w:rPr>
              <w:t>Rp 2,28 M</w:t>
            </w:r>
          </w:p>
        </w:tc>
        <w:tc>
          <w:tcPr>
            <w:tcW w:type="dxa" w:w="1632"/>
            <w:shd w:fill="F8FAFC"/>
            <w:tcMar>
              <w:top w:w="60" w:type="dxa"/>
              <w:bottom w:w="60" w:type="dxa"/>
              <w:left w:w="80" w:type="dxa"/>
              <w:right w:w="80" w:type="dxa"/>
            </w:tcMar>
          </w:tcPr>
          <w:p>
            <w:pPr>
              <w:jc w:val="right"/>
            </w:pPr>
            <w:r>
              <w:rPr>
                <w:rFonts w:ascii="Arial" w:hAnsi="Arial"/>
                <w:sz w:val="17"/>
              </w:rPr>
              <w:t>Rp 1,89 M</w:t>
            </w:r>
          </w:p>
        </w:tc>
        <w:tc>
          <w:tcPr>
            <w:tcW w:type="dxa" w:w="1632"/>
            <w:shd w:fill="F8FAFC"/>
            <w:tcMar>
              <w:top w:w="60" w:type="dxa"/>
              <w:bottom w:w="60" w:type="dxa"/>
              <w:left w:w="80" w:type="dxa"/>
              <w:right w:w="80" w:type="dxa"/>
            </w:tcMar>
          </w:tcPr>
          <w:p>
            <w:pPr>
              <w:jc w:val="right"/>
            </w:pPr>
            <w:r>
              <w:rPr>
                <w:rFonts w:ascii="Arial" w:hAnsi="Arial"/>
                <w:b/>
                <w:color w:val="DC2626"/>
                <w:sz w:val="17"/>
              </w:rPr>
              <w:t>Rp 1,26 M</w:t>
            </w:r>
          </w:p>
        </w:tc>
        <w:tc>
          <w:tcPr>
            <w:tcW w:type="dxa" w:w="1632"/>
            <w:shd w:fill="F8FAFC"/>
            <w:tcMar>
              <w:top w:w="60" w:type="dxa"/>
              <w:bottom w:w="60" w:type="dxa"/>
              <w:left w:w="80" w:type="dxa"/>
              <w:right w:w="80" w:type="dxa"/>
            </w:tcMar>
          </w:tcPr>
          <w:p>
            <w:pPr>
              <w:jc w:val="center"/>
            </w:pPr>
            <w:r>
              <w:rPr>
                <w:rFonts w:ascii="Arial" w:hAnsi="Arial"/>
                <w:b/>
                <w:color w:val="DC2626"/>
                <w:sz w:val="17"/>
              </w:rPr>
              <w:t>-44.5%</w:t>
            </w:r>
          </w:p>
        </w:tc>
      </w:tr>
      <w:tr>
        <w:tc>
          <w:tcPr>
            <w:tcW w:type="dxa" w:w="1632"/>
            <w:shd w:fill="FFFFFF"/>
            <w:tcMar>
              <w:top w:w="60" w:type="dxa"/>
              <w:bottom w:w="60" w:type="dxa"/>
              <w:left w:w="80" w:type="dxa"/>
              <w:right w:w="80" w:type="dxa"/>
            </w:tcMar>
          </w:tcPr>
          <w:p>
            <w:r>
              <w:rPr>
                <w:rFonts w:ascii="Arial" w:hAnsi="Arial"/>
                <w:b/>
                <w:sz w:val="17"/>
              </w:rPr>
              <w:t>Total Pesanan (Order)</w:t>
            </w:r>
          </w:p>
        </w:tc>
        <w:tc>
          <w:tcPr>
            <w:tcW w:type="dxa" w:w="1632"/>
            <w:shd w:fill="FFFFFF"/>
            <w:tcMar>
              <w:top w:w="60" w:type="dxa"/>
              <w:bottom w:w="60" w:type="dxa"/>
              <w:left w:w="80" w:type="dxa"/>
              <w:right w:w="80" w:type="dxa"/>
            </w:tcMar>
          </w:tcPr>
          <w:p>
            <w:pPr>
              <w:jc w:val="right"/>
            </w:pPr>
            <w:r>
              <w:rPr>
                <w:rFonts w:ascii="Arial" w:hAnsi="Arial"/>
                <w:sz w:val="17"/>
              </w:rPr>
              <w:t>25.200</w:t>
            </w:r>
          </w:p>
        </w:tc>
        <w:tc>
          <w:tcPr>
            <w:tcW w:type="dxa" w:w="1632"/>
            <w:shd w:fill="FFFFFF"/>
            <w:tcMar>
              <w:top w:w="60" w:type="dxa"/>
              <w:bottom w:w="60" w:type="dxa"/>
              <w:left w:w="80" w:type="dxa"/>
              <w:right w:w="80" w:type="dxa"/>
            </w:tcMar>
          </w:tcPr>
          <w:p>
            <w:pPr>
              <w:jc w:val="right"/>
            </w:pPr>
            <w:r>
              <w:rPr>
                <w:rFonts w:ascii="Arial" w:hAnsi="Arial"/>
                <w:sz w:val="17"/>
              </w:rPr>
              <w:t>26.921</w:t>
            </w:r>
          </w:p>
        </w:tc>
        <w:tc>
          <w:tcPr>
            <w:tcW w:type="dxa" w:w="1632"/>
            <w:shd w:fill="FFFFFF"/>
            <w:tcMar>
              <w:top w:w="60" w:type="dxa"/>
              <w:bottom w:w="60" w:type="dxa"/>
              <w:left w:w="80" w:type="dxa"/>
              <w:right w:w="80" w:type="dxa"/>
            </w:tcMar>
          </w:tcPr>
          <w:p>
            <w:pPr>
              <w:jc w:val="right"/>
            </w:pPr>
            <w:r>
              <w:rPr>
                <w:rFonts w:ascii="Arial" w:hAnsi="Arial"/>
                <w:sz w:val="17"/>
              </w:rPr>
              <w:t>23.538</w:t>
            </w:r>
          </w:p>
        </w:tc>
        <w:tc>
          <w:tcPr>
            <w:tcW w:type="dxa" w:w="1632"/>
            <w:shd w:fill="FFFFFF"/>
            <w:tcMar>
              <w:top w:w="60" w:type="dxa"/>
              <w:bottom w:w="60" w:type="dxa"/>
              <w:left w:w="80" w:type="dxa"/>
              <w:right w:w="80" w:type="dxa"/>
            </w:tcMar>
          </w:tcPr>
          <w:p>
            <w:pPr>
              <w:jc w:val="right"/>
            </w:pPr>
            <w:r>
              <w:rPr>
                <w:rFonts w:ascii="Arial" w:hAnsi="Arial"/>
                <w:b/>
                <w:color w:val="DC2626"/>
                <w:sz w:val="17"/>
              </w:rPr>
              <w:t>19.924</w:t>
            </w:r>
          </w:p>
        </w:tc>
        <w:tc>
          <w:tcPr>
            <w:tcW w:type="dxa" w:w="1632"/>
            <w:shd w:fill="FFFFFF"/>
            <w:tcMar>
              <w:top w:w="60" w:type="dxa"/>
              <w:bottom w:w="60" w:type="dxa"/>
              <w:left w:w="80" w:type="dxa"/>
              <w:right w:w="80" w:type="dxa"/>
            </w:tcMar>
          </w:tcPr>
          <w:p>
            <w:pPr>
              <w:jc w:val="center"/>
            </w:pPr>
            <w:r>
              <w:rPr>
                <w:rFonts w:ascii="Arial" w:hAnsi="Arial"/>
                <w:b/>
                <w:color w:val="DC2626"/>
                <w:sz w:val="17"/>
              </w:rPr>
              <w:t>-26.0%</w:t>
            </w:r>
          </w:p>
        </w:tc>
      </w:tr>
      <w:tr>
        <w:tc>
          <w:tcPr>
            <w:tcW w:type="dxa" w:w="1632"/>
            <w:shd w:fill="F8FAFC"/>
            <w:tcMar>
              <w:top w:w="60" w:type="dxa"/>
              <w:bottom w:w="60" w:type="dxa"/>
              <w:left w:w="80" w:type="dxa"/>
              <w:right w:w="80" w:type="dxa"/>
            </w:tcMar>
          </w:tcPr>
          <w:p>
            <w:r>
              <w:rPr>
                <w:rFonts w:ascii="Arial" w:hAnsi="Arial"/>
                <w:b/>
                <w:sz w:val="17"/>
              </w:rPr>
              <w:t>Total Kuantitas (Unit Pcs)</w:t>
            </w:r>
          </w:p>
        </w:tc>
        <w:tc>
          <w:tcPr>
            <w:tcW w:type="dxa" w:w="1632"/>
            <w:shd w:fill="F8FAFC"/>
            <w:tcMar>
              <w:top w:w="60" w:type="dxa"/>
              <w:bottom w:w="60" w:type="dxa"/>
              <w:left w:w="80" w:type="dxa"/>
              <w:right w:w="80" w:type="dxa"/>
            </w:tcMar>
          </w:tcPr>
          <w:p>
            <w:pPr>
              <w:jc w:val="right"/>
            </w:pPr>
            <w:r>
              <w:rPr>
                <w:rFonts w:ascii="Arial" w:hAnsi="Arial"/>
                <w:sz w:val="17"/>
              </w:rPr>
              <w:t>252.400</w:t>
            </w:r>
          </w:p>
        </w:tc>
        <w:tc>
          <w:tcPr>
            <w:tcW w:type="dxa" w:w="1632"/>
            <w:shd w:fill="F8FAFC"/>
            <w:tcMar>
              <w:top w:w="60" w:type="dxa"/>
              <w:bottom w:w="60" w:type="dxa"/>
              <w:left w:w="80" w:type="dxa"/>
              <w:right w:w="80" w:type="dxa"/>
            </w:tcMar>
          </w:tcPr>
          <w:p>
            <w:pPr>
              <w:jc w:val="right"/>
            </w:pPr>
            <w:r>
              <w:rPr>
                <w:rFonts w:ascii="Arial" w:hAnsi="Arial"/>
                <w:sz w:val="17"/>
              </w:rPr>
              <w:t>330.529</w:t>
            </w:r>
          </w:p>
        </w:tc>
        <w:tc>
          <w:tcPr>
            <w:tcW w:type="dxa" w:w="1632"/>
            <w:shd w:fill="F8FAFC"/>
            <w:tcMar>
              <w:top w:w="60" w:type="dxa"/>
              <w:bottom w:w="60" w:type="dxa"/>
              <w:left w:w="80" w:type="dxa"/>
              <w:right w:w="80" w:type="dxa"/>
            </w:tcMar>
          </w:tcPr>
          <w:p>
            <w:pPr>
              <w:jc w:val="right"/>
            </w:pPr>
            <w:r>
              <w:rPr>
                <w:rFonts w:ascii="Arial" w:hAnsi="Arial"/>
                <w:sz w:val="17"/>
              </w:rPr>
              <w:t>250.262</w:t>
            </w:r>
          </w:p>
        </w:tc>
        <w:tc>
          <w:tcPr>
            <w:tcW w:type="dxa" w:w="1632"/>
            <w:shd w:fill="F8FAFC"/>
            <w:tcMar>
              <w:top w:w="60" w:type="dxa"/>
              <w:bottom w:w="60" w:type="dxa"/>
              <w:left w:w="80" w:type="dxa"/>
              <w:right w:w="80" w:type="dxa"/>
            </w:tcMar>
          </w:tcPr>
          <w:p>
            <w:pPr>
              <w:jc w:val="right"/>
            </w:pPr>
            <w:r>
              <w:rPr>
                <w:rFonts w:ascii="Arial" w:hAnsi="Arial"/>
                <w:b/>
                <w:color w:val="DC2626"/>
                <w:sz w:val="17"/>
              </w:rPr>
              <w:t>120.957</w:t>
            </w:r>
          </w:p>
        </w:tc>
        <w:tc>
          <w:tcPr>
            <w:tcW w:type="dxa" w:w="1632"/>
            <w:shd w:fill="F8FAFC"/>
            <w:tcMar>
              <w:top w:w="60" w:type="dxa"/>
              <w:bottom w:w="60" w:type="dxa"/>
              <w:left w:w="80" w:type="dxa"/>
              <w:right w:w="80" w:type="dxa"/>
            </w:tcMar>
          </w:tcPr>
          <w:p>
            <w:pPr>
              <w:jc w:val="center"/>
            </w:pPr>
            <w:r>
              <w:rPr>
                <w:rFonts w:ascii="Arial" w:hAnsi="Arial"/>
                <w:b/>
                <w:color w:val="DC2626"/>
                <w:sz w:val="17"/>
              </w:rPr>
              <w:t>-63.4%</w:t>
            </w:r>
          </w:p>
        </w:tc>
      </w:tr>
      <w:tr>
        <w:tc>
          <w:tcPr>
            <w:tcW w:type="dxa" w:w="1632"/>
            <w:shd w:fill="FFFFFF"/>
            <w:tcMar>
              <w:top w:w="60" w:type="dxa"/>
              <w:bottom w:w="60" w:type="dxa"/>
              <w:left w:w="80" w:type="dxa"/>
              <w:right w:w="80" w:type="dxa"/>
            </w:tcMar>
          </w:tcPr>
          <w:p>
            <w:r>
              <w:rPr>
                <w:rFonts w:ascii="Arial" w:hAnsi="Arial"/>
                <w:b/>
                <w:sz w:val="17"/>
              </w:rPr>
              <w:t>Average Order Value (AOV)</w:t>
            </w:r>
          </w:p>
        </w:tc>
        <w:tc>
          <w:tcPr>
            <w:tcW w:type="dxa" w:w="1632"/>
            <w:shd w:fill="FFFFFF"/>
            <w:tcMar>
              <w:top w:w="60" w:type="dxa"/>
              <w:bottom w:w="60" w:type="dxa"/>
              <w:left w:w="80" w:type="dxa"/>
              <w:right w:w="80" w:type="dxa"/>
            </w:tcMar>
          </w:tcPr>
          <w:p>
            <w:pPr>
              <w:jc w:val="right"/>
            </w:pPr>
            <w:r>
              <w:rPr>
                <w:rFonts w:ascii="Arial" w:hAnsi="Arial"/>
                <w:sz w:val="17"/>
              </w:rPr>
              <w:t>Rp 74.496</w:t>
            </w:r>
          </w:p>
        </w:tc>
        <w:tc>
          <w:tcPr>
            <w:tcW w:type="dxa" w:w="1632"/>
            <w:shd w:fill="FFFFFF"/>
            <w:tcMar>
              <w:top w:w="60" w:type="dxa"/>
              <w:bottom w:w="60" w:type="dxa"/>
              <w:left w:w="80" w:type="dxa"/>
              <w:right w:w="80" w:type="dxa"/>
            </w:tcMar>
          </w:tcPr>
          <w:p>
            <w:pPr>
              <w:jc w:val="right"/>
            </w:pPr>
            <w:r>
              <w:rPr>
                <w:rFonts w:ascii="Arial" w:hAnsi="Arial"/>
                <w:sz w:val="17"/>
              </w:rPr>
              <w:t>Rp 84.896</w:t>
            </w:r>
          </w:p>
        </w:tc>
        <w:tc>
          <w:tcPr>
            <w:tcW w:type="dxa" w:w="1632"/>
            <w:shd w:fill="FFFFFF"/>
            <w:tcMar>
              <w:top w:w="60" w:type="dxa"/>
              <w:bottom w:w="60" w:type="dxa"/>
              <w:left w:w="80" w:type="dxa"/>
              <w:right w:w="80" w:type="dxa"/>
            </w:tcMar>
          </w:tcPr>
          <w:p>
            <w:pPr>
              <w:jc w:val="right"/>
            </w:pPr>
            <w:r>
              <w:rPr>
                <w:rFonts w:ascii="Arial" w:hAnsi="Arial"/>
                <w:sz w:val="17"/>
              </w:rPr>
              <w:t>Rp 80.375</w:t>
            </w:r>
          </w:p>
        </w:tc>
        <w:tc>
          <w:tcPr>
            <w:tcW w:type="dxa" w:w="1632"/>
            <w:shd w:fill="FFFFFF"/>
            <w:tcMar>
              <w:top w:w="60" w:type="dxa"/>
              <w:bottom w:w="60" w:type="dxa"/>
              <w:left w:w="80" w:type="dxa"/>
              <w:right w:w="80" w:type="dxa"/>
            </w:tcMar>
          </w:tcPr>
          <w:p>
            <w:pPr>
              <w:jc w:val="right"/>
            </w:pPr>
            <w:r>
              <w:rPr>
                <w:rFonts w:ascii="Arial" w:hAnsi="Arial"/>
                <w:b/>
                <w:color w:val="DC2626"/>
                <w:sz w:val="17"/>
              </w:rPr>
              <w:t>Rp 63.664</w:t>
            </w:r>
          </w:p>
        </w:tc>
        <w:tc>
          <w:tcPr>
            <w:tcW w:type="dxa" w:w="1632"/>
            <w:shd w:fill="FFFFFF"/>
            <w:tcMar>
              <w:top w:w="60" w:type="dxa"/>
              <w:bottom w:w="60" w:type="dxa"/>
              <w:left w:w="80" w:type="dxa"/>
              <w:right w:w="80" w:type="dxa"/>
            </w:tcMar>
          </w:tcPr>
          <w:p>
            <w:pPr>
              <w:jc w:val="center"/>
            </w:pPr>
            <w:r>
              <w:rPr>
                <w:rFonts w:ascii="Arial" w:hAnsi="Arial"/>
                <w:b/>
                <w:color w:val="DC2626"/>
                <w:sz w:val="17"/>
              </w:rPr>
              <w:t>-25.0%</w:t>
            </w:r>
          </w:p>
        </w:tc>
      </w:tr>
      <w:tr>
        <w:tc>
          <w:tcPr>
            <w:tcW w:type="dxa" w:w="1632"/>
            <w:shd w:fill="F8FAFC"/>
            <w:tcMar>
              <w:top w:w="60" w:type="dxa"/>
              <w:bottom w:w="60" w:type="dxa"/>
              <w:left w:w="80" w:type="dxa"/>
              <w:right w:w="80" w:type="dxa"/>
            </w:tcMar>
          </w:tcPr>
          <w:p>
            <w:r>
              <w:rPr>
                <w:rFonts w:ascii="Arial" w:hAnsi="Arial"/>
                <w:b/>
                <w:sz w:val="17"/>
              </w:rPr>
              <w:t>Kepadatan Keranjang (Pcs/Ord)</w:t>
            </w:r>
          </w:p>
        </w:tc>
        <w:tc>
          <w:tcPr>
            <w:tcW w:type="dxa" w:w="1632"/>
            <w:shd w:fill="F8FAFC"/>
            <w:tcMar>
              <w:top w:w="60" w:type="dxa"/>
              <w:bottom w:w="60" w:type="dxa"/>
              <w:left w:w="80" w:type="dxa"/>
              <w:right w:w="80" w:type="dxa"/>
            </w:tcMar>
          </w:tcPr>
          <w:p>
            <w:pPr>
              <w:jc w:val="right"/>
            </w:pPr>
            <w:r>
              <w:rPr>
                <w:rFonts w:ascii="Arial" w:hAnsi="Arial"/>
                <w:sz w:val="17"/>
              </w:rPr>
              <w:t>~10,0 pcs</w:t>
            </w:r>
          </w:p>
        </w:tc>
        <w:tc>
          <w:tcPr>
            <w:tcW w:type="dxa" w:w="1632"/>
            <w:shd w:fill="F8FAFC"/>
            <w:tcMar>
              <w:top w:w="60" w:type="dxa"/>
              <w:bottom w:w="60" w:type="dxa"/>
              <w:left w:w="80" w:type="dxa"/>
              <w:right w:w="80" w:type="dxa"/>
            </w:tcMar>
          </w:tcPr>
          <w:p>
            <w:pPr>
              <w:jc w:val="right"/>
            </w:pPr>
            <w:r>
              <w:rPr>
                <w:rFonts w:ascii="Arial" w:hAnsi="Arial"/>
                <w:sz w:val="17"/>
              </w:rPr>
              <w:t>~12,3 pcs</w:t>
            </w:r>
          </w:p>
        </w:tc>
        <w:tc>
          <w:tcPr>
            <w:tcW w:type="dxa" w:w="1632"/>
            <w:shd w:fill="F8FAFC"/>
            <w:tcMar>
              <w:top w:w="60" w:type="dxa"/>
              <w:bottom w:w="60" w:type="dxa"/>
              <w:left w:w="80" w:type="dxa"/>
              <w:right w:w="80" w:type="dxa"/>
            </w:tcMar>
          </w:tcPr>
          <w:p>
            <w:pPr>
              <w:jc w:val="right"/>
            </w:pPr>
            <w:r>
              <w:rPr>
                <w:rFonts w:ascii="Arial" w:hAnsi="Arial"/>
                <w:sz w:val="17"/>
              </w:rPr>
              <w:t>~10,6 pcs</w:t>
            </w:r>
          </w:p>
        </w:tc>
        <w:tc>
          <w:tcPr>
            <w:tcW w:type="dxa" w:w="1632"/>
            <w:shd w:fill="F8FAFC"/>
            <w:tcMar>
              <w:top w:w="60" w:type="dxa"/>
              <w:bottom w:w="60" w:type="dxa"/>
              <w:left w:w="80" w:type="dxa"/>
              <w:right w:w="80" w:type="dxa"/>
            </w:tcMar>
          </w:tcPr>
          <w:p>
            <w:pPr>
              <w:jc w:val="right"/>
            </w:pPr>
            <w:r>
              <w:rPr>
                <w:rFonts w:ascii="Arial" w:hAnsi="Arial"/>
                <w:b/>
                <w:color w:val="DC2626"/>
                <w:sz w:val="17"/>
              </w:rPr>
              <w:t>~6,1 pcs</w:t>
            </w:r>
          </w:p>
        </w:tc>
        <w:tc>
          <w:tcPr>
            <w:tcW w:type="dxa" w:w="1632"/>
            <w:shd w:fill="F8FAFC"/>
            <w:tcMar>
              <w:top w:w="60" w:type="dxa"/>
              <w:bottom w:w="60" w:type="dxa"/>
              <w:left w:w="80" w:type="dxa"/>
              <w:right w:w="80" w:type="dxa"/>
            </w:tcMar>
          </w:tcPr>
          <w:p>
            <w:pPr>
              <w:jc w:val="center"/>
            </w:pPr>
            <w:r>
              <w:rPr>
                <w:rFonts w:ascii="Arial" w:hAnsi="Arial"/>
                <w:b/>
                <w:color w:val="DC2626"/>
                <w:sz w:val="17"/>
              </w:rPr>
              <w:t>-50.4%</w:t>
            </w:r>
          </w:p>
        </w:tc>
      </w:tr>
    </w:tbl>
    <w:p>
      <w:pPr>
        <w:spacing w:after="40"/>
      </w:pP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Pr>
          <w:p>
            <w:pPr>
              <w:spacing w:after="40"/>
            </w:pPr>
            <w:r>
              <w:rPr>
                <w:rFonts w:ascii="Arial" w:hAnsi="Arial"/>
                <w:b/>
                <w:color w:val="0F172A"/>
                <w:sz w:val="19"/>
              </w:rPr>
              <w:t>Interpretasi Data Internal:</w:t>
              <w:br/>
            </w:r>
            <w:r>
              <w:rPr>
                <w:rFonts w:ascii="Arial" w:hAnsi="Arial"/>
                <w:color w:val="334155"/>
                <w:sz w:val="18"/>
              </w:rPr>
              <w:t>Kesenjangan omzet Rp 1,02 Miliar di 2026 bukan disebabkan oleh kaburnya pembeli, melainkan karena pembeli yang datang tidak lagi membeli dalam jumlah banyak. Konsumen yang sebelumnya membeli suvenir partai atau grosiran (12 pcs) kini hanya membeli eceran 1–6 pcs untuk kebutuhan paling mendesak.</w:t>
            </w:r>
          </w:p>
        </w:tc>
      </w:tr>
    </w:tbl>
    <w:p>
      <w:pPr>
        <w:spacing w:before="320" w:after="120"/>
      </w:pPr>
      <w:r>
        <w:rPr>
          <w:rFonts w:ascii="Arial" w:hAnsi="Arial"/>
          <w:b/>
          <w:color w:val="0F172A"/>
          <w:sz w:val="26"/>
        </w:rPr>
        <w:t>3. Faktor Eksternal Makroekonomi &amp; Regulasi Marketplace 2025–2026</w:t>
      </w:r>
    </w:p>
    <w:p>
      <w:pPr>
        <w:spacing w:line="276" w:lineRule="auto" w:after="80"/>
      </w:pPr>
      <w:r>
        <w:t>Penurunan daya serap pasar PGE bertepatan langsung dengan empat goncangan eksternal terukur:</w:t>
      </w:r>
    </w:p>
    <w:p>
      <w:pPr>
        <w:pStyle w:val="ListBullet"/>
        <w:spacing w:after="80"/>
      </w:pPr>
      <w:r>
        <w:rPr>
          <w:rFonts w:ascii="Arial" w:hAnsi="Arial"/>
          <w:b/>
          <w:sz w:val="18"/>
        </w:rPr>
        <w:t xml:space="preserve">Erosi 10 Juta Kelas Menengah Indonesia (BPS): </w:t>
      </w:r>
      <w:r>
        <w:rPr>
          <w:rFonts w:ascii="Arial" w:hAnsi="Arial"/>
          <w:sz w:val="18"/>
        </w:rPr>
        <w:t>Data Badan Pusat Statistik menunjukkan jumlah masyarakat kelas menengah menyusut dari 57,3 juta (2019) menjadi 46,7 juta pada 2025/2026. Sebanyak 10 juta orang turun ke kelompok 'Aspiring Middle Class'. Terjepit inflasi pendidikan, sewa/cicilan rumah, dan pangan, kelompok ini mengadopsi mode bertahan (Frugal Living) dengan meniadakan belanja pernak-pernik suvenir non-esensial.</w:t>
      </w:r>
    </w:p>
    <w:p>
      <w:pPr>
        <w:pStyle w:val="ListBullet"/>
        <w:spacing w:after="80"/>
      </w:pPr>
      <w:r>
        <w:rPr>
          <w:rFonts w:ascii="Arial" w:hAnsi="Arial"/>
          <w:b/>
          <w:sz w:val="18"/>
        </w:rPr>
        <w:t xml:space="preserve">Penghapusan Subsidi Gratis Ongkir Penuh di TikTok Shop: </w:t>
      </w:r>
      <w:r>
        <w:rPr>
          <w:rFonts w:ascii="Arial" w:hAnsi="Arial"/>
          <w:sz w:val="18"/>
        </w:rPr>
        <w:t>Sejak integrasi Tokopedia-TikTok dan pembaruan aturan logistik Mei 2026, TikTok Shop menerapkan biaya layanan logistik yang dibebankan kepada seller. Subsidi bebas ongkir tanpa batas ditarik. Akibatnya, transaksi produk receh PGE (&lt;Rp 30.000) anjlok karena pembeli menolak membayar ongkos kirim Rp 15.000–Rp 25.000 untuk barang bernilai kecil.</w:t>
      </w:r>
    </w:p>
    <w:p>
      <w:pPr>
        <w:pStyle w:val="ListBullet"/>
        <w:spacing w:after="80"/>
      </w:pPr>
      <w:r>
        <w:rPr>
          <w:rFonts w:ascii="Arial" w:hAnsi="Arial"/>
          <w:b/>
          <w:sz w:val="18"/>
        </w:rPr>
        <w:t xml:space="preserve">Kenaikan Biaya Administrasi &amp; Take-Rate Marketplace: </w:t>
      </w:r>
      <w:r>
        <w:rPr>
          <w:rFonts w:ascii="Arial" w:hAnsi="Arial"/>
          <w:sz w:val="18"/>
        </w:rPr>
        <w:t>Biaya admin Shopee naik hingga 8%–10% untuk kategori non-elektronik ditambah biaya proses pesanan Rp 1.250/order dan biaya program Gratis Ongkir/Live Xtra. Margin penjual tertekan, membatasi kemampuan memberi diskon harga eceran.</w:t>
      </w:r>
    </w:p>
    <w:p>
      <w:pPr>
        <w:pStyle w:val="ListBullet"/>
        <w:spacing w:after="80"/>
      </w:pPr>
      <w:r>
        <w:rPr>
          <w:rFonts w:ascii="Arial" w:hAnsi="Arial"/>
          <w:b/>
          <w:sz w:val="18"/>
        </w:rPr>
        <w:t xml:space="preserve">Pergeseran Geografis Jawa (-49%) vs Luar Jawa (-28%): </w:t>
      </w:r>
      <w:r>
        <w:rPr>
          <w:rFonts w:ascii="Arial" w:hAnsi="Arial"/>
          <w:sz w:val="18"/>
        </w:rPr>
        <w:t>Penjualan PGE di Pulau Jawa anjlok -49,0% (dari Rp 1,79 M menjadi Rp 915 Juta) akibat biaya hidup kota yang mencekik. Sebaliknya, pangsa Luar Jawa naik dari 21,5% menjadi 27,8% karena ekonomi berbasis komoditas/agrikultur relatif lebih stabil.</w:t>
      </w:r>
    </w:p>
    <w:p>
      <w:pPr>
        <w:spacing w:before="320" w:after="120"/>
      </w:pPr>
      <w:r>
        <w:rPr>
          <w:rFonts w:ascii="Arial" w:hAnsi="Arial"/>
          <w:b/>
          <w:color w:val="0F172A"/>
          <w:sz w:val="26"/>
        </w:rPr>
        <w:t>4. Bahaya Melempar Produk Acak (Random SKUs) &amp; Algoritma Marketplace</w:t>
      </w:r>
    </w:p>
    <w:p>
      <w:pPr>
        <w:spacing w:line="276" w:lineRule="auto" w:after="120"/>
      </w:pPr>
      <w:r>
        <w:t>Terkait hipotesis: 'Apakah melempar sembarang produk acak tanpa fokus plastisitas akan membuat pasar jenuh dan kita kehilangan pembeli?' Jawabannya adalah YA, dan didukung oleh 3 bukti matematis serta teknis:</w:t>
      </w:r>
    </w:p>
    <w:p>
      <w:pPr>
        <w:pStyle w:val="ListBullet"/>
        <w:spacing w:after="80"/>
      </w:pPr>
      <w:r>
        <w:rPr>
          <w:rFonts w:ascii="Arial" w:hAnsi="Arial"/>
          <w:b/>
          <w:sz w:val="18"/>
        </w:rPr>
        <w:t xml:space="preserve">1. Kanibalisasi Algoritma Toko (Search Exposure Dilution): </w:t>
      </w:r>
      <w:r>
        <w:rPr>
          <w:rFonts w:ascii="Arial" w:hAnsi="Arial"/>
          <w:sz w:val="18"/>
        </w:rPr>
        <w:t>Algoritma Shopee dan TikTok Shop memprioritaskan toko berdasarkan Revenue per Mille Impressions (RPM) dan Conversion Rate (CR). Memiliki ribuan SKU 'zombie' yang minim klik dan nol penjualan menurunkan skor kualitas etalase toko. Produk unggulan PGE ikut tenggelam karena algoritma membaca toko memiliki rasio konversi keseluruhan yang rendah.</w:t>
      </w:r>
    </w:p>
    <w:p>
      <w:pPr>
        <w:pStyle w:val="ListBullet"/>
        <w:spacing w:after="80"/>
      </w:pPr>
      <w:r>
        <w:rPr>
          <w:rFonts w:ascii="Arial" w:hAnsi="Arial"/>
          <w:b/>
          <w:sz w:val="18"/>
        </w:rPr>
        <w:t xml:space="preserve">2. Konversi Live Streaming (8–12%) vs Etalase Statis (1–3%): </w:t>
      </w:r>
      <w:r>
        <w:rPr>
          <w:rFonts w:ascii="Arial" w:hAnsi="Arial"/>
          <w:sz w:val="18"/>
        </w:rPr>
        <w:t>Riset industri e-commerce 2026 membuktikan bahwa memajang produk statis di etalase hanya menghasilkan konversi 1%–3%. Sebaliknya, memfokuskan siaran Live Streaming pada 15–25 Hero SKU berplastisitas tinggi menghasilkan konversi 8%–12% (4x lipat lebih tinggi). Melempar ribuan produk ke etalase adalah strategi usang yang mengandalkan kanal berkonversi terendah.</w:t>
      </w:r>
    </w:p>
    <w:p>
      <w:pPr>
        <w:pStyle w:val="ListBullet"/>
        <w:spacing w:after="80"/>
      </w:pPr>
      <w:r>
        <w:rPr>
          <w:rFonts w:ascii="Arial" w:hAnsi="Arial"/>
          <w:b/>
          <w:sz w:val="18"/>
        </w:rPr>
        <w:t xml:space="preserve">3. Beban Operasional &amp; Risiko Pembatalan Pesanan (Pemicu Penalti Nomor 1): </w:t>
      </w:r>
      <w:r>
        <w:rPr>
          <w:rFonts w:ascii="Arial" w:hAnsi="Arial"/>
          <w:sz w:val="18"/>
        </w:rPr>
        <w:t>Toko dengan 5.000+ SKU mustahil menjaga akurasi stok fisik di gudang. Ketika pembeli memesan SKU lama yang kain/bahannya sudah habis dan pesanan dibatalkan, Shopee langsung mengenakan Poin Penalti Tingkat Pesanan Tidak Terselesaikan (Non-Fulfillment Rate / NFR). Pembatalan pesanan adalah pemicu utama penurunan reputasi toko di mata algoritma marketplace.</w:t>
      </w:r>
    </w:p>
    <w:p>
      <w:pPr>
        <w:spacing w:before="320" w:after="120"/>
      </w:pPr>
      <w:r>
        <w:rPr>
          <w:rFonts w:ascii="Arial" w:hAnsi="Arial"/>
          <w:b/>
          <w:color w:val="0F172A"/>
          <w:sz w:val="26"/>
        </w:rPr>
        <w:t>5. Proyeksi Garis Waktu: Kapan Pasar Akan Jenuh Total?</w:t>
      </w:r>
    </w:p>
    <w:p>
      <w:pPr>
        <w:spacing w:line="276" w:lineRule="auto" w:after="120"/>
      </w:pPr>
      <w:r>
        <w:t>Jika PGE mempertahankan status quo (tidak melakukan kurasi SKU dan tidak mengubah struktur bundling), proyeksi kelelahan pasar akan terjadi dalam 3 tahap:</w:t>
      </w:r>
    </w:p>
    <w:tbl>
      <w:tblPr>
        <w:tblW w:type="auto" w:w="0"/>
        <w:jc w:val="center"/>
        <w:tblLook w:firstColumn="1" w:firstRow="1" w:lastColumn="0" w:lastRow="0" w:noHBand="0" w:noVBand="1" w:val="04A0"/>
      </w:tblPr>
      <w:tblGrid>
        <w:gridCol w:w="9792"/>
      </w:tblGrid>
      <w:tr>
        <w:tc>
          <w:tcPr>
            <w:tcW w:type="dxa" w:w="9792"/>
            <w:shd w:fill="FEF2F2"/>
            <w:tcMar>
              <w:top w:w="140" w:type="dxa"/>
              <w:bottom w:w="140" w:type="dxa"/>
              <w:left w:w="180" w:type="dxa"/>
              <w:right w:w="180" w:type="dxa"/>
            </w:tcMar>
          </w:tcPr>
          <w:p>
            <w:pPr>
              <w:spacing w:after="40"/>
            </w:pPr>
            <w:r>
              <w:rPr>
                <w:rFonts w:ascii="Arial" w:hAnsi="Arial"/>
                <w:b/>
                <w:color w:val="0F172A"/>
                <w:sz w:val="19"/>
              </w:rPr>
              <w:t>Fase 1: Kelelahan Hero SKU Suvenir (Estimasi: Q1 2027 / 6 Bulan Lagi)</w:t>
              <w:br/>
            </w:r>
            <w:r>
              <w:rPr>
                <w:rFonts w:ascii="Arial" w:hAnsi="Arial"/>
                <w:color w:val="334155"/>
                <w:sz w:val="18"/>
              </w:rPr>
              <w:t>Kategori Souvenirs Landmark (-56%) dan Passport Cover (-57%) akan mencapai titik jenuh total pasca-musim liburan akhir tahun 2026. Motif cetak yang tidak disegarkan sejak 2023 akan diabaikan algoritma karena rasio klik (CTR) yang menurun.</w:t>
            </w:r>
          </w:p>
        </w:tc>
      </w:tr>
    </w:tbl>
    <w:p>
      <w:pPr>
        <w:spacing w:after="40"/>
      </w:pP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180" w:type="dxa"/>
              <w:right w:w="180" w:type="dxa"/>
            </w:tcMar>
          </w:tcPr>
          <w:p>
            <w:pPr>
              <w:spacing w:after="40"/>
            </w:pPr>
            <w:r>
              <w:rPr>
                <w:rFonts w:ascii="Arial" w:hAnsi="Arial"/>
                <w:b/>
                <w:color w:val="0F172A"/>
                <w:sz w:val="19"/>
              </w:rPr>
              <w:t>Fase 2: Titik Kritis Akuisisi Iklan (Estimasi: Q3 2027 / 12 Bulan Lagi)</w:t>
              <w:br/>
            </w:r>
            <w:r>
              <w:rPr>
                <w:rFonts w:ascii="Arial" w:hAnsi="Arial"/>
                <w:color w:val="334155"/>
                <w:sz w:val="18"/>
              </w:rPr>
              <w:t>Biaya iklan per klik (CPC) marketplace diproyeksikan naik 15%. Dengan AOV PGE yang masih di kisaran Rp 60.000, margin kotor per transaksi (~Rp 21.000) tidak akan cukup lagi menutup biaya iklan dan admin marketplace (Rp 22.000–Rp 25.000 per order). Menjual produk satuan receh resmi merugi.</w:t>
            </w:r>
          </w:p>
        </w:tc>
      </w:tr>
    </w:tbl>
    <w:p>
      <w:pPr>
        <w:spacing w:after="40"/>
      </w:pP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after="40"/>
            </w:pPr>
            <w:r>
              <w:rPr>
                <w:rFonts w:ascii="Arial" w:hAnsi="Arial"/>
                <w:b/>
                <w:color w:val="0F172A"/>
                <w:sz w:val="19"/>
              </w:rPr>
              <w:t>Fase 3: Komoditisasi Total (Estimasi: Pertengahan 2028 / 20 Bulan Lagi)</w:t>
              <w:br/>
            </w:r>
            <w:r>
              <w:rPr>
                <w:rFonts w:ascii="Arial" w:hAnsi="Arial"/>
                <w:color w:val="334155"/>
                <w:sz w:val="18"/>
              </w:rPr>
              <w:t>PGE kehilangan diferensiasi dan disubstitusi sepenuhnya oleh seller produsen berbiaya rendah asal China atau konveksi lokal murah. Omzet diproyeksikan stagnan di level defensif Rp 700 Juta – Rp 900 Juta/tahun.</w:t>
            </w:r>
          </w:p>
        </w:tc>
      </w:tr>
    </w:tbl>
    <w:p>
      <w:pPr>
        <w:spacing w:after="40"/>
      </w:pPr>
    </w:p>
    <w:p>
      <w:pPr>
        <w:spacing w:before="320" w:after="120"/>
      </w:pPr>
      <w:r>
        <w:rPr>
          <w:rFonts w:ascii="Arial" w:hAnsi="Arial"/>
          <w:b/>
          <w:color w:val="0F172A"/>
          <w:sz w:val="26"/>
        </w:rPr>
        <w:t>6. Turnaround Playbook: Roadmap Strategis Pemulihan AOV &amp; Penyelamatan Toko</w:t>
      </w:r>
    </w:p>
    <w:p>
      <w:pPr>
        <w:spacing w:line="276" w:lineRule="auto" w:after="120"/>
      </w:pPr>
      <w:r>
        <w:t>Untuk mencegah kejenuhan pasar dan mengembalikan omzet ke level sehat, empat transformasi wajib dijalankan:</w:t>
      </w:r>
    </w:p>
    <w:p>
      <w:pPr>
        <w:pStyle w:val="ListBullet"/>
        <w:spacing w:after="80"/>
      </w:pPr>
      <w:r>
        <w:rPr>
          <w:rFonts w:ascii="Arial" w:hAnsi="Arial"/>
          <w:b/>
          <w:sz w:val="18"/>
        </w:rPr>
        <w:t xml:space="preserve">1. Stop Jual Satuan Murah (Mandatory Bundling): </w:t>
      </w:r>
      <w:r>
        <w:rPr>
          <w:rFonts w:ascii="Arial" w:hAnsi="Arial"/>
          <w:sz w:val="18"/>
        </w:rPr>
        <w:t>Larang etalase menjual dompet klip/pouch murah satuan di bawah Rp 15.000. Wajib dikemas menjadi 'Paket Isi 3' (Rp 35.000) atau 'Paket Isi 5' (Rp 55.000). Langkah ini memaksa batas bawah keranjang belanja naik.</w:t>
      </w:r>
    </w:p>
    <w:p>
      <w:pPr>
        <w:pStyle w:val="ListBullet"/>
        <w:spacing w:after="80"/>
      </w:pPr>
      <w:r>
        <w:rPr>
          <w:rFonts w:ascii="Arial" w:hAnsi="Arial"/>
          <w:b/>
          <w:sz w:val="18"/>
        </w:rPr>
        <w:t xml:space="preserve">2. Voucher Ambang Batas Bebas Ongkir (Min. Belanja Rp 80k): </w:t>
      </w:r>
      <w:r>
        <w:rPr>
          <w:rFonts w:ascii="Arial" w:hAnsi="Arial"/>
          <w:sz w:val="18"/>
        </w:rPr>
        <w:t>Hentikan diskon persen tanpa syarat. Pasang voucher 'Diskon Rp 10.000 Minimal Belanja Rp 80.000' atau 'Potongan Rp 15.000 Minimal Belanja Rp 100.000'. Skema ini memandu pembeli menambah 1 barang pelengkap ke keranjang untuk mendapat subsidi ongkir.</w:t>
      </w:r>
    </w:p>
    <w:p>
      <w:pPr>
        <w:pStyle w:val="ListBullet"/>
        <w:spacing w:after="80"/>
      </w:pPr>
      <w:r>
        <w:rPr>
          <w:rFonts w:ascii="Arial" w:hAnsi="Arial"/>
          <w:b/>
          <w:sz w:val="18"/>
        </w:rPr>
        <w:t xml:space="preserve">3. Pivot ke SKU Berplastisitas &amp; Utilitas Tinggi (Medical Bags &amp; Qurban): </w:t>
      </w:r>
      <w:r>
        <w:rPr>
          <w:rFonts w:ascii="Arial" w:hAnsi="Arial"/>
          <w:sz w:val="18"/>
        </w:rPr>
        <w:t>Alihkan kapasitas produksi dari dompet oleh-oleh ke kategori yang terbukti kebal krisis: Tas Medis P3K, Medical Kit Bidan/Posyandu, dan Wadah Daging Qurban. Kategori ini memiliki AOV tinggi (Rp 125.000+) dan permintaan fungsional yang stabil.</w:t>
      </w:r>
    </w:p>
    <w:p>
      <w:pPr>
        <w:pStyle w:val="ListBullet"/>
        <w:spacing w:after="80"/>
      </w:pPr>
      <w:r>
        <w:rPr>
          <w:rFonts w:ascii="Arial" w:hAnsi="Arial"/>
          <w:b/>
          <w:sz w:val="18"/>
        </w:rPr>
        <w:t xml:space="preserve">4. Pembersihan Katalog Zombie (Catalog De-cluttering): </w:t>
      </w:r>
      <w:r>
        <w:rPr>
          <w:rFonts w:ascii="Arial" w:hAnsi="Arial"/>
          <w:sz w:val="18"/>
        </w:rPr>
        <w:t>Hapus atau nonaktifkan 1.000+ SKU yang tidak terjual dalam 90 hari terakhir. Pusatkan 100% amunisi stok kain, etalase, dan jam siaran Live Streaming pada 177 Hero SKU yang menyumbang 73% omzet PGE.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