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100"/>
          <w:szCs w:val="100"/>
        </w:rPr>
      </w:pPr>
      <w:r w:rsidDel="00000000" w:rsidR="00000000" w:rsidRPr="00000000">
        <w:rPr>
          <w:rtl w:val="0"/>
        </w:rPr>
      </w:r>
    </w:p>
    <w:p w:rsidR="00000000" w:rsidDel="00000000" w:rsidP="00000000" w:rsidRDefault="00000000" w:rsidRPr="00000000" w14:paraId="00000002">
      <w:pPr>
        <w:spacing w:line="240" w:lineRule="auto"/>
        <w:jc w:val="center"/>
        <w:rPr>
          <w:sz w:val="96"/>
          <w:szCs w:val="96"/>
        </w:rPr>
      </w:pPr>
      <w:r w:rsidDel="00000000" w:rsidR="00000000" w:rsidRPr="00000000">
        <w:rPr>
          <w:rtl w:val="0"/>
        </w:rPr>
      </w:r>
    </w:p>
    <w:p w:rsidR="00000000" w:rsidDel="00000000" w:rsidP="00000000" w:rsidRDefault="00000000" w:rsidRPr="00000000" w14:paraId="00000003">
      <w:pPr>
        <w:spacing w:line="240" w:lineRule="auto"/>
        <w:jc w:val="center"/>
        <w:rPr>
          <w:sz w:val="96"/>
          <w:szCs w:val="96"/>
        </w:rPr>
      </w:pPr>
      <w:r w:rsidDel="00000000" w:rsidR="00000000" w:rsidRPr="00000000">
        <w:rPr>
          <w:rtl w:val="0"/>
        </w:rPr>
      </w:r>
    </w:p>
    <w:p w:rsidR="00000000" w:rsidDel="00000000" w:rsidP="00000000" w:rsidRDefault="00000000" w:rsidRPr="00000000" w14:paraId="00000004">
      <w:pPr>
        <w:spacing w:line="240" w:lineRule="auto"/>
        <w:rPr>
          <w:sz w:val="94"/>
          <w:szCs w:val="94"/>
        </w:rPr>
      </w:pPr>
      <w:r w:rsidDel="00000000" w:rsidR="00000000" w:rsidRPr="00000000">
        <w:rPr>
          <w:rtl w:val="0"/>
        </w:rPr>
      </w:r>
    </w:p>
    <w:p w:rsidR="00000000" w:rsidDel="00000000" w:rsidP="00000000" w:rsidRDefault="00000000" w:rsidRPr="00000000" w14:paraId="00000005">
      <w:pPr>
        <w:spacing w:line="240" w:lineRule="auto"/>
        <w:jc w:val="center"/>
        <w:rPr>
          <w:rFonts w:ascii="Century Gothic" w:cs="Century Gothic" w:eastAsia="Century Gothic" w:hAnsi="Century Gothic"/>
          <w:b w:val="1"/>
          <w:bCs w:val="1"/>
          <w:sz w:val="76"/>
          <w:szCs w:val="76"/>
        </w:rPr>
      </w:pPr>
      <w:r w:rsidDel="00000000" w:rsidR="00000000" w:rsidRPr="00000000">
        <w:rPr>
          <w:rFonts w:ascii="Century Gothic" w:cs="Century Gothic" w:eastAsia="Century Gothic" w:hAnsi="Century Gothic"/>
          <w:b w:val="1"/>
          <w:bCs w:val="1"/>
          <w:sz w:val="76"/>
          <w:szCs w:val="76"/>
          <w:rtl w:val="0"/>
        </w:rPr>
        <w:t xml:space="preserve">PROGRAMA DE FARMACOVIGILANCIA</w:t>
      </w:r>
    </w:p>
    <w:p w:rsidR="00000000" w:rsidDel="00000000" w:rsidP="00000000" w:rsidRDefault="00000000" w:rsidRPr="00000000" w14:paraId="00000006">
      <w:pPr>
        <w:spacing w:line="240" w:lineRule="auto"/>
        <w:jc w:val="center"/>
        <w:rPr>
          <w:rFonts w:ascii="Century Gothic" w:cs="Century Gothic" w:eastAsia="Century Gothic" w:hAnsi="Century Gothic"/>
          <w:sz w:val="100"/>
          <w:szCs w:val="100"/>
        </w:rPr>
      </w:pPr>
      <w:r w:rsidDel="00000000" w:rsidR="00000000" w:rsidRPr="00000000">
        <w:rPr>
          <w:rtl w:val="0"/>
        </w:rPr>
      </w:r>
    </w:p>
    <w:p w:rsidR="00000000" w:rsidDel="00000000" w:rsidP="00000000" w:rsidRDefault="00000000" w:rsidRPr="00000000" w14:paraId="00000007">
      <w:pPr>
        <w:spacing w:line="240" w:lineRule="auto"/>
        <w:jc w:val="center"/>
        <w:rPr>
          <w:sz w:val="100"/>
          <w:szCs w:val="100"/>
        </w:rPr>
      </w:pPr>
      <w:r w:rsidDel="00000000" w:rsidR="00000000" w:rsidRPr="00000000">
        <w:rPr>
          <w:rtl w:val="0"/>
        </w:rPr>
      </w:r>
    </w:p>
    <w:p w:rsidR="00000000" w:rsidDel="00000000" w:rsidP="00000000" w:rsidRDefault="00000000" w:rsidRPr="00000000" w14:paraId="00000008">
      <w:pPr>
        <w:spacing w:line="240" w:lineRule="auto"/>
        <w:jc w:val="center"/>
        <w:rPr>
          <w:sz w:val="100"/>
          <w:szCs w:val="100"/>
        </w:rPr>
      </w:pPr>
      <w:r w:rsidDel="00000000" w:rsidR="00000000" w:rsidRPr="00000000">
        <w:rPr>
          <w:rtl w:val="0"/>
        </w:rPr>
      </w:r>
    </w:p>
    <w:p w:rsidR="00000000" w:rsidDel="00000000" w:rsidP="00000000" w:rsidRDefault="00000000" w:rsidRPr="00000000" w14:paraId="00000009">
      <w:pPr>
        <w:spacing w:before="280" w:line="240" w:lineRule="auto"/>
        <w:rPr>
          <w:sz w:val="24"/>
          <w:szCs w:val="24"/>
        </w:rPr>
      </w:pPr>
      <w:r w:rsidDel="00000000" w:rsidR="00000000" w:rsidRPr="00000000">
        <w:rPr>
          <w:rtl w:val="0"/>
        </w:rPr>
      </w:r>
    </w:p>
    <w:p w:rsidR="00000000" w:rsidDel="00000000" w:rsidP="00000000" w:rsidRDefault="00000000" w:rsidRPr="00000000" w14:paraId="0000000A">
      <w:pPr>
        <w:spacing w:before="280" w:line="240" w:lineRule="auto"/>
        <w:rPr>
          <w:sz w:val="24"/>
          <w:szCs w:val="24"/>
        </w:rPr>
      </w:pPr>
      <w:r w:rsidDel="00000000" w:rsidR="00000000" w:rsidRPr="00000000">
        <w:rPr>
          <w:rtl w:val="0"/>
        </w:rPr>
      </w:r>
    </w:p>
    <w:p w:rsidR="00000000" w:rsidDel="00000000" w:rsidP="00000000" w:rsidRDefault="00000000" w:rsidRPr="00000000" w14:paraId="0000000B">
      <w:pPr>
        <w:spacing w:before="280" w:line="240" w:lineRule="auto"/>
        <w:rPr>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240" w:lineRule="auto"/>
        <w:ind w:left="0" w:firstLine="0"/>
        <w:jc w:val="both"/>
        <w:rPr>
          <w:rFonts w:ascii="Century Gothic" w:cs="Century Gothic" w:eastAsia="Century Gothic" w:hAnsi="Century Gothic"/>
          <w:b w:val="1"/>
          <w:bCs w:val="1"/>
          <w:sz w:val="22"/>
          <w:szCs w:val="22"/>
        </w:rPr>
      </w:pPr>
      <w:bookmarkStart w:colFirst="0" w:colLast="0" w:name="_heading=h.hf9lebw1rx9a" w:id="0"/>
      <w:bookmarkEnd w:id="0"/>
      <w:r w:rsidDel="00000000" w:rsidR="00000000" w:rsidRPr="00000000">
        <w:rPr>
          <w:rtl w:val="0"/>
        </w:rPr>
      </w:r>
    </w:p>
    <w:p w:rsidR="00000000" w:rsidDel="00000000" w:rsidP="00000000" w:rsidRDefault="00000000" w:rsidRPr="00000000" w14:paraId="0000000D">
      <w:pPr>
        <w:pStyle w:val="Heading1"/>
        <w:keepNext w:val="0"/>
        <w:keepLines w:val="0"/>
        <w:numPr>
          <w:ilvl w:val="0"/>
          <w:numId w:val="4"/>
        </w:numPr>
        <w:spacing w:before="0" w:line="240" w:lineRule="auto"/>
        <w:ind w:left="1440" w:hanging="360"/>
        <w:jc w:val="both"/>
        <w:rPr>
          <w:rFonts w:ascii="Century Gothic" w:cs="Century Gothic" w:eastAsia="Century Gothic" w:hAnsi="Century Gothic"/>
          <w:b w:val="1"/>
          <w:bCs w:val="1"/>
          <w:sz w:val="22"/>
          <w:szCs w:val="22"/>
        </w:rPr>
      </w:pPr>
      <w:bookmarkStart w:colFirst="0" w:colLast="0" w:name="_heading=h.gjdgxs" w:id="1"/>
      <w:bookmarkEnd w:id="1"/>
      <w:r w:rsidDel="00000000" w:rsidR="00000000" w:rsidRPr="00000000">
        <w:rPr>
          <w:rFonts w:ascii="Century Gothic" w:cs="Century Gothic" w:eastAsia="Century Gothic" w:hAnsi="Century Gothic"/>
          <w:b w:val="1"/>
          <w:bCs w:val="1"/>
          <w:sz w:val="22"/>
          <w:szCs w:val="22"/>
          <w:rtl w:val="0"/>
        </w:rPr>
        <w:t xml:space="preserve">INTRODUCCIÓN</w:t>
      </w:r>
    </w:p>
    <w:p w:rsidR="00000000" w:rsidDel="00000000" w:rsidP="00000000" w:rsidRDefault="00000000" w:rsidRPr="00000000" w14:paraId="0000000E">
      <w:pPr>
        <w:spacing w:after="5" w:line="276"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Farmacovigilancia es la ciencia y actividades relacionadas con la detección, evaluación, entendimiento y prevención de los eventos adversos o cualquier otro problema relacionado con Medicamentos (En este caso para la IPS únicamente los medicamentos que se encuentran dentro del botiquín de primeros auxilios). </w:t>
      </w:r>
    </w:p>
    <w:p w:rsidR="00000000" w:rsidDel="00000000" w:rsidP="00000000" w:rsidRDefault="00000000" w:rsidRPr="00000000" w14:paraId="0000000F">
      <w:pPr>
        <w:spacing w:after="5" w:line="276"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pacing w:after="5" w:line="276"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Ante esta situación, se requiere un procedimiento estandarizado para la notificación, registro, procesamiento y análisis clínico de la información y envió de reportes a la entidad reguladora correspondiente. (Resolución 1403 del 2007).</w:t>
      </w:r>
    </w:p>
    <w:p w:rsidR="00000000" w:rsidDel="00000000" w:rsidP="00000000" w:rsidRDefault="00000000" w:rsidRPr="00000000" w14:paraId="00000011">
      <w:pPr>
        <w:spacing w:after="5" w:line="249" w:lineRule="auto"/>
        <w:ind w:left="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numPr>
          <w:ilvl w:val="0"/>
          <w:numId w:val="4"/>
        </w:numPr>
        <w:spacing w:after="5" w:line="249" w:lineRule="auto"/>
        <w:ind w:left="1440" w:right="7"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JUSTIFICACIÓN </w:t>
      </w:r>
    </w:p>
    <w:p w:rsidR="00000000" w:rsidDel="00000000" w:rsidP="00000000" w:rsidRDefault="00000000" w:rsidRPr="00000000" w14:paraId="00000013">
      <w:pPr>
        <w:spacing w:after="240" w:before="240" w:line="24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institución se implementa el Programa de Farmacovigilancia debido a que, dentro del botiquín de primeros auxilios, se encuentran insumos clasificados como medicamentos según la normatividad vigente, específicamente: alcohol, solución salina y jabón yodado.</w:t>
      </w:r>
    </w:p>
    <w:p w:rsidR="00000000" w:rsidDel="00000000" w:rsidP="00000000" w:rsidRDefault="00000000" w:rsidRPr="00000000" w14:paraId="00000014">
      <w:pPr>
        <w:spacing w:after="240" w:before="240" w:line="24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uso de estos medicamentos, aunque considerados de bajo riesgo, puede generar reacciones adversas, eventos no esperados o interacciones, los cuales deben ser identificados, registrados y gestionados oportunamente.</w:t>
      </w:r>
    </w:p>
    <w:p w:rsidR="00000000" w:rsidDel="00000000" w:rsidP="00000000" w:rsidRDefault="00000000" w:rsidRPr="00000000" w14:paraId="00000015">
      <w:pPr>
        <w:spacing w:after="240" w:before="240" w:line="24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farmacovigilancia permite prevenir, detectar y evaluar riesgos asociados al consumo o aplicación de medicamentos, garantizando una adecuada relación riesgo-beneficio y promoviendo la seguridad tanto de los pacientes como del personal que los manipula.</w:t>
      </w:r>
    </w:p>
    <w:p w:rsidR="00000000" w:rsidDel="00000000" w:rsidP="00000000" w:rsidRDefault="00000000" w:rsidRPr="00000000" w14:paraId="00000016">
      <w:pPr>
        <w:spacing w:after="240" w:before="240" w:line="24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esta manera, el programa se constituye en una herramienta esencial para velar por la seguridad del paciente, cumplir con la normatividad sanitaria y asegurar la trazabilidad de los medicamentos presentes en la institución, aun cuando su uso sea limitado a la atención inicial de primeros auxilios.</w:t>
      </w:r>
    </w:p>
    <w:p w:rsidR="00000000" w:rsidDel="00000000" w:rsidP="00000000" w:rsidRDefault="00000000" w:rsidRPr="00000000" w14:paraId="00000017">
      <w:pPr>
        <w:spacing w:after="240" w:before="240" w:line="24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implementación del presente protocolo resulta fundamental para garantizar el uso seguro, eficaz y racional de los medicamentos dentro de la institución, cumpliendo con los lineamientos establecidos por la normatividad nacional vigente en materia de farmacovigilancia. Para efectos de este documento, el término </w:t>
      </w:r>
      <w:r w:rsidDel="00000000" w:rsidR="00000000" w:rsidRPr="00000000">
        <w:rPr>
          <w:rFonts w:ascii="Century Gothic" w:cs="Century Gothic" w:eastAsia="Century Gothic" w:hAnsi="Century Gothic"/>
          <w:i w:val="1"/>
          <w:iCs w:val="1"/>
          <w:rtl w:val="0"/>
        </w:rPr>
        <w:t xml:space="preserve">“medicamentos”</w:t>
      </w:r>
      <w:r w:rsidDel="00000000" w:rsidR="00000000" w:rsidRPr="00000000">
        <w:rPr>
          <w:rFonts w:ascii="Century Gothic" w:cs="Century Gothic" w:eastAsia="Century Gothic" w:hAnsi="Century Gothic"/>
          <w:rtl w:val="0"/>
        </w:rPr>
        <w:t xml:space="preserve"> hará referencia exclusivamente a los tres productos incluidos en el botiquín institucional, los cuales serán objeto de almacenamiento, control y seguimiento según las disposiciones aplicables.</w:t>
      </w:r>
    </w:p>
    <w:p w:rsidR="00000000" w:rsidDel="00000000" w:rsidP="00000000" w:rsidRDefault="00000000" w:rsidRPr="00000000" w14:paraId="00000018">
      <w:pPr>
        <w:spacing w:after="240" w:before="240" w:line="24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spacing w:after="5" w:line="249"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spacing w:after="5" w:line="249"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numPr>
          <w:ilvl w:val="0"/>
          <w:numId w:val="4"/>
        </w:numPr>
        <w:spacing w:after="5" w:line="249" w:lineRule="auto"/>
        <w:ind w:left="1440" w:right="7"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ALCANCE </w:t>
      </w:r>
    </w:p>
    <w:p w:rsidR="00000000" w:rsidDel="00000000" w:rsidP="00000000" w:rsidRDefault="00000000" w:rsidRPr="00000000" w14:paraId="0000001C">
      <w:pPr>
        <w:spacing w:after="5" w:line="249" w:lineRule="auto"/>
        <w:ind w:left="720" w:right="7"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D">
      <w:pPr>
        <w:spacing w:after="5" w:line="249" w:lineRule="auto"/>
        <w:ind w:right="7"/>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programa de farmacovigilancia de ENDOCRINOLOGY &amp; HEALTH aplica únicamente para Medicamentos incluidos en el botiquín de primeros auxilios ya que ENDOCRINOLOGY &amp; HEALTH dentro de sus procesos prioritarios no utiliza medicamentos para aplicación.</w:t>
      </w:r>
    </w:p>
    <w:p w:rsidR="00000000" w:rsidDel="00000000" w:rsidP="00000000" w:rsidRDefault="00000000" w:rsidRPr="00000000" w14:paraId="0000001E">
      <w:pPr>
        <w:spacing w:after="5" w:line="249" w:lineRule="auto"/>
        <w:ind w:right="7"/>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F">
      <w:pPr>
        <w:numPr>
          <w:ilvl w:val="0"/>
          <w:numId w:val="4"/>
        </w:numPr>
        <w:spacing w:line="240" w:lineRule="auto"/>
        <w:ind w:left="1440" w:hanging="36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MARCO LEGAL</w:t>
      </w:r>
    </w:p>
    <w:p w:rsidR="00000000" w:rsidDel="00000000" w:rsidP="00000000" w:rsidRDefault="00000000" w:rsidRPr="00000000" w14:paraId="00000020">
      <w:pPr>
        <w:spacing w:line="240" w:lineRule="auto"/>
        <w:rPr>
          <w:rFonts w:ascii="Century Gothic" w:cs="Century Gothic" w:eastAsia="Century Gothic" w:hAnsi="Century Gothic"/>
        </w:rPr>
      </w:pPr>
      <w:r w:rsidDel="00000000" w:rsidR="00000000" w:rsidRPr="00000000">
        <w:rPr>
          <w:rtl w:val="0"/>
        </w:rPr>
      </w:r>
    </w:p>
    <w:tbl>
      <w:tblPr>
        <w:tblStyle w:val="Table1"/>
        <w:tblW w:w="952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5"/>
        <w:gridCol w:w="7050"/>
        <w:tblGridChange w:id="0">
          <w:tblGrid>
            <w:gridCol w:w="2475"/>
            <w:gridCol w:w="7050"/>
          </w:tblGrid>
        </w:tblGridChange>
      </w:tblGrid>
      <w:tr>
        <w:trPr>
          <w:cantSplit w:val="0"/>
          <w:trHeight w:val="552.26806030894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NORMA</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DESCRIPCIÓN DE LA NORMA</w:t>
            </w:r>
          </w:p>
        </w:tc>
      </w:tr>
      <w:tr>
        <w:trPr>
          <w:cantSplit w:val="0"/>
          <w:trHeight w:val="1635" w:hRule="atLeast"/>
          <w:tblHeader w:val="0"/>
        </w:trPr>
        <w:tc>
          <w:tcPr>
            <w:shd w:fill="auto" w:val="clear"/>
            <w:vAlign w:val="center"/>
          </w:tcPr>
          <w:p w:rsidR="00000000" w:rsidDel="00000000" w:rsidP="00000000" w:rsidRDefault="00000000" w:rsidRPr="00000000" w14:paraId="00000023">
            <w:pPr>
              <w:ind w:left="10" w:right="7"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Decreto 677/1995</w:t>
            </w:r>
          </w:p>
        </w:tc>
        <w:tc>
          <w:tcPr>
            <w:shd w:fill="auto" w:val="clear"/>
            <w:vAlign w:val="center"/>
          </w:tcPr>
          <w:p w:rsidR="00000000" w:rsidDel="00000000" w:rsidP="00000000" w:rsidRDefault="00000000" w:rsidRPr="00000000" w14:paraId="00000024">
            <w:pPr>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Reporte de información al Invima. Invima reglamentará contenido y periodicidad de los reportes, que deban presentar: titulares de registros sanitarios, laboratorios farmacéuticos y cualquier establecimiento fabricante de los productos mencionados en este decreto, a las autoridades delegadas para tal fin. El Invima recibe, procesa y analiza la información recibida; la cual emplea para definir sus programas de vigilancia y control.</w:t>
            </w:r>
          </w:p>
        </w:tc>
      </w:tr>
      <w:tr>
        <w:trPr>
          <w:cantSplit w:val="0"/>
          <w:trHeight w:val="1335" w:hRule="atLeast"/>
          <w:tblHeader w:val="0"/>
        </w:trPr>
        <w:tc>
          <w:tcPr>
            <w:shd w:fill="auto" w:val="clear"/>
            <w:vAlign w:val="center"/>
          </w:tcPr>
          <w:p w:rsidR="00000000" w:rsidDel="00000000" w:rsidP="00000000" w:rsidRDefault="00000000" w:rsidRPr="00000000" w14:paraId="00000025">
            <w:pPr>
              <w:ind w:left="10" w:right="7"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Decreto 2200/2005</w:t>
            </w:r>
          </w:p>
        </w:tc>
        <w:tc>
          <w:tcPr>
            <w:shd w:fill="auto" w:val="clear"/>
            <w:vAlign w:val="center"/>
          </w:tcPr>
          <w:p w:rsidR="00000000" w:rsidDel="00000000" w:rsidP="00000000" w:rsidRDefault="00000000" w:rsidRPr="00000000" w14:paraId="00000026">
            <w:pPr>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el cual se reglamenta el servicio farmacéutico y se dictan otras disposiciones. Este decreto tiene por objeto regular las condiciones  y procesos propios  del servicio farmacéutico  entre las que se encuentra: participar en la creación y desarrollo de programas relacionados con los medicamentos y dispositivos médicos, especialmente los programas  de farmacovigilancia.</w:t>
            </w:r>
          </w:p>
        </w:tc>
      </w:tr>
      <w:tr>
        <w:trPr>
          <w:cantSplit w:val="0"/>
          <w:trHeight w:val="375" w:hRule="atLeast"/>
          <w:tblHeader w:val="0"/>
        </w:trPr>
        <w:tc>
          <w:tcPr>
            <w:shd w:fill="auto" w:val="clear"/>
            <w:vAlign w:val="center"/>
          </w:tcPr>
          <w:p w:rsidR="00000000" w:rsidDel="00000000" w:rsidP="00000000" w:rsidRDefault="00000000" w:rsidRPr="00000000" w14:paraId="00000027">
            <w:pPr>
              <w:ind w:left="10" w:right="7"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Decreto 780/2016</w:t>
            </w:r>
          </w:p>
        </w:tc>
        <w:tc>
          <w:tcPr>
            <w:shd w:fill="auto" w:val="clear"/>
            <w:vAlign w:val="center"/>
          </w:tcPr>
          <w:p w:rsidR="00000000" w:rsidDel="00000000" w:rsidP="00000000" w:rsidRDefault="00000000" w:rsidRPr="00000000" w14:paraId="00000028">
            <w:pPr>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medio del cual se expide el Decreto Único Reglamentario del Sector Salud y Protección Social.</w:t>
            </w:r>
          </w:p>
        </w:tc>
      </w:tr>
      <w:tr>
        <w:trPr>
          <w:cantSplit w:val="0"/>
          <w:trHeight w:val="750" w:hRule="atLeast"/>
          <w:tblHeader w:val="0"/>
        </w:trPr>
        <w:tc>
          <w:tcPr>
            <w:shd w:fill="auto" w:val="clear"/>
            <w:vAlign w:val="center"/>
          </w:tcPr>
          <w:p w:rsidR="00000000" w:rsidDel="00000000" w:rsidP="00000000" w:rsidRDefault="00000000" w:rsidRPr="00000000" w14:paraId="00000029">
            <w:pPr>
              <w:ind w:left="10" w:right="7"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Resolución 3100/2019</w:t>
            </w:r>
          </w:p>
        </w:tc>
        <w:tc>
          <w:tcPr>
            <w:shd w:fill="auto" w:val="clear"/>
            <w:vAlign w:val="center"/>
          </w:tcPr>
          <w:p w:rsidR="00000000" w:rsidDel="00000000" w:rsidP="00000000" w:rsidRDefault="00000000" w:rsidRPr="00000000" w14:paraId="0000002A">
            <w:pPr>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la cual se definen los procedimientos y condiciones de inscripción de los Prestadores de Servicios de Salud y de habilitación de servicios de salud. </w:t>
            </w:r>
          </w:p>
        </w:tc>
      </w:tr>
      <w:tr>
        <w:trPr>
          <w:cantSplit w:val="0"/>
          <w:trHeight w:val="690" w:hRule="atLeast"/>
          <w:tblHeader w:val="0"/>
        </w:trPr>
        <w:tc>
          <w:tcPr>
            <w:shd w:fill="auto" w:val="clear"/>
            <w:vAlign w:val="center"/>
          </w:tcPr>
          <w:p w:rsidR="00000000" w:rsidDel="00000000" w:rsidP="00000000" w:rsidRDefault="00000000" w:rsidRPr="00000000" w14:paraId="0000002B">
            <w:pPr>
              <w:ind w:left="10" w:right="7"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C">
            <w:pPr>
              <w:ind w:left="10" w:right="7"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Resolución 1403/2007</w:t>
            </w:r>
          </w:p>
          <w:p w:rsidR="00000000" w:rsidDel="00000000" w:rsidP="00000000" w:rsidRDefault="00000000" w:rsidRPr="00000000" w14:paraId="0000002D">
            <w:pPr>
              <w:ind w:left="10" w:right="7" w:firstLine="0"/>
              <w:rPr>
                <w:rFonts w:ascii="Century Gothic" w:cs="Century Gothic" w:eastAsia="Century Gothic" w:hAnsi="Century Gothic"/>
              </w:rPr>
            </w:pPr>
            <w:r w:rsidDel="00000000" w:rsidR="00000000" w:rsidRPr="00000000">
              <w:rPr>
                <w:rtl w:val="0"/>
              </w:rPr>
            </w:r>
          </w:p>
        </w:tc>
        <w:tc>
          <w:tcPr>
            <w:shd w:fill="auto" w:val="clear"/>
            <w:vAlign w:val="center"/>
          </w:tcPr>
          <w:p w:rsidR="00000000" w:rsidDel="00000000" w:rsidP="00000000" w:rsidRDefault="00000000" w:rsidRPr="00000000" w14:paraId="0000002E">
            <w:pPr>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Por la cual se determina el Modelo de Gestión del Servicio Farmacéutico, se adopta el Manual de Condiciones Esenciales y Procedimientos y se dictan otras disposiciones.</w:t>
            </w:r>
          </w:p>
        </w:tc>
      </w:tr>
    </w:tbl>
    <w:p w:rsidR="00000000" w:rsidDel="00000000" w:rsidP="00000000" w:rsidRDefault="00000000" w:rsidRPr="00000000" w14:paraId="0000002F">
      <w:pPr>
        <w:spacing w:line="240" w:lineRule="auto"/>
        <w:ind w:left="72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0">
      <w:pPr>
        <w:numPr>
          <w:ilvl w:val="0"/>
          <w:numId w:val="4"/>
        </w:numPr>
        <w:spacing w:line="240" w:lineRule="auto"/>
        <w:ind w:left="144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DEFINICIONES</w:t>
      </w:r>
    </w:p>
    <w:p w:rsidR="00000000" w:rsidDel="00000000" w:rsidP="00000000" w:rsidRDefault="00000000" w:rsidRPr="00000000" w14:paraId="00000031">
      <w:pPr>
        <w:spacing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Medicamento:</w:t>
      </w:r>
      <w:r w:rsidDel="00000000" w:rsidR="00000000" w:rsidRPr="00000000">
        <w:rPr>
          <w:rFonts w:ascii="Century Gothic" w:cs="Century Gothic" w:eastAsia="Century Gothic" w:hAnsi="Century Gothic"/>
          <w:rtl w:val="0"/>
        </w:rPr>
        <w:t xml:space="preserve"> Es "un producto farmacéutico, utilizado en o sobre el cuerpo humano para la prevención, el diagnóstico o el tratamiento de enfermedades o para la modificación de funciones fisiológicas". </w:t>
      </w:r>
    </w:p>
    <w:p w:rsidR="00000000" w:rsidDel="00000000" w:rsidP="00000000" w:rsidRDefault="00000000" w:rsidRPr="00000000" w14:paraId="00000033">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Reacción adversa:</w:t>
      </w:r>
      <w:r w:rsidDel="00000000" w:rsidR="00000000" w:rsidRPr="00000000">
        <w:rPr>
          <w:rFonts w:ascii="Century Gothic" w:cs="Century Gothic" w:eastAsia="Century Gothic" w:hAnsi="Century Gothic"/>
          <w:rtl w:val="0"/>
        </w:rPr>
        <w:t xml:space="preserve"> Se define como "cualquier suceso médico desafortunado que puede presentarse durante el tratamiento con un  pero que no tiene necesariamente una relación causal con dicho tratamiento". En este caso el punto básico es la coincidencia en el tiempo sin ninguna sospecha de una relación causal. </w:t>
      </w:r>
    </w:p>
    <w:p w:rsidR="00000000" w:rsidDel="00000000" w:rsidP="00000000" w:rsidRDefault="00000000" w:rsidRPr="00000000" w14:paraId="00000034">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Reacción adversa inesperada:</w:t>
      </w:r>
      <w:r w:rsidDel="00000000" w:rsidR="00000000" w:rsidRPr="00000000">
        <w:rPr>
          <w:rFonts w:ascii="Century Gothic" w:cs="Century Gothic" w:eastAsia="Century Gothic" w:hAnsi="Century Gothic"/>
          <w:rtl w:val="0"/>
        </w:rPr>
        <w:t xml:space="preserve"> Es "una reacción adversa, cuya naturaleza o intensidad no es consistente con la información local o la autorización de comercialización, o bien no es esperable por las características farmacológicas del ". El elemento predominante en este caso es que el fenómeno sea desconocido. </w:t>
      </w:r>
    </w:p>
    <w:p w:rsidR="00000000" w:rsidDel="00000000" w:rsidP="00000000" w:rsidRDefault="00000000" w:rsidRPr="00000000" w14:paraId="00000035">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Acontecimientos adversos graves:</w:t>
      </w:r>
      <w:r w:rsidDel="00000000" w:rsidR="00000000" w:rsidRPr="00000000">
        <w:rPr>
          <w:rFonts w:ascii="Century Gothic" w:cs="Century Gothic" w:eastAsia="Century Gothic" w:hAnsi="Century Gothic"/>
          <w:rtl w:val="0"/>
        </w:rPr>
        <w:t xml:space="preserve"> Pueden definirse como aquellos que: a. amenazan la vida o son mortales, b. causan o prolongan la hospitalización, c. causan incapacidad o discapacidad permanente; o d. están relacionadas con abuso o dependencia. </w:t>
      </w:r>
    </w:p>
    <w:p w:rsidR="00000000" w:rsidDel="00000000" w:rsidP="00000000" w:rsidRDefault="00000000" w:rsidRPr="00000000" w14:paraId="00000036">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Incidente:</w:t>
      </w:r>
      <w:r w:rsidDel="00000000" w:rsidR="00000000" w:rsidRPr="00000000">
        <w:rPr>
          <w:rFonts w:ascii="Century Gothic" w:cs="Century Gothic" w:eastAsia="Century Gothic" w:hAnsi="Century Gothic"/>
          <w:rtl w:val="0"/>
        </w:rPr>
        <w:t xml:space="preserve"> Es un evento o circunstancia que sucede en la atención clínica de un paciente que no le genera daño, pero que en su ocurrencia se incorporan fallas en los procesos de atención. </w:t>
      </w:r>
    </w:p>
    <w:p w:rsidR="00000000" w:rsidDel="00000000" w:rsidP="00000000" w:rsidRDefault="00000000" w:rsidRPr="00000000" w14:paraId="00000037">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Fallo terapéutico:</w:t>
      </w:r>
      <w:r w:rsidDel="00000000" w:rsidR="00000000" w:rsidRPr="00000000">
        <w:rPr>
          <w:rFonts w:ascii="Century Gothic" w:cs="Century Gothic" w:eastAsia="Century Gothic" w:hAnsi="Century Gothic"/>
          <w:rtl w:val="0"/>
        </w:rPr>
        <w:t xml:space="preserve"> Es la no consecución de la respuesta farmacológica esperada, para la patología del paciente, producto de una falencia en la compleja interrelación paciente – . </w:t>
      </w:r>
    </w:p>
    <w:p w:rsidR="00000000" w:rsidDel="00000000" w:rsidP="00000000" w:rsidRDefault="00000000" w:rsidRPr="00000000" w14:paraId="00000038">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Problemas Relacionados con la Utilización de medicamentos (PRUM): </w:t>
      </w:r>
      <w:r w:rsidDel="00000000" w:rsidR="00000000" w:rsidRPr="00000000">
        <w:rPr>
          <w:rFonts w:ascii="Century Gothic" w:cs="Century Gothic" w:eastAsia="Century Gothic" w:hAnsi="Century Gothic"/>
          <w:rtl w:val="0"/>
        </w:rPr>
        <w:t xml:space="preserve">Corresponden a causas prevenibles de Problemas Relacionados con s, asociados a errores de medicación (prescripción, dispensación, administración o uso por parte del paciente o cuidador), incluyendo los fallos en el Sistema de Suministro de s, relacionados principalmente con la ausencia en los servicios de procesos administrativos y técnicos que garanticen la existencia de s que realmente se necesiten, acompañados de las características de efectividad, seguridad, calidad de la información y educación necesaria para su uso correcto. </w:t>
      </w:r>
    </w:p>
    <w:p w:rsidR="00000000" w:rsidDel="00000000" w:rsidP="00000000" w:rsidRDefault="00000000" w:rsidRPr="00000000" w14:paraId="00000039">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Notificación:</w:t>
      </w:r>
      <w:r w:rsidDel="00000000" w:rsidR="00000000" w:rsidRPr="00000000">
        <w:rPr>
          <w:rFonts w:ascii="Century Gothic" w:cs="Century Gothic" w:eastAsia="Century Gothic" w:hAnsi="Century Gothic"/>
          <w:rtl w:val="0"/>
        </w:rPr>
        <w:t xml:space="preserve"> Comunicación por cualquier vía de una sospecha de reacción adversa o problema relacionado con . </w:t>
      </w:r>
    </w:p>
    <w:p w:rsidR="00000000" w:rsidDel="00000000" w:rsidP="00000000" w:rsidRDefault="00000000" w:rsidRPr="00000000" w14:paraId="0000003A">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Confidencialidad:</w:t>
      </w:r>
      <w:r w:rsidDel="00000000" w:rsidR="00000000" w:rsidRPr="00000000">
        <w:rPr>
          <w:rFonts w:ascii="Century Gothic" w:cs="Century Gothic" w:eastAsia="Century Gothic" w:hAnsi="Century Gothic"/>
          <w:rtl w:val="0"/>
        </w:rPr>
        <w:t xml:space="preserve"> Mantenimiento de la privacidad de los pacientes, profesionales de la salud e instituciones, incluyendo la identidad de las personas y toda la información médica personal. </w:t>
      </w:r>
    </w:p>
    <w:p w:rsidR="00000000" w:rsidDel="00000000" w:rsidP="00000000" w:rsidRDefault="00000000" w:rsidRPr="00000000" w14:paraId="0000003B">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Efecto colateral:</w:t>
      </w:r>
      <w:r w:rsidDel="00000000" w:rsidR="00000000" w:rsidRPr="00000000">
        <w:rPr>
          <w:rFonts w:ascii="Century Gothic" w:cs="Century Gothic" w:eastAsia="Century Gothic" w:hAnsi="Century Gothic"/>
          <w:rtl w:val="0"/>
        </w:rPr>
        <w:t xml:space="preserve"> Es "cualquier efecto no intencionado de un producto farmacéutico que se produzca con dosis normalmente utilizadas en el hombre, y que esté relacionado con las propiedades farmacológicas del ". Los elementos esenciales en esta definición son la naturaleza farmacológica del efecto, que el fenómeno no es intencionado y que no existe sobredosis evidente. </w:t>
      </w:r>
    </w:p>
    <w:p w:rsidR="00000000" w:rsidDel="00000000" w:rsidP="00000000" w:rsidRDefault="00000000" w:rsidRPr="00000000" w14:paraId="0000003C">
      <w:pPr>
        <w:numPr>
          <w:ilvl w:val="0"/>
          <w:numId w:val="8"/>
        </w:numPr>
        <w:spacing w:after="200" w:line="240" w:lineRule="auto"/>
        <w:ind w:left="283.46456692913375"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acuerdo con la clasificación de Park y Coleman, las reacciones adversas a medicamentos se dividen en cuatro tipos (A, B, C y D). No obstante, en el contexto de la institución, donde únicamente se emplean alcohol, solución salina y jabón yodado dentro del botiquín de primeros auxilios, la aplicación se resume de la siguiente manera:</w:t>
      </w:r>
    </w:p>
    <w:p w:rsidR="00000000" w:rsidDel="00000000" w:rsidP="00000000" w:rsidRDefault="00000000" w:rsidRPr="00000000" w14:paraId="0000003D">
      <w:pPr>
        <w:numPr>
          <w:ilvl w:val="0"/>
          <w:numId w:val="7"/>
        </w:numPr>
        <w:spacing w:after="200" w:line="240" w:lineRule="auto"/>
        <w:ind w:left="720" w:hanging="360"/>
        <w:jc w:val="both"/>
        <w:rPr/>
      </w:pPr>
      <w:r w:rsidDel="00000000" w:rsidR="00000000" w:rsidRPr="00000000">
        <w:rPr>
          <w:rFonts w:ascii="Century Gothic" w:cs="Century Gothic" w:eastAsia="Century Gothic" w:hAnsi="Century Gothic"/>
          <w:b w:val="1"/>
          <w:bCs w:val="1"/>
          <w:rtl w:val="0"/>
        </w:rPr>
        <w:t xml:space="preserve">Reacciones Tipo A (Acciones del fármaco):</w:t>
        <w:br w:type="textWrapping"/>
      </w:r>
      <w:r w:rsidDel="00000000" w:rsidR="00000000" w:rsidRPr="00000000">
        <w:rPr>
          <w:rFonts w:ascii="Century Gothic" w:cs="Century Gothic" w:eastAsia="Century Gothic" w:hAnsi="Century Gothic"/>
          <w:rtl w:val="0"/>
        </w:rPr>
        <w:t xml:space="preserve">Son las más relevantes en esta IPS, dado que los medicamentos del botiquín pueden generar efectos esperados pero aumentados por su uso directo o prolongado. Ejemplos:</w:t>
      </w:r>
    </w:p>
    <w:p w:rsidR="00000000" w:rsidDel="00000000" w:rsidP="00000000" w:rsidRDefault="00000000" w:rsidRPr="00000000" w14:paraId="0000003E">
      <w:pPr>
        <w:numPr>
          <w:ilvl w:val="0"/>
          <w:numId w:val="6"/>
        </w:numPr>
        <w:spacing w:after="20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Alcohol: irritación cutánea, sequedad excesiva, ardor.</w:t>
      </w:r>
    </w:p>
    <w:p w:rsidR="00000000" w:rsidDel="00000000" w:rsidP="00000000" w:rsidRDefault="00000000" w:rsidRPr="00000000" w14:paraId="0000003F">
      <w:pPr>
        <w:numPr>
          <w:ilvl w:val="0"/>
          <w:numId w:val="6"/>
        </w:numPr>
        <w:spacing w:after="20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jabón yodado: sensación de ardor o irritación local.</w:t>
      </w:r>
    </w:p>
    <w:p w:rsidR="00000000" w:rsidDel="00000000" w:rsidP="00000000" w:rsidRDefault="00000000" w:rsidRPr="00000000" w14:paraId="00000040">
      <w:pPr>
        <w:numPr>
          <w:ilvl w:val="0"/>
          <w:numId w:val="6"/>
        </w:numPr>
        <w:spacing w:after="200" w:afterAutospacing="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Solución salina: molestias leves en mucosas si se aplica en exceso.</w:t>
        <w:br w:type="textWrapping"/>
      </w:r>
    </w:p>
    <w:p w:rsidR="00000000" w:rsidDel="00000000" w:rsidP="00000000" w:rsidRDefault="00000000" w:rsidRPr="00000000" w14:paraId="00000041">
      <w:pPr>
        <w:numPr>
          <w:ilvl w:val="0"/>
          <w:numId w:val="7"/>
        </w:numPr>
        <w:spacing w:after="0" w:afterAutospacing="0" w:before="200" w:beforeAutospacing="0" w:line="240" w:lineRule="auto"/>
        <w:ind w:left="720" w:hanging="360"/>
        <w:jc w:val="both"/>
        <w:rPr/>
      </w:pPr>
      <w:r w:rsidDel="00000000" w:rsidR="00000000" w:rsidRPr="00000000">
        <w:rPr>
          <w:rFonts w:ascii="Century Gothic" w:cs="Century Gothic" w:eastAsia="Century Gothic" w:hAnsi="Century Gothic"/>
          <w:b w:val="1"/>
          <w:bCs w:val="1"/>
          <w:rtl w:val="0"/>
        </w:rPr>
        <w:t xml:space="preserve">Reacciones Tipo B (Reacciones del paciente):</w:t>
        <w:br w:type="textWrapping"/>
      </w:r>
      <w:r w:rsidDel="00000000" w:rsidR="00000000" w:rsidRPr="00000000">
        <w:rPr>
          <w:rFonts w:ascii="Century Gothic" w:cs="Century Gothic" w:eastAsia="Century Gothic" w:hAnsi="Century Gothic"/>
          <w:rtl w:val="0"/>
        </w:rPr>
        <w:t xml:space="preserve">Aunque poco frecuentes, pueden presentarse en una minoría de personas con condiciones predisponentes. Ejemplo:</w:t>
      </w:r>
    </w:p>
    <w:p w:rsidR="00000000" w:rsidDel="00000000" w:rsidP="00000000" w:rsidRDefault="00000000" w:rsidRPr="00000000" w14:paraId="00000042">
      <w:pPr>
        <w:numPr>
          <w:ilvl w:val="0"/>
          <w:numId w:val="1"/>
        </w:numPr>
        <w:spacing w:before="20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Reacciones alérgicas al alcohol o al jabón yodado (rash, enrojecimiento, prurito, en casos raros anafilaxia).</w:t>
        <w:br w:type="textWrapping"/>
      </w:r>
    </w:p>
    <w:p w:rsidR="00000000" w:rsidDel="00000000" w:rsidP="00000000" w:rsidRDefault="00000000" w:rsidRPr="00000000" w14:paraId="00000043">
      <w:pPr>
        <w:numPr>
          <w:ilvl w:val="0"/>
          <w:numId w:val="7"/>
        </w:numPr>
        <w:spacing w:after="200" w:line="240" w:lineRule="auto"/>
        <w:ind w:left="720" w:hanging="360"/>
        <w:jc w:val="both"/>
        <w:rPr/>
      </w:pPr>
      <w:r w:rsidDel="00000000" w:rsidR="00000000" w:rsidRPr="00000000">
        <w:rPr>
          <w:rFonts w:ascii="Century Gothic" w:cs="Century Gothic" w:eastAsia="Century Gothic" w:hAnsi="Century Gothic"/>
          <w:b w:val="1"/>
          <w:bCs w:val="1"/>
          <w:rtl w:val="0"/>
        </w:rPr>
        <w:t xml:space="preserve">Reacciones Tipo C y D:</w:t>
      </w:r>
      <w:r w:rsidDel="00000000" w:rsidR="00000000" w:rsidRPr="00000000">
        <w:rPr>
          <w:rFonts w:ascii="Century Gothic" w:cs="Century Gothic" w:eastAsia="Century Gothic" w:hAnsi="Century Gothic"/>
          <w:rtl w:val="0"/>
        </w:rPr>
        <w:br w:type="textWrapping"/>
        <w:t xml:space="preserve">No son aplicables a la realidad institucional, ya que hacen referencia a efectos asociados al uso prolongado y continuo de medicamentos, o a reacciones que aparecen tiempo después de la administración. Dado que en ENDOCRINOLOGY &amp; HEALTH solo se utilizan medicamentos de primeros auxilios, ocasionales y de aplicación localizada, no se consideran relevantes para el programa.</w:t>
      </w:r>
    </w:p>
    <w:p w:rsidR="00000000" w:rsidDel="00000000" w:rsidP="00000000" w:rsidRDefault="00000000" w:rsidRPr="00000000" w14:paraId="00000044">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falsificado:</w:t>
      </w:r>
      <w:r w:rsidDel="00000000" w:rsidR="00000000" w:rsidRPr="00000000">
        <w:rPr>
          <w:rFonts w:ascii="Century Gothic" w:cs="Century Gothic" w:eastAsia="Century Gothic" w:hAnsi="Century Gothic"/>
          <w:rtl w:val="0"/>
        </w:rPr>
        <w:t xml:space="preserve"> Todo producto etiquetado indebidamente de manera deliberada y fraudulenta en lo que respecta a su identidad y fuente. Los s falsificados pueden poseer los ingredientes correctos o incorrectos, con o sin principio activo, con cantidad inadecuada y con envasado falsificado. </w:t>
      </w:r>
    </w:p>
    <w:p w:rsidR="00000000" w:rsidDel="00000000" w:rsidP="00000000" w:rsidRDefault="00000000" w:rsidRPr="00000000" w14:paraId="00000045">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Notificación individual de un caso:</w:t>
      </w:r>
      <w:r w:rsidDel="00000000" w:rsidR="00000000" w:rsidRPr="00000000">
        <w:rPr>
          <w:rFonts w:ascii="Century Gothic" w:cs="Century Gothic" w:eastAsia="Century Gothic" w:hAnsi="Century Gothic"/>
          <w:rtl w:val="0"/>
        </w:rPr>
        <w:t xml:space="preserve"> una notificación relativa a un paciente que ha presentado un acontecimiento médico adverso (o alteración en pruebas de laboratorio) del que se sospecha está ocasionado por un . </w:t>
      </w:r>
    </w:p>
    <w:p w:rsidR="00000000" w:rsidDel="00000000" w:rsidP="00000000" w:rsidRDefault="00000000" w:rsidRPr="00000000" w14:paraId="00000046">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Señal:</w:t>
      </w:r>
      <w:r w:rsidDel="00000000" w:rsidR="00000000" w:rsidRPr="00000000">
        <w:rPr>
          <w:rFonts w:ascii="Century Gothic" w:cs="Century Gothic" w:eastAsia="Century Gothic" w:hAnsi="Century Gothic"/>
          <w:rtl w:val="0"/>
        </w:rPr>
        <w:t xml:space="preserve"> se relaciona con "información notificada de una posible relación causal entre un acontecimiento adverso y un fármaco, siendo la relación previamente desconocida o documentada incompletamente". Habitualmente se necesita más de una sola notificación para generar una señal, dependiendo de la gravedad del evento y de la calidad de la información. 21 </w:t>
      </w:r>
    </w:p>
    <w:p w:rsidR="00000000" w:rsidDel="00000000" w:rsidP="00000000" w:rsidRDefault="00000000" w:rsidRPr="00000000" w14:paraId="00000047">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Validación:</w:t>
      </w:r>
      <w:r w:rsidDel="00000000" w:rsidR="00000000" w:rsidRPr="00000000">
        <w:rPr>
          <w:rFonts w:ascii="Century Gothic" w:cs="Century Gothic" w:eastAsia="Century Gothic" w:hAnsi="Century Gothic"/>
          <w:rtl w:val="0"/>
        </w:rPr>
        <w:t xml:space="preserve"> la acción de probar que cualquier procedimiento, proceso, equipo (incluyendo los programas informáticos –software- o las máquinas – hardware- utilizados), material, actividad o sistema utilizado en farmacovigilancia, realmente conduce a los resultados esperados. </w:t>
      </w:r>
    </w:p>
    <w:p w:rsidR="00000000" w:rsidDel="00000000" w:rsidP="00000000" w:rsidRDefault="00000000" w:rsidRPr="00000000" w14:paraId="00000048">
      <w:pPr>
        <w:numPr>
          <w:ilvl w:val="0"/>
          <w:numId w:val="8"/>
        </w:numPr>
        <w:spacing w:after="200" w:line="240" w:lineRule="auto"/>
        <w:ind w:left="283.46456692913375" w:hanging="360"/>
        <w:jc w:val="both"/>
        <w:rPr/>
      </w:pPr>
      <w:r w:rsidDel="00000000" w:rsidR="00000000" w:rsidRPr="00000000">
        <w:rPr>
          <w:rFonts w:ascii="Century Gothic" w:cs="Century Gothic" w:eastAsia="Century Gothic" w:hAnsi="Century Gothic"/>
          <w:b w:val="1"/>
          <w:bCs w:val="1"/>
          <w:rtl w:val="0"/>
        </w:rPr>
        <w:t xml:space="preserve">Verificación:</w:t>
      </w:r>
      <w:r w:rsidDel="00000000" w:rsidR="00000000" w:rsidRPr="00000000">
        <w:rPr>
          <w:rFonts w:ascii="Century Gothic" w:cs="Century Gothic" w:eastAsia="Century Gothic" w:hAnsi="Century Gothic"/>
          <w:rtl w:val="0"/>
        </w:rPr>
        <w:t xml:space="preserve"> los procedimientos que se realizan en farmacovigilancia para asegurar que los datos contenidos en una notificación coinciden con las observaciones originales. Estos procedimientos se pueden aplicar a los registros médicos, a los datos en los formularios de notificación individual (en copia de papel o en formato electrónico), a las salidas impresas de ordenador/computadora y a las tablas y análisis estadísticos</w:t>
      </w:r>
    </w:p>
    <w:p w:rsidR="00000000" w:rsidDel="00000000" w:rsidP="00000000" w:rsidRDefault="00000000" w:rsidRPr="00000000" w14:paraId="00000049">
      <w:pPr>
        <w:numPr>
          <w:ilvl w:val="0"/>
          <w:numId w:val="4"/>
        </w:numPr>
        <w:spacing w:after="200" w:line="240" w:lineRule="auto"/>
        <w:ind w:left="144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RESPONSABLES POR ACTIVIDAD</w:t>
      </w:r>
    </w:p>
    <w:tbl>
      <w:tblPr>
        <w:tblStyle w:val="Table2"/>
        <w:tblW w:w="1023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0"/>
        <w:gridCol w:w="3180"/>
        <w:tblGridChange w:id="0">
          <w:tblGrid>
            <w:gridCol w:w="7050"/>
            <w:gridCol w:w="318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ACTIVIDAD</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Socialización del Programa Farmacovigilancia.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Diligenciamiento del Formato en caso de un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Reportes a Entes de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Análisis de caso y plan de mejoramiento.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Seguimiento a las acciones establecidas en el plan de mejora.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p w:rsidR="00000000" w:rsidDel="00000000" w:rsidP="00000000" w:rsidRDefault="00000000" w:rsidRPr="00000000" w14:paraId="00000056">
            <w:pPr>
              <w:widowControl w:val="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57">
      <w:pPr>
        <w:numPr>
          <w:ilvl w:val="0"/>
          <w:numId w:val="4"/>
        </w:numPr>
        <w:spacing w:after="200" w:line="240" w:lineRule="auto"/>
        <w:ind w:left="1440" w:hanging="36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NOTIFICACIÓN DE REACCIONES ADVERSAS</w:t>
      </w:r>
    </w:p>
    <w:p w:rsidR="00000000" w:rsidDel="00000000" w:rsidP="00000000" w:rsidRDefault="00000000" w:rsidRPr="00000000" w14:paraId="00000058">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notificación espontánea es actualmente la principal fuente de información en Farmacovigilancia.</w:t>
      </w:r>
    </w:p>
    <w:p w:rsidR="00000000" w:rsidDel="00000000" w:rsidP="00000000" w:rsidRDefault="00000000" w:rsidRPr="00000000" w14:paraId="00000059">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7.1 Qué notificar.</w:t>
      </w:r>
      <w:r w:rsidDel="00000000" w:rsidR="00000000" w:rsidRPr="00000000">
        <w:rPr>
          <w:rFonts w:ascii="Century Gothic" w:cs="Century Gothic" w:eastAsia="Century Gothic" w:hAnsi="Century Gothic"/>
          <w:rtl w:val="0"/>
        </w:rPr>
        <w:t xml:space="preserve"> Se debe reportar toda evidencia o sospecha de reacción adversa con medicamentos, así como aquellas reacciones adversas graves o con aumento de frecuencia de las ya conocidas con s antiguos. </w:t>
      </w:r>
    </w:p>
    <w:p w:rsidR="00000000" w:rsidDel="00000000" w:rsidP="00000000" w:rsidRDefault="00000000" w:rsidRPr="00000000" w14:paraId="0000005A">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farmacovigilancia y el control toxicológico son actividades relacionadas muy estrechamente, ya que los problemas causados por una sobredosis accidental o intencionada pueden proyectar dudas sobre la seguridad de un medicamento.</w:t>
      </w:r>
    </w:p>
    <w:p w:rsidR="00000000" w:rsidDel="00000000" w:rsidP="00000000" w:rsidRDefault="00000000" w:rsidRPr="00000000" w14:paraId="0000005B">
      <w:pPr>
        <w:spacing w:after="200" w:line="240" w:lineRule="auto"/>
        <w:jc w:val="both"/>
        <w:rPr>
          <w:rFonts w:ascii="Century Gothic" w:cs="Century Gothic" w:eastAsia="Century Gothic" w:hAnsi="Century Gothic"/>
          <w:highlight w:val="white"/>
        </w:rPr>
      </w:pPr>
      <w:r w:rsidDel="00000000" w:rsidR="00000000" w:rsidRPr="00000000">
        <w:rPr>
          <w:rFonts w:ascii="Century Gothic" w:cs="Century Gothic" w:eastAsia="Century Gothic" w:hAnsi="Century Gothic"/>
          <w:b w:val="1"/>
          <w:bCs w:val="1"/>
          <w:rtl w:val="0"/>
        </w:rPr>
        <w:t xml:space="preserve">7.2 Quién notifica.</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highlight w:val="white"/>
          <w:rtl w:val="0"/>
        </w:rPr>
        <w:t xml:space="preserve">Los funcionarios tanto asistenciales como administrativos de la IPS que evidencien o sospechen la ocurrencia de una reacción adversa deben informar personalmente, por vía telefónica o por medio de chat o correo institucional.</w:t>
      </w:r>
    </w:p>
    <w:p w:rsidR="00000000" w:rsidDel="00000000" w:rsidP="00000000" w:rsidRDefault="00000000" w:rsidRPr="00000000" w14:paraId="0000005C">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7.3 Reporte.</w:t>
      </w:r>
      <w:r w:rsidDel="00000000" w:rsidR="00000000" w:rsidRPr="00000000">
        <w:rPr>
          <w:rFonts w:ascii="Century Gothic" w:cs="Century Gothic" w:eastAsia="Century Gothic" w:hAnsi="Century Gothic"/>
          <w:rtl w:val="0"/>
        </w:rPr>
        <w:t xml:space="preserve"> El reporte en linea </w:t>
      </w:r>
      <w:hyperlink r:id="rId7">
        <w:r w:rsidDel="00000000" w:rsidR="00000000" w:rsidRPr="00000000">
          <w:rPr>
            <w:rFonts w:ascii="Century Gothic" w:cs="Century Gothic" w:eastAsia="Century Gothic" w:hAnsi="Century Gothic"/>
            <w:color w:val="1155cc"/>
            <w:u w:val="single"/>
            <w:rtl w:val="0"/>
          </w:rPr>
          <w:t xml:space="preserve">www.invima.gov.co</w:t>
        </w:r>
      </w:hyperlink>
      <w:r w:rsidDel="00000000" w:rsidR="00000000" w:rsidRPr="00000000">
        <w:rPr>
          <w:rFonts w:ascii="Century Gothic" w:cs="Century Gothic" w:eastAsia="Century Gothic" w:hAnsi="Century Gothic"/>
          <w:rtl w:val="0"/>
        </w:rPr>
        <w:t xml:space="preserve"> - farmacovigilancia - Reporte en línea, es equivalente al reporte tradicional en papel. Permite a todos los usuarios dar información asociada a la seguridad de los medicamentos de forma inmediata y directa a la base de datos de reporte del Invima. La plataforma está diseñada para recibir el reporte y seguimiento de todos los eventos posiblemente asociados a medicamentos, unificar la información y tener acceso inmediato a ella.</w:t>
      </w:r>
    </w:p>
    <w:p w:rsidR="00000000" w:rsidDel="00000000" w:rsidP="00000000" w:rsidRDefault="00000000" w:rsidRPr="00000000" w14:paraId="0000005D">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 final del proceso de reporte, el sistema le mostrará la codificación con la que quedó guardado su evento además de mostrarle la seriedad y causalidad del evento, analizado por algoritmo OMS, y podrá descargar la información de todos los eventos por usted reportados.</w:t>
      </w:r>
    </w:p>
    <w:p w:rsidR="00000000" w:rsidDel="00000000" w:rsidP="00000000" w:rsidRDefault="00000000" w:rsidRPr="00000000" w14:paraId="0000005E">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poder cargar un seguimiento es necesario conocer el código de registro del evento inicial y debe ser realizado por el mismo usuario que lo ingresó. Esto para salvaguardar la seguridad de la información.</w:t>
      </w:r>
    </w:p>
    <w:p w:rsidR="00000000" w:rsidDel="00000000" w:rsidP="00000000" w:rsidRDefault="00000000" w:rsidRPr="00000000" w14:paraId="0000005F">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el caso de no presentar eventos que reportar o reporte en cero, también tiene a su disponibilidad la plataforma de Reporte en Línea.</w:t>
      </w:r>
    </w:p>
    <w:p w:rsidR="00000000" w:rsidDel="00000000" w:rsidP="00000000" w:rsidRDefault="00000000" w:rsidRPr="00000000" w14:paraId="00000060">
      <w:pPr>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7.4 A quién notificar y en qué tiempo.</w:t>
      </w:r>
      <w:r w:rsidDel="00000000" w:rsidR="00000000" w:rsidRPr="00000000">
        <w:rPr>
          <w:rFonts w:ascii="Century Gothic" w:cs="Century Gothic" w:eastAsia="Century Gothic" w:hAnsi="Century Gothic"/>
          <w:rtl w:val="0"/>
        </w:rPr>
        <w:t xml:space="preserve"> Aquellas reacciones clasificadas como </w:t>
      </w:r>
      <w:r w:rsidDel="00000000" w:rsidR="00000000" w:rsidRPr="00000000">
        <w:rPr>
          <w:rFonts w:ascii="Century Gothic" w:cs="Century Gothic" w:eastAsia="Century Gothic" w:hAnsi="Century Gothic"/>
          <w:b w:val="1"/>
          <w:bCs w:val="1"/>
          <w:rtl w:val="0"/>
        </w:rPr>
        <w:t xml:space="preserve">graves o serias </w:t>
      </w:r>
      <w:r w:rsidDel="00000000" w:rsidR="00000000" w:rsidRPr="00000000">
        <w:rPr>
          <w:rFonts w:ascii="Century Gothic" w:cs="Century Gothic" w:eastAsia="Century Gothic" w:hAnsi="Century Gothic"/>
          <w:rtl w:val="0"/>
        </w:rPr>
        <w:t xml:space="preserve">se reportan dentro de las 72 horas de su ocurrencia, las demás reacciones serán reportadas dentro de los 5 primeros días hábiles de cada mes, en la página del invima, </w:t>
      </w:r>
      <w:hyperlink r:id="rId8">
        <w:r w:rsidDel="00000000" w:rsidR="00000000" w:rsidRPr="00000000">
          <w:rPr>
            <w:rFonts w:ascii="Century Gothic" w:cs="Century Gothic" w:eastAsia="Century Gothic" w:hAnsi="Century Gothic"/>
            <w:color w:val="1155cc"/>
            <w:u w:val="single"/>
            <w:rtl w:val="0"/>
          </w:rPr>
          <w:t xml:space="preserve">www.invima.gov.co</w:t>
        </w:r>
      </w:hyperlink>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61">
      <w:pPr>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7.5 ¿Cómo reportar?</w:t>
      </w:r>
    </w:p>
    <w:p w:rsidR="00000000" w:rsidDel="00000000" w:rsidP="00000000" w:rsidRDefault="00000000" w:rsidRPr="00000000" w14:paraId="00000062">
      <w:pPr>
        <w:numPr>
          <w:ilvl w:val="0"/>
          <w:numId w:val="2"/>
        </w:numPr>
        <w:spacing w:after="200" w:line="240" w:lineRule="auto"/>
        <w:ind w:left="720" w:hanging="360"/>
        <w:jc w:val="both"/>
        <w:rPr/>
      </w:pPr>
      <w:r w:rsidDel="00000000" w:rsidR="00000000" w:rsidRPr="00000000">
        <w:rPr>
          <w:rFonts w:ascii="Century Gothic" w:cs="Century Gothic" w:eastAsia="Century Gothic" w:hAnsi="Century Gothic"/>
          <w:rtl w:val="0"/>
        </w:rPr>
        <w:t xml:space="preserve">Diligencie el formato de la información solicitada en cada ítem (es importante que diligencie TODA la información solicitada en el formato indicado en el punto </w:t>
      </w:r>
      <w:r w:rsidDel="00000000" w:rsidR="00000000" w:rsidRPr="00000000">
        <w:rPr>
          <w:rFonts w:ascii="Century Gothic" w:cs="Century Gothic" w:eastAsia="Century Gothic" w:hAnsi="Century Gothic"/>
          <w:b w:val="1"/>
          <w:bCs w:val="1"/>
          <w:rtl w:val="0"/>
        </w:rPr>
        <w:t xml:space="preserve">7.6</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63">
      <w:pPr>
        <w:numPr>
          <w:ilvl w:val="0"/>
          <w:numId w:val="2"/>
        </w:numPr>
        <w:spacing w:after="20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Utilice páginas adicionales en blanco si es necesario ampliar la información.</w:t>
      </w:r>
    </w:p>
    <w:p w:rsidR="00000000" w:rsidDel="00000000" w:rsidP="00000000" w:rsidRDefault="00000000" w:rsidRPr="00000000" w14:paraId="00000064">
      <w:pPr>
        <w:numPr>
          <w:ilvl w:val="0"/>
          <w:numId w:val="2"/>
        </w:numPr>
        <w:spacing w:after="20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Utilice un formato para cada paciente.</w:t>
      </w:r>
    </w:p>
    <w:p w:rsidR="00000000" w:rsidDel="00000000" w:rsidP="00000000" w:rsidRDefault="00000000" w:rsidRPr="00000000" w14:paraId="00000065">
      <w:pPr>
        <w:numPr>
          <w:ilvl w:val="0"/>
          <w:numId w:val="2"/>
        </w:numPr>
        <w:spacing w:after="20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Reporte aun cuando usted no esté seguro de que el producto causó el evento.</w:t>
      </w:r>
    </w:p>
    <w:p w:rsidR="00000000" w:rsidDel="00000000" w:rsidP="00000000" w:rsidRDefault="00000000" w:rsidRPr="00000000" w14:paraId="00000066">
      <w:pPr>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7.6 Formatos para reportar.</w:t>
      </w:r>
    </w:p>
    <w:p w:rsidR="00000000" w:rsidDel="00000000" w:rsidP="00000000" w:rsidRDefault="00000000" w:rsidRPr="00000000" w14:paraId="00000067">
      <w:pPr>
        <w:numPr>
          <w:ilvl w:val="0"/>
          <w:numId w:val="3"/>
        </w:numPr>
        <w:spacing w:after="200" w:line="240" w:lineRule="auto"/>
        <w:ind w:left="720" w:hanging="360"/>
        <w:jc w:val="both"/>
        <w:rPr>
          <w:rFonts w:ascii="Century Gothic" w:cs="Century Gothic" w:eastAsia="Century Gothic" w:hAnsi="Century Gothic"/>
        </w:rPr>
      </w:pPr>
      <w:hyperlink r:id="rId9">
        <w:r w:rsidDel="00000000" w:rsidR="00000000" w:rsidRPr="00000000">
          <w:rPr>
            <w:rFonts w:ascii="Century Gothic" w:cs="Century Gothic" w:eastAsia="Century Gothic" w:hAnsi="Century Gothic"/>
            <w:color w:val="0000ee"/>
            <w:u w:val="single"/>
            <w:rtl w:val="0"/>
          </w:rPr>
          <w:t xml:space="preserve">FORMATO REPORTE DE SOSPECHA DE EVENTOS ADVERSOS A MEDICAMENTOS - FOREAM.pdf</w:t>
        </w:r>
      </w:hyperlink>
      <w:r w:rsidDel="00000000" w:rsidR="00000000" w:rsidRPr="00000000">
        <w:rPr>
          <w:rtl w:val="0"/>
        </w:rPr>
      </w:r>
    </w:p>
    <w:p w:rsidR="00000000" w:rsidDel="00000000" w:rsidP="00000000" w:rsidRDefault="00000000" w:rsidRPr="00000000" w14:paraId="00000068">
      <w:pPr>
        <w:numPr>
          <w:ilvl w:val="0"/>
          <w:numId w:val="3"/>
        </w:numPr>
        <w:spacing w:after="200" w:line="240" w:lineRule="auto"/>
        <w:ind w:left="720" w:hanging="360"/>
        <w:jc w:val="both"/>
        <w:rPr>
          <w:rFonts w:ascii="Century Gothic" w:cs="Century Gothic" w:eastAsia="Century Gothic" w:hAnsi="Century Gothic"/>
        </w:rPr>
      </w:pPr>
      <w:hyperlink r:id="rId10">
        <w:r w:rsidDel="00000000" w:rsidR="00000000" w:rsidRPr="00000000">
          <w:rPr>
            <w:rFonts w:ascii="Century Gothic" w:cs="Century Gothic" w:eastAsia="Century Gothic" w:hAnsi="Century Gothic"/>
            <w:color w:val="0000ee"/>
            <w:u w:val="single"/>
            <w:rtl w:val="0"/>
          </w:rPr>
          <w:t xml:space="preserve">FORMATO FOREIA001 Reporte VOLUNTARIO de Eventos e Incidentes Adversos.pdf</w:t>
        </w:r>
      </w:hyperlink>
      <w:r w:rsidDel="00000000" w:rsidR="00000000" w:rsidRPr="00000000">
        <w:rPr>
          <w:rtl w:val="0"/>
        </w:rPr>
      </w:r>
    </w:p>
    <w:p w:rsidR="00000000" w:rsidDel="00000000" w:rsidP="00000000" w:rsidRDefault="00000000" w:rsidRPr="00000000" w14:paraId="00000069">
      <w:pPr>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7.7 Confidencialidad de la información reportada</w:t>
      </w:r>
    </w:p>
    <w:p w:rsidR="00000000" w:rsidDel="00000000" w:rsidP="00000000" w:rsidRDefault="00000000" w:rsidRPr="00000000" w14:paraId="0000006A">
      <w:pPr>
        <w:spacing w:after="200"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información que contenga los diferentes reportes del Programa Institucional de Farmacovigilancia y Tecnovigilancia será de total confidencialidad y únicamente será usada con fines de vigilancia sanitaria. La información será de carácter reservado.</w:t>
      </w:r>
    </w:p>
    <w:p w:rsidR="00000000" w:rsidDel="00000000" w:rsidP="00000000" w:rsidRDefault="00000000" w:rsidRPr="00000000" w14:paraId="0000006B">
      <w:pPr>
        <w:spacing w:after="200" w:line="240" w:lineRule="auto"/>
        <w:ind w:right="7"/>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7.8</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DESCRIPCIÓN DEL PROCEDIMIENTO EN CASOS DE EVENTO ADVERSO</w:t>
      </w:r>
    </w:p>
    <w:tbl>
      <w:tblPr>
        <w:tblStyle w:val="Table3"/>
        <w:tblW w:w="97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
        <w:gridCol w:w="3285"/>
        <w:tblGridChange w:id="0">
          <w:tblGrid>
            <w:gridCol w:w="6510"/>
            <w:gridCol w:w="32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ACTIVIDAD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Identificar y notificar las reacciones adversas ocasionadas por medicamentos (lesiones temporales o permanentes, muertes, defectos de calidad y error de uso).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 asistencial  y/o familiares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Diligenciar el formato de reporte de sospecha de reacción adversa (FOREAM)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 asistencial que tuvo el evento, Profesional de calidad.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Consolidar la información de los reportes en la base de datos respectiva.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Informar a los fabricantes y/o distribuidores sobre los reportes serios o graves generados por sus productos respectivos, solicitando su análisis y recomendaciones o acciones a tomar por parte de la profesional para su manejo.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Análisis de cada reporte.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 y Gerencia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Establecer actividades de mejora.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 y Gerencia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Seguimiento a planes de mejora.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Retroalimentar al personal de la IPS sobre las reacciones adversas reportadas durante el periodo y los mecanismos definidos para su control, así como la respuesta emitida por los entes reguladores y por proveedores y fabricantes.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Verificar alertas de seguridad emitidas por el INVIMA sobre el uso de medicamentos e informar al personal de la IPS por medio del correo interno, volantes o folletos alusivos.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 y Gerencia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numPr>
                <w:ilvl w:val="0"/>
                <w:numId w:val="9"/>
              </w:numPr>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Reporte al ente regulador-Secretaria de Salud municipal e INVIMA. Las RAMs graves o serias dentro de las 72 horas después de su ocurrencia.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Profesional de calidad y Gerencia</w:t>
            </w:r>
          </w:p>
        </w:tc>
      </w:tr>
    </w:tbl>
    <w:p w:rsidR="00000000" w:rsidDel="00000000" w:rsidP="00000000" w:rsidRDefault="00000000" w:rsidRPr="00000000" w14:paraId="00000082">
      <w:pPr>
        <w:spacing w:line="240" w:lineRule="auto"/>
        <w:ind w:right="7"/>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83">
      <w:pPr>
        <w:spacing w:after="200" w:line="240" w:lineRule="auto"/>
        <w:ind w:right="7"/>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 MEDICAMENTOS, INSUMOS Y DISPOSITIVOS MÉDICOS DE ENDOCRINOLOGY &amp; HEALTH</w:t>
      </w:r>
    </w:p>
    <w:p w:rsidR="00000000" w:rsidDel="00000000" w:rsidP="00000000" w:rsidRDefault="00000000" w:rsidRPr="00000000" w14:paraId="00000084">
      <w:pPr>
        <w:numPr>
          <w:ilvl w:val="0"/>
          <w:numId w:val="5"/>
        </w:numPr>
        <w:spacing w:after="200" w:line="240" w:lineRule="auto"/>
        <w:ind w:left="720" w:right="7" w:hanging="360"/>
        <w:rPr>
          <w:rFonts w:ascii="Century Gothic" w:cs="Century Gothic" w:eastAsia="Century Gothic" w:hAnsi="Century Gothic"/>
        </w:rPr>
      </w:pPr>
      <w:hyperlink r:id="rId11">
        <w:r w:rsidDel="00000000" w:rsidR="00000000" w:rsidRPr="00000000">
          <w:rPr>
            <w:rFonts w:ascii="Century Gothic" w:cs="Century Gothic" w:eastAsia="Century Gothic" w:hAnsi="Century Gothic"/>
            <w:color w:val="0000ee"/>
            <w:u w:val="single"/>
            <w:rtl w:val="0"/>
          </w:rPr>
          <w:t xml:space="preserve">DM-FOR-001 FORMATO PARA INVENTARIOS 2025.xlsx</w:t>
        </w:r>
      </w:hyperlink>
      <w:r w:rsidDel="00000000" w:rsidR="00000000" w:rsidRPr="00000000">
        <w:rPr>
          <w:rtl w:val="0"/>
        </w:rPr>
      </w:r>
    </w:p>
    <w:p w:rsidR="00000000" w:rsidDel="00000000" w:rsidP="00000000" w:rsidRDefault="00000000" w:rsidRPr="00000000" w14:paraId="00000085">
      <w:pPr>
        <w:numPr>
          <w:ilvl w:val="0"/>
          <w:numId w:val="5"/>
        </w:numPr>
        <w:spacing w:after="200" w:line="240" w:lineRule="auto"/>
        <w:ind w:left="720" w:right="7" w:hanging="360"/>
        <w:rPr>
          <w:rFonts w:ascii="Century Gothic" w:cs="Century Gothic" w:eastAsia="Century Gothic" w:hAnsi="Century Gothic"/>
        </w:rPr>
      </w:pPr>
      <w:hyperlink r:id="rId12">
        <w:r w:rsidDel="00000000" w:rsidR="00000000" w:rsidRPr="00000000">
          <w:rPr>
            <w:rFonts w:ascii="Century Gothic" w:cs="Century Gothic" w:eastAsia="Century Gothic" w:hAnsi="Century Gothic"/>
            <w:color w:val="0000ee"/>
            <w:u w:val="single"/>
            <w:rtl w:val="0"/>
          </w:rPr>
          <w:t xml:space="preserve">INVENTARIO DE EQUIPOS.xlsx</w:t>
        </w:r>
      </w:hyperlink>
      <w:r w:rsidDel="00000000" w:rsidR="00000000" w:rsidRPr="00000000">
        <w:rPr>
          <w:rtl w:val="0"/>
        </w:rPr>
      </w:r>
    </w:p>
    <w:p w:rsidR="00000000" w:rsidDel="00000000" w:rsidP="00000000" w:rsidRDefault="00000000" w:rsidRPr="00000000" w14:paraId="00000086">
      <w:pPr>
        <w:spacing w:after="200" w:line="240" w:lineRule="auto"/>
        <w:ind w:right="7"/>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9. ¿QUIÉN ANALIZA EL REPORTE DE INCIDENTE O EVENTO ADVERSO?</w:t>
      </w:r>
      <w:r w:rsidDel="00000000" w:rsidR="00000000" w:rsidRPr="00000000">
        <w:rPr>
          <w:rtl w:val="0"/>
        </w:rPr>
      </w:r>
    </w:p>
    <w:p w:rsidR="00000000" w:rsidDel="00000000" w:rsidP="00000000" w:rsidRDefault="00000000" w:rsidRPr="00000000" w14:paraId="00000087">
      <w:pPr>
        <w:spacing w:after="200" w:line="240" w:lineRule="auto"/>
        <w:ind w:left="10" w:right="7"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se ha identificado y notificado por medio escrito, este es analizado en el comité de seguridad del paciente establecido en la IPS, el análisis se realizará con la profesional de calidad y el representante del programa de ENDOCRINOLOGY &amp; HEALTH</w:t>
      </w:r>
    </w:p>
    <w:p w:rsidR="00000000" w:rsidDel="00000000" w:rsidP="00000000" w:rsidRDefault="00000000" w:rsidRPr="00000000" w14:paraId="0000008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ENDOCRINOLOGY &amp; HEALTH la metodología a implementar para el análisis de causas de este tipo de sucesos es el PROTOCOLO DE LONDRES, en este inicialmente se deben determinar las acciones inseguras y después de analizar cada una de ellas definir los factores contribuyentes asociados y así concluir con un plan de acción adecuado a la situación presentada, con el fin de prevenir su incidencia. </w:t>
      </w:r>
    </w:p>
    <w:p w:rsidR="00000000" w:rsidDel="00000000" w:rsidP="00000000" w:rsidRDefault="00000000" w:rsidRPr="00000000" w14:paraId="00000089">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A">
      <w:pP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Pr>
        <w:drawing>
          <wp:inline distB="114300" distT="114300" distL="114300" distR="114300">
            <wp:extent cx="3788308" cy="1725565"/>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88308" cy="172556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C">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Fuente: (Instituto Nacional de Vigilancia de Medicamentos y Alimentos).</w:t>
      </w:r>
    </w:p>
    <w:p w:rsidR="00000000" w:rsidDel="00000000" w:rsidP="00000000" w:rsidRDefault="00000000" w:rsidRPr="00000000" w14:paraId="0000008D">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8E">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PLAN DE MEJORA Y SEGUIMIENTO</w:t>
      </w:r>
    </w:p>
    <w:p w:rsidR="00000000" w:rsidDel="00000000" w:rsidP="00000000" w:rsidRDefault="00000000" w:rsidRPr="00000000" w14:paraId="0000008F">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identificada la causalidad del incidente/evento adverso, se generará el plan de acción a implementar, dando cubrimiento a la totalidad de causas relacionadas, con el fin de mejorar las debilidades halladas.</w:t>
      </w:r>
    </w:p>
    <w:p w:rsidR="00000000" w:rsidDel="00000000" w:rsidP="00000000" w:rsidRDefault="00000000" w:rsidRPr="00000000" w14:paraId="00000090">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plan de acción debe incluir:</w:t>
      </w:r>
    </w:p>
    <w:p w:rsidR="00000000" w:rsidDel="00000000" w:rsidP="00000000" w:rsidRDefault="00000000" w:rsidRPr="00000000" w14:paraId="00000091">
      <w:pPr>
        <w:numPr>
          <w:ilvl w:val="0"/>
          <w:numId w:val="1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Priorización de las causas de acuerdo con su impacto sobre la seguridad futura de los usuarios.</w:t>
      </w:r>
    </w:p>
    <w:p w:rsidR="00000000" w:rsidDel="00000000" w:rsidP="00000000" w:rsidRDefault="00000000" w:rsidRPr="00000000" w14:paraId="00000092">
      <w:pPr>
        <w:numPr>
          <w:ilvl w:val="0"/>
          <w:numId w:val="1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Lista de acciones para enfrentar cada causa identificada.</w:t>
      </w:r>
    </w:p>
    <w:p w:rsidR="00000000" w:rsidDel="00000000" w:rsidP="00000000" w:rsidRDefault="00000000" w:rsidRPr="00000000" w14:paraId="00000093">
      <w:pPr>
        <w:numPr>
          <w:ilvl w:val="0"/>
          <w:numId w:val="1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Asignar un responsable de implementar las acciones.</w:t>
      </w:r>
    </w:p>
    <w:p w:rsidR="00000000" w:rsidDel="00000000" w:rsidP="00000000" w:rsidRDefault="00000000" w:rsidRPr="00000000" w14:paraId="00000094">
      <w:pPr>
        <w:numPr>
          <w:ilvl w:val="0"/>
          <w:numId w:val="1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Definir el tiempo de implementación de las acciones.</w:t>
      </w:r>
    </w:p>
    <w:p w:rsidR="00000000" w:rsidDel="00000000" w:rsidP="00000000" w:rsidRDefault="00000000" w:rsidRPr="00000000" w14:paraId="00000095">
      <w:pPr>
        <w:numPr>
          <w:ilvl w:val="0"/>
          <w:numId w:val="1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Identificar y asignar los recursos necesarios.</w:t>
      </w:r>
    </w:p>
    <w:p w:rsidR="00000000" w:rsidDel="00000000" w:rsidP="00000000" w:rsidRDefault="00000000" w:rsidRPr="00000000" w14:paraId="00000096">
      <w:pPr>
        <w:numPr>
          <w:ilvl w:val="0"/>
          <w:numId w:val="1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Cierre formal cuando la implementación se haya efectuado.</w:t>
      </w:r>
    </w:p>
    <w:p w:rsidR="00000000" w:rsidDel="00000000" w:rsidP="00000000" w:rsidRDefault="00000000" w:rsidRPr="00000000" w14:paraId="00000097">
      <w:pPr>
        <w:numPr>
          <w:ilvl w:val="0"/>
          <w:numId w:val="1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Fijar fecha de seguimiento para evaluar la efectividad del plan de acción.</w:t>
      </w:r>
    </w:p>
    <w:p w:rsidR="00000000" w:rsidDel="00000000" w:rsidP="00000000" w:rsidRDefault="00000000" w:rsidRPr="00000000" w14:paraId="00000098">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realizar dicho plan, se diligenciará el formato de PLAN DE MEJORA Y SEGUIMIENTO. </w:t>
      </w:r>
    </w:p>
    <w:p w:rsidR="00000000" w:rsidDel="00000000" w:rsidP="00000000" w:rsidRDefault="00000000" w:rsidRPr="00000000" w14:paraId="00000099">
      <w:pPr>
        <w:spacing w:after="200" w:line="240" w:lineRule="auto"/>
        <w:ind w:left="10" w:right="7"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A">
      <w:pPr>
        <w:spacing w:after="200" w:line="240" w:lineRule="auto"/>
        <w:ind w:right="7"/>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 ACCIONES DE INTERVENCIÓN DERIVADAS DE LA EVALUACIÓN DE CAUSALIDAD</w:t>
      </w:r>
    </w:p>
    <w:p w:rsidR="00000000" w:rsidDel="00000000" w:rsidP="00000000" w:rsidRDefault="00000000" w:rsidRPr="00000000" w14:paraId="0000009B">
      <w:pPr>
        <w:spacing w:after="200" w:line="240" w:lineRule="auto"/>
        <w:ind w:right="7"/>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Incremento de la vigilancia de los eventos sobre todo en casos en que el  o Dispositivo Médico implicado sea de distribución y uso generalizados en la IPS.</w:t>
      </w:r>
    </w:p>
    <w:p w:rsidR="00000000" w:rsidDel="00000000" w:rsidP="00000000" w:rsidRDefault="00000000" w:rsidRPr="00000000" w14:paraId="0000009C">
      <w:pPr>
        <w:spacing w:after="200" w:line="240" w:lineRule="auto"/>
        <w:ind w:right="7"/>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D">
      <w:pPr>
        <w:spacing w:after="200" w:line="240" w:lineRule="auto"/>
        <w:ind w:right="7"/>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12. BIBLIOGRAFÍA</w:t>
      </w:r>
      <w:r w:rsidDel="00000000" w:rsidR="00000000" w:rsidRPr="00000000">
        <w:rPr>
          <w:rtl w:val="0"/>
        </w:rPr>
      </w:r>
    </w:p>
    <w:p w:rsidR="00000000" w:rsidDel="00000000" w:rsidP="00000000" w:rsidRDefault="00000000" w:rsidRPr="00000000" w14:paraId="0000009E">
      <w:pPr>
        <w:numPr>
          <w:ilvl w:val="0"/>
          <w:numId w:val="4"/>
        </w:numPr>
        <w:spacing w:after="200" w:line="240" w:lineRule="auto"/>
        <w:ind w:left="1440" w:right="7"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HOZ, R. A. (12 de NOVIEMBRE de 2017). FARMACOVIGILANCIA. FARMACOVIGILANCIA. OCAÑA, NORTE DE SANTANDER, CATATUMBO: file:///C:/Users/usuario/Downloads/Proceso Especial Fármaco vigilancia(2).pdf. </w:t>
      </w:r>
    </w:p>
    <w:p w:rsidR="00000000" w:rsidDel="00000000" w:rsidP="00000000" w:rsidRDefault="00000000" w:rsidRPr="00000000" w14:paraId="0000009F">
      <w:pPr>
        <w:numPr>
          <w:ilvl w:val="0"/>
          <w:numId w:val="4"/>
        </w:numPr>
        <w:spacing w:after="200" w:line="240" w:lineRule="auto"/>
        <w:ind w:left="1440" w:right="7"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INVIMA. (22 de Marzo de 2019). https://www.invima.gov.co. Obtenido de https://www.invima.gov.co: https://www.invima.gov.co/consolidadogesti%C3%B3n-de-informaci%C3%B3n-de-seguridad-des.html </w:t>
      </w:r>
    </w:p>
    <w:p w:rsidR="00000000" w:rsidDel="00000000" w:rsidP="00000000" w:rsidRDefault="00000000" w:rsidRPr="00000000" w14:paraId="000000A0">
      <w:pPr>
        <w:numPr>
          <w:ilvl w:val="0"/>
          <w:numId w:val="4"/>
        </w:numPr>
        <w:spacing w:after="200" w:line="240" w:lineRule="auto"/>
        <w:ind w:left="1440" w:right="7"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LinkedIn Corporation © 2018. (23 de Abril de 2018). in.slideshare. Obtenido de in.slideshare: https://es.slideshare.net/ejemplo12/la-funcin-denutricin-el-sistema-digestivo-22695018 </w:t>
      </w:r>
    </w:p>
    <w:p w:rsidR="00000000" w:rsidDel="00000000" w:rsidP="00000000" w:rsidRDefault="00000000" w:rsidRPr="00000000" w14:paraId="000000A1">
      <w:pPr>
        <w:numPr>
          <w:ilvl w:val="0"/>
          <w:numId w:val="4"/>
        </w:numPr>
        <w:spacing w:after="200" w:line="240" w:lineRule="auto"/>
        <w:ind w:left="1440" w:right="7"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Ministerio de protección social. (22 de mayo de 2018). Invima . Obtenido de Invima: https://www.invima.gov.co/images/stories/ABCpublicidad/Cartilla_Fito terapeuticos.pdf </w:t>
      </w:r>
    </w:p>
    <w:p w:rsidR="00000000" w:rsidDel="00000000" w:rsidP="00000000" w:rsidRDefault="00000000" w:rsidRPr="00000000" w14:paraId="000000A2">
      <w:pPr>
        <w:numPr>
          <w:ilvl w:val="0"/>
          <w:numId w:val="4"/>
        </w:numPr>
        <w:spacing w:after="200" w:line="240" w:lineRule="auto"/>
        <w:ind w:left="1440" w:right="7"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MINISTERIO DE LA PROTECCIÓN SOCIAL. (s.f.). Decreto 2200 del 2005. </w:t>
      </w:r>
    </w:p>
    <w:p w:rsidR="00000000" w:rsidDel="00000000" w:rsidP="00000000" w:rsidRDefault="00000000" w:rsidRPr="00000000" w14:paraId="000000A3">
      <w:pPr>
        <w:numPr>
          <w:ilvl w:val="0"/>
          <w:numId w:val="4"/>
        </w:numPr>
        <w:spacing w:after="200" w:line="240" w:lineRule="auto"/>
        <w:ind w:left="1440" w:right="7"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MINISTERIO DE LA PROTECCIÓN SOCIAL. (s.f.). Resolución 1403 del 2007.  </w:t>
      </w:r>
    </w:p>
    <w:p w:rsidR="00000000" w:rsidDel="00000000" w:rsidP="00000000" w:rsidRDefault="00000000" w:rsidRPr="00000000" w14:paraId="000000A4">
      <w:pPr>
        <w:numPr>
          <w:ilvl w:val="0"/>
          <w:numId w:val="4"/>
        </w:numPr>
        <w:spacing w:after="200" w:line="240" w:lineRule="auto"/>
        <w:ind w:left="1440" w:right="7"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Ruiz, A. O. (15 de 02 de 2019). Roldel INVIMAy las Funciones Esenciales de Salud Pública. Obtenido de Roldel INVIMAy las Funciones Esenciales de Salud Pública: http://saludpublicavirtual.udea.edu.co/eva/pluginfile.php/3048/mod_r esource/content/2/Lectura%204%20ROL%20del%20Invima%20y%20 las%20Funciones%20Esenciales%20de%20Salud%20P%C3%BAblica_ controldecambios.pdf</w:t>
      </w:r>
    </w:p>
    <w:p w:rsidR="00000000" w:rsidDel="00000000" w:rsidP="00000000" w:rsidRDefault="00000000" w:rsidRPr="00000000" w14:paraId="000000A5">
      <w:pPr>
        <w:spacing w:after="200" w:line="240" w:lineRule="auto"/>
        <w:ind w:left="1440" w:right="7"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6">
      <w:pPr>
        <w:rPr>
          <w:rFonts w:ascii="Century Gothic" w:cs="Century Gothic" w:eastAsia="Century Gothic" w:hAnsi="Century Gothic"/>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rFonts w:ascii="Calibri" w:cs="Calibri" w:eastAsia="Calibri" w:hAnsi="Calibri"/>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tabs>
        <w:tab w:val="center" w:leader="none" w:pos="4419"/>
        <w:tab w:val="right" w:leader="none" w:pos="8838"/>
      </w:tabs>
      <w:spacing w:line="24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A8">
    <w:pPr>
      <w:widowControl w:val="0"/>
      <w:spacing w:line="276" w:lineRule="auto"/>
      <w:rPr>
        <w:rFonts w:ascii="Calibri" w:cs="Calibri" w:eastAsia="Calibri" w:hAnsi="Calibri"/>
      </w:rPr>
    </w:pPr>
    <w:r w:rsidDel="00000000" w:rsidR="00000000" w:rsidRPr="00000000">
      <w:rPr>
        <w:rtl w:val="0"/>
      </w:rPr>
    </w:r>
  </w:p>
  <w:tbl>
    <w:tblPr>
      <w:tblStyle w:val="Table4"/>
      <w:tblW w:w="951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55"/>
      <w:gridCol w:w="3960"/>
      <w:gridCol w:w="2895"/>
      <w:tblGridChange w:id="0">
        <w:tblGrid>
          <w:gridCol w:w="2655"/>
          <w:gridCol w:w="3960"/>
          <w:gridCol w:w="2895"/>
        </w:tblGrid>
      </w:tblGridChange>
    </w:tblGrid>
    <w:tr>
      <w:trPr>
        <w:cantSplit w:val="0"/>
        <w:trHeight w:val="1125" w:hRule="atLeast"/>
        <w:tblHeader w:val="0"/>
      </w:trPr>
      <w:tc>
        <w:tcPr>
          <w:vAlign w:val="center"/>
        </w:tcPr>
        <w:p w:rsidR="00000000" w:rsidDel="00000000" w:rsidP="00000000" w:rsidRDefault="00000000" w:rsidRPr="00000000" w14:paraId="000000A9">
          <w:pPr>
            <w:widowControl w:val="0"/>
            <w:spacing w:line="240" w:lineRule="auto"/>
            <w:jc w:val="center"/>
            <w:rPr>
              <w:sz w:val="20"/>
              <w:szCs w:val="20"/>
            </w:rPr>
          </w:pPr>
          <w:r w:rsidDel="00000000" w:rsidR="00000000" w:rsidRPr="00000000">
            <w:rPr>
              <w:b w:val="1"/>
              <w:bCs w:val="1"/>
            </w:rPr>
            <w:drawing>
              <wp:inline distB="114300" distT="114300" distL="114300" distR="114300">
                <wp:extent cx="1463040" cy="54620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63040" cy="54620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A">
          <w:pPr>
            <w:tabs>
              <w:tab w:val="center" w:leader="none" w:pos="4252"/>
              <w:tab w:val="right" w:leader="none" w:pos="8504"/>
            </w:tabs>
            <w:spacing w:line="240" w:lineRule="auto"/>
            <w:ind w:left="10" w:right="7"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PROGRAMA DE FARMACOVIGILANCIA</w:t>
          </w:r>
          <w:r w:rsidDel="00000000" w:rsidR="00000000" w:rsidRPr="00000000">
            <w:rPr>
              <w:rtl w:val="0"/>
            </w:rPr>
          </w:r>
        </w:p>
      </w:tc>
      <w:tc>
        <w:tcPr>
          <w:vAlign w:val="center"/>
        </w:tcPr>
        <w:p w:rsidR="00000000" w:rsidDel="00000000" w:rsidP="00000000" w:rsidRDefault="00000000" w:rsidRPr="00000000" w14:paraId="000000AB">
          <w:pPr>
            <w:spacing w:line="240" w:lineRule="auto"/>
            <w:ind w:right="-69"/>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Código: </w:t>
          </w:r>
          <w:r w:rsidDel="00000000" w:rsidR="00000000" w:rsidRPr="00000000">
            <w:rPr>
              <w:rFonts w:ascii="Century Gothic" w:cs="Century Gothic" w:eastAsia="Century Gothic" w:hAnsi="Century Gothic"/>
              <w:b w:val="1"/>
              <w:bCs w:val="1"/>
              <w:sz w:val="16"/>
              <w:szCs w:val="16"/>
              <w:highlight w:val="white"/>
              <w:rtl w:val="0"/>
            </w:rPr>
            <w:t xml:space="preserve">MD-PG-001</w:t>
          </w:r>
          <w:r w:rsidDel="00000000" w:rsidR="00000000" w:rsidRPr="00000000">
            <w:rPr>
              <w:rtl w:val="0"/>
            </w:rPr>
          </w:r>
        </w:p>
        <w:p w:rsidR="00000000" w:rsidDel="00000000" w:rsidP="00000000" w:rsidRDefault="00000000" w:rsidRPr="00000000" w14:paraId="000000AC">
          <w:pPr>
            <w:spacing w:line="240" w:lineRule="auto"/>
            <w:ind w:right="-69"/>
            <w:rPr>
              <w:rFonts w:ascii="Century Gothic" w:cs="Century Gothic" w:eastAsia="Century Gothic" w:hAnsi="Century Gothic"/>
              <w:b w:val="1"/>
              <w:bCs w:val="1"/>
              <w:sz w:val="18"/>
              <w:szCs w:val="18"/>
            </w:rPr>
          </w:pPr>
          <w:r w:rsidDel="00000000" w:rsidR="00000000" w:rsidRPr="00000000">
            <w:rPr>
              <w:rFonts w:ascii="Century Gothic" w:cs="Century Gothic" w:eastAsia="Century Gothic" w:hAnsi="Century Gothic"/>
              <w:b w:val="1"/>
              <w:bCs w:val="1"/>
              <w:sz w:val="18"/>
              <w:szCs w:val="18"/>
              <w:rtl w:val="0"/>
            </w:rPr>
            <w:t xml:space="preserve">Emisión: Enero 2025</w:t>
          </w:r>
        </w:p>
        <w:p w:rsidR="00000000" w:rsidDel="00000000" w:rsidP="00000000" w:rsidRDefault="00000000" w:rsidRPr="00000000" w14:paraId="000000AD">
          <w:pPr>
            <w:spacing w:line="240" w:lineRule="auto"/>
            <w:ind w:right="-69"/>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bCs w:val="1"/>
              <w:sz w:val="18"/>
              <w:szCs w:val="18"/>
              <w:rtl w:val="0"/>
            </w:rPr>
            <w:t xml:space="preserve">Versión: 2</w:t>
          </w:r>
          <w:r w:rsidDel="00000000" w:rsidR="00000000" w:rsidRPr="00000000">
            <w:rPr>
              <w:rtl w:val="0"/>
            </w:rPr>
          </w:r>
        </w:p>
      </w:tc>
    </w:tr>
  </w:tbl>
  <w:p w:rsidR="00000000" w:rsidDel="00000000" w:rsidP="00000000" w:rsidRDefault="00000000" w:rsidRPr="00000000" w14:paraId="000000AE">
    <w:pPr>
      <w:tabs>
        <w:tab w:val="center" w:leader="none" w:pos="4252"/>
        <w:tab w:val="right" w:leader="none" w:pos="8504"/>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5">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5">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sPa-pqjckO1dSKia3o52EOCKGvCpG82E/edit?usp=drive_link&amp;ouid=108215786033386757953&amp;rtpof=true&amp;sd=true" TargetMode="External"/><Relationship Id="rId10" Type="http://schemas.openxmlformats.org/officeDocument/2006/relationships/hyperlink" Target="https://drive.google.com/file/d/16MxrThOT4SdJCsw8miRB2qG0ILEnh6Zf/view?usp=drive_link" TargetMode="External"/><Relationship Id="rId13" Type="http://schemas.openxmlformats.org/officeDocument/2006/relationships/image" Target="media/image2.png"/><Relationship Id="rId12" Type="http://schemas.openxmlformats.org/officeDocument/2006/relationships/hyperlink" Target="https://docs.google.com/spreadsheets/d/1qMIoIfs3Fk0K0_VA2Gu9dtn57IQYX8py/edit?usp=drive_link&amp;ouid=10821578603338675795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gI_kA0nY01kDAlBwdWO1YBXoNyHJwkU/view?usp=drive_link"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invima.gov.co" TargetMode="External"/><Relationship Id="rId8" Type="http://schemas.openxmlformats.org/officeDocument/2006/relationships/hyperlink" Target="http://www.invima.gov.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zJhCAZ4nPcYXhSnZNyiljZrhsA==">CgMxLjAyDmguaGY5bGVidzFyeDlhMghoLmdqZGd4czgAciExTG5Zd2s1b1IxZXFadXQxTUtZUmFUTWZ0ZEJpSkZOMFU=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