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100"/>
          <w:szCs w:val="100"/>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96"/>
          <w:szCs w:val="96"/>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72"/>
          <w:szCs w:val="72"/>
        </w:rPr>
      </w:pPr>
      <w:r w:rsidDel="00000000" w:rsidR="00000000" w:rsidRPr="00000000">
        <w:rPr>
          <w:rtl w:val="0"/>
        </w:rPr>
      </w:r>
    </w:p>
    <w:p w:rsidR="00000000" w:rsidDel="00000000" w:rsidP="00000000" w:rsidRDefault="00000000" w:rsidRPr="00000000" w14:paraId="00000004">
      <w:pPr>
        <w:jc w:val="cente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72"/>
          <w:szCs w:val="72"/>
          <w:rtl w:val="0"/>
        </w:rPr>
        <w:t xml:space="preserve">PROGRAMA DE TECNOVIGILANCIA</w:t>
      </w:r>
    </w:p>
    <w:p w:rsidR="00000000" w:rsidDel="00000000" w:rsidP="00000000" w:rsidRDefault="00000000" w:rsidRPr="00000000" w14:paraId="00000005">
      <w:pPr>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6">
      <w:pPr>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7">
      <w:pPr>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9">
      <w:pPr>
        <w:spacing w:before="280" w:lineRule="auto"/>
        <w:ind w:lef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A">
      <w:pPr>
        <w:spacing w:before="280" w:lineRule="auto"/>
        <w:ind w:left="0" w:firstLine="0"/>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B">
      <w:pPr>
        <w:spacing w:before="280" w:lineRule="auto"/>
        <w:ind w:lef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C">
      <w:pPr>
        <w:spacing w:before="280" w:lineRule="auto"/>
        <w:ind w:lef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D">
      <w:pPr>
        <w:spacing w:before="280" w:lineRule="auto"/>
        <w:ind w:lef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E">
      <w:pPr>
        <w:spacing w:before="280" w:lineRule="auto"/>
        <w:ind w:lef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F">
      <w:pPr>
        <w:spacing w:before="280" w:lineRule="auto"/>
        <w:ind w:lef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0">
      <w:pPr>
        <w:spacing w:before="280" w:lineRule="auto"/>
        <w:ind w:lef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1">
      <w:pPr>
        <w:pStyle w:val="Heading1"/>
        <w:keepNext w:val="0"/>
        <w:keepLines w:val="0"/>
        <w:ind w:left="0" w:firstLine="0"/>
        <w:jc w:val="both"/>
        <w:rPr>
          <w:rFonts w:ascii="Century Gothic" w:cs="Century Gothic" w:eastAsia="Century Gothic" w:hAnsi="Century Gothic"/>
          <w:sz w:val="22"/>
          <w:szCs w:val="22"/>
        </w:rPr>
      </w:pPr>
      <w:bookmarkStart w:colFirst="0" w:colLast="0" w:name="_heading=h.lzbisvgy1kvn" w:id="0"/>
      <w:bookmarkEnd w:id="0"/>
      <w:r w:rsidDel="00000000" w:rsidR="00000000" w:rsidRPr="00000000">
        <w:rPr>
          <w:rtl w:val="0"/>
        </w:rPr>
      </w:r>
    </w:p>
    <w:p w:rsidR="00000000" w:rsidDel="00000000" w:rsidP="00000000" w:rsidRDefault="00000000" w:rsidRPr="00000000" w14:paraId="00000012">
      <w:pPr>
        <w:pStyle w:val="Heading1"/>
        <w:keepNext w:val="0"/>
        <w:keepLines w:val="0"/>
        <w:ind w:left="0" w:firstLine="0"/>
        <w:jc w:val="both"/>
        <w:rPr>
          <w:rFonts w:ascii="Century Gothic" w:cs="Century Gothic" w:eastAsia="Century Gothic" w:hAnsi="Century Gothic"/>
          <w:sz w:val="22"/>
          <w:szCs w:val="22"/>
        </w:rPr>
      </w:pPr>
      <w:bookmarkStart w:colFirst="0" w:colLast="0" w:name="_heading=h.jwebrc2m9dhe" w:id="1"/>
      <w:bookmarkEnd w:id="1"/>
      <w:r w:rsidDel="00000000" w:rsidR="00000000" w:rsidRPr="00000000">
        <w:rPr>
          <w:rFonts w:ascii="Century Gothic" w:cs="Century Gothic" w:eastAsia="Century Gothic" w:hAnsi="Century Gothic"/>
          <w:sz w:val="22"/>
          <w:szCs w:val="22"/>
          <w:rtl w:val="0"/>
        </w:rPr>
        <w:t xml:space="preserve">1.</w:t>
      </w:r>
      <w:r w:rsidDel="00000000" w:rsidR="00000000" w:rsidRPr="00000000">
        <w:rPr>
          <w:rFonts w:ascii="Century Gothic" w:cs="Century Gothic" w:eastAsia="Century Gothic" w:hAnsi="Century Gothic"/>
          <w:b w:val="0"/>
          <w:bCs w:val="0"/>
          <w:sz w:val="22"/>
          <w:szCs w:val="22"/>
          <w:rtl w:val="0"/>
        </w:rPr>
        <w:t xml:space="preserve">    </w:t>
      </w:r>
      <w:r w:rsidDel="00000000" w:rsidR="00000000" w:rsidRPr="00000000">
        <w:rPr>
          <w:rFonts w:ascii="Century Gothic" w:cs="Century Gothic" w:eastAsia="Century Gothic" w:hAnsi="Century Gothic"/>
          <w:sz w:val="22"/>
          <w:szCs w:val="22"/>
          <w:rtl w:val="0"/>
        </w:rPr>
        <w:t xml:space="preserve">INTRODUCCIÓN</w:t>
      </w:r>
    </w:p>
    <w:p w:rsidR="00000000" w:rsidDel="00000000" w:rsidP="00000000" w:rsidRDefault="00000000" w:rsidRPr="00000000" w14:paraId="0000001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tecnovigilancia está definida como el conjunto de actividades que tienen por objeto la identificación y cualificación de los eventos adversos serios e incidentes producidos por equipos y demás dispositivos médicos, así como la identificación de los factores de riesgo asociados a estos eventos, con base en la notificación, registro y evaluación sistemática de los problemas relacionados con los dispositivos médicos, con el fin de determinar la frecuencia, gravedad e incidencia de los mismos para prevenir su aparición o mitigar sus consecuencias.</w:t>
      </w:r>
    </w:p>
    <w:p w:rsidR="00000000" w:rsidDel="00000000" w:rsidP="00000000" w:rsidRDefault="00000000" w:rsidRPr="00000000" w14:paraId="00000014">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importancia de estructurar un sistema de vigilancia parte de la necesidad de garantizar la seguridad y efectividad de estos productos una vez salen al mercado y son usados individual y colectivamente. Por esta razón ENDOCRINOLOGY &amp; HEALTH en desarrollo de la calidad y acorde a la normativa legal vigente establece este programa con la finalidad de identificar los potenciales riesgos de los dispositivos, al igual que contar con la capacidad de reconocer por parte del colaborador la presencia de un incidente y/o evento adverso y si este es o no serio, en pro de su reporte oportuno, análisis e investigación, lo que permitirá instaurar planes de mejora, determinando los beneficios que surgieron en el programa, y verificar si estos aportaron en el manejo seguro de los dispositivos y a la disminución de incidencia y gravedad de los casos reportados.</w:t>
      </w:r>
    </w:p>
    <w:p w:rsidR="00000000" w:rsidDel="00000000" w:rsidP="00000000" w:rsidRDefault="00000000" w:rsidRPr="00000000" w14:paraId="00000016">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17">
      <w:pPr>
        <w:spacing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2. MARCO LEGAL</w:t>
      </w:r>
    </w:p>
    <w:p w:rsidR="00000000" w:rsidDel="00000000" w:rsidP="00000000" w:rsidRDefault="00000000" w:rsidRPr="00000000" w14:paraId="00000018">
      <w:pPr>
        <w:spacing w:line="276" w:lineRule="auto"/>
        <w:rPr>
          <w:rFonts w:ascii="Century Gothic" w:cs="Century Gothic" w:eastAsia="Century Gothic" w:hAnsi="Century Gothic"/>
          <w:sz w:val="22"/>
          <w:szCs w:val="22"/>
        </w:rPr>
      </w:pPr>
      <w:r w:rsidDel="00000000" w:rsidR="00000000" w:rsidRPr="00000000">
        <w:rPr>
          <w:rtl w:val="0"/>
        </w:rPr>
      </w:r>
    </w:p>
    <w:tbl>
      <w:tblPr>
        <w:tblStyle w:val="Table1"/>
        <w:tblW w:w="9540.0" w:type="dxa"/>
        <w:jc w:val="left"/>
        <w:tblInd w:w="-3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4305"/>
        <w:gridCol w:w="2940"/>
        <w:tblGridChange w:id="0">
          <w:tblGrid>
            <w:gridCol w:w="2295"/>
            <w:gridCol w:w="4305"/>
            <w:gridCol w:w="294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NORMA</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DESCRIPCIÓN DE LA NORMA</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ARTÍCULO APLICABLE</w:t>
            </w:r>
          </w:p>
        </w:tc>
      </w:tr>
      <w:tr>
        <w:trPr>
          <w:cantSplit w:val="0"/>
          <w:trHeight w:val="112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Decreto 4725 de 2005 </w:t>
            </w:r>
          </w:p>
          <w:p w:rsidR="00000000" w:rsidDel="00000000" w:rsidP="00000000" w:rsidRDefault="00000000" w:rsidRPr="00000000" w14:paraId="0000001D">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MINISTERIO DE LA PROTECCIÓN SOCIAL</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Por el cual se reglamenta el régimen de registros sanitarios, permiso de comercialización y vigilancia sanitaria de los dispositivos médicos para uso humano</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Artículo 35, punto a.</w:t>
            </w:r>
          </w:p>
        </w:tc>
      </w:tr>
      <w:tr>
        <w:trPr>
          <w:cantSplit w:val="0"/>
          <w:trHeight w:val="151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Decreto 1030 de 2007</w:t>
            </w:r>
          </w:p>
          <w:p w:rsidR="00000000" w:rsidDel="00000000" w:rsidP="00000000" w:rsidRDefault="00000000" w:rsidRPr="00000000" w14:paraId="00000021">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MINISTERIO DE LA PROTECCIÓN SOCIAL</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Por el cual se expide el Reglamento Técnico sobre los requisitos que deben cumplir los dispositivos médicos sobre medida para la salud visual y ocular y los establecimientos en los que se elaboren y comercialicen dichos insumos y se dictan otras disposiciones.</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Artículo 16 y 17.</w:t>
            </w:r>
          </w:p>
        </w:tc>
      </w:tr>
      <w:tr>
        <w:trPr>
          <w:cantSplit w:val="0"/>
          <w:trHeight w:val="147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RESOLUCIÓN 1043 DE 2006</w:t>
            </w:r>
          </w:p>
          <w:p w:rsidR="00000000" w:rsidDel="00000000" w:rsidP="00000000" w:rsidRDefault="00000000" w:rsidRPr="00000000" w14:paraId="00000025">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MINISTERIO DE LA PROTECCIÓN SOCIAL</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6">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Por la cual se establecen las condiciones que deben cumplir los Prestadores de Servicios de Salud para habilitar sus servicios e implementar el componente de auditoría para el mejoramiento de la calidad de la atención y se dictan otras disposiciones.</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7">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Anexo técnico 1, punto 4.</w:t>
            </w:r>
          </w:p>
        </w:tc>
      </w:tr>
      <w:tr>
        <w:trPr>
          <w:cantSplit w:val="0"/>
          <w:trHeight w:val="9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Resolución 4002 de 2007</w:t>
            </w:r>
          </w:p>
          <w:p w:rsidR="00000000" w:rsidDel="00000000" w:rsidP="00000000" w:rsidRDefault="00000000" w:rsidRPr="00000000" w14:paraId="00000029">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MINISTERIO DE LA PROTECCIÓN SOCIAL</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Por la cual se adopta el Manual de Requisitos de Capacidad de Almacenamiento y/o Acondicionamiento para Dispositivos Médicos.</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Artículo 1.</w:t>
            </w:r>
          </w:p>
        </w:tc>
      </w:tr>
      <w:tr>
        <w:trPr>
          <w:cantSplit w:val="0"/>
          <w:trHeight w:val="10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RESOLUCIÓN 4816 DE 2008</w:t>
            </w:r>
          </w:p>
          <w:p w:rsidR="00000000" w:rsidDel="00000000" w:rsidP="00000000" w:rsidRDefault="00000000" w:rsidRPr="00000000" w14:paraId="0000002D">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MINISTERIO DE LA PROTECCIÓN SOCIAL</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Por la cual se reglamenta el Programa Nacional de Tecnovigilancia</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Artículo 9, punto 2.</w:t>
            </w:r>
          </w:p>
          <w:p w:rsidR="00000000" w:rsidDel="00000000" w:rsidP="00000000" w:rsidRDefault="00000000" w:rsidRPr="00000000" w14:paraId="00000030">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Artículo 10, 11, 12, 13, 14, 15, 16, 17, 21.</w:t>
            </w:r>
          </w:p>
          <w:p w:rsidR="00000000" w:rsidDel="00000000" w:rsidP="00000000" w:rsidRDefault="00000000" w:rsidRPr="00000000" w14:paraId="00000031">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w:t>
            </w:r>
          </w:p>
        </w:tc>
      </w:tr>
      <w:tr>
        <w:trPr>
          <w:cantSplit w:val="0"/>
          <w:trHeight w:val="12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RESOLUCIÓN 3100 DE 2019</w:t>
            </w:r>
          </w:p>
          <w:p w:rsidR="00000000" w:rsidDel="00000000" w:rsidP="00000000" w:rsidRDefault="00000000" w:rsidRPr="00000000" w14:paraId="00000033">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MINISTERIO DE SALUD Y PROTECCIÓN SOCIAL</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Por la cual se definen los procedimientos y condiciones de inscripción de los prestadores de servicios de salud y de habilitación de los servicios de salud y se adopta el Manual de Inscripción de Prestadores y Habilitación de Servicios de Salud</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Artículo 8.3.1,11.1.3</w:t>
            </w:r>
          </w:p>
        </w:tc>
      </w:tr>
    </w:tbl>
    <w:p w:rsidR="00000000" w:rsidDel="00000000" w:rsidP="00000000" w:rsidRDefault="00000000" w:rsidRPr="00000000" w14:paraId="00000036">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7">
      <w:pPr>
        <w:spacing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3. CLASIFICACIÓN DE LOS DISPOSITIVOS MÉDICOS </w:t>
      </w:r>
    </w:p>
    <w:p w:rsidR="00000000" w:rsidDel="00000000" w:rsidP="00000000" w:rsidRDefault="00000000" w:rsidRPr="00000000" w14:paraId="00000038">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decreto 4725 de 2005 en su artículo 5, determina la siguiente clasificación:</w:t>
      </w:r>
    </w:p>
    <w:p w:rsidR="00000000" w:rsidDel="00000000" w:rsidP="00000000" w:rsidRDefault="00000000" w:rsidRPr="00000000" w14:paraId="0000003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B">
      <w:pPr>
        <w:numPr>
          <w:ilvl w:val="0"/>
          <w:numId w:val="21"/>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Clase I: Son aquellos dispositivos médicos de bajo riesgo, sujetos a controles generales, no destinados para proteger o mantener la vida o para un uso de importancia especial en la prevención del deterioro de la salud humana y que no representan un riesgo potencial no razonable de enfermedad o lesión.</w:t>
      </w:r>
    </w:p>
    <w:p w:rsidR="00000000" w:rsidDel="00000000" w:rsidP="00000000" w:rsidRDefault="00000000" w:rsidRPr="00000000" w14:paraId="0000003C">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D">
      <w:pPr>
        <w:numPr>
          <w:ilvl w:val="0"/>
          <w:numId w:val="10"/>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Clase IIa: Son los dispositivos médicos de riesgo moderado, sujetos a controles especiales en la fase de fabricación para demostrar su seguridad y efectividad. </w:t>
      </w:r>
    </w:p>
    <w:p w:rsidR="00000000" w:rsidDel="00000000" w:rsidP="00000000" w:rsidRDefault="00000000" w:rsidRPr="00000000" w14:paraId="0000003E">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F">
      <w:pPr>
        <w:numPr>
          <w:ilvl w:val="0"/>
          <w:numId w:val="10"/>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Clase llb: Son los dispositivos médicos de riesgo alto, sujetos a controles especiales en el diseño y fabricación para demostrar su seguridad y efectividad. </w:t>
      </w:r>
    </w:p>
    <w:p w:rsidR="00000000" w:rsidDel="00000000" w:rsidP="00000000" w:rsidRDefault="00000000" w:rsidRPr="00000000" w14:paraId="00000040">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1">
      <w:pPr>
        <w:numPr>
          <w:ilvl w:val="0"/>
          <w:numId w:val="16"/>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Clase III: Son los dispositivos médicos de muy alto riesgo sujetos a controles especiales, destinados a proteger o mantener la vida o para un uso de importancia sustancial en la prevención del deterioro de la salud humana, o si su uso presenta un riesgo potencial de enfermedad o lesión. </w:t>
      </w:r>
    </w:p>
    <w:p w:rsidR="00000000" w:rsidDel="00000000" w:rsidP="00000000" w:rsidRDefault="00000000" w:rsidRPr="00000000" w14:paraId="00000042">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3">
      <w:pPr>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4. RESPONSABLES Y RESPONSABILIDADES</w:t>
      </w:r>
    </w:p>
    <w:p w:rsidR="00000000" w:rsidDel="00000000" w:rsidP="00000000" w:rsidRDefault="00000000" w:rsidRPr="00000000" w14:paraId="00000044">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4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Son responsables de la </w:t>
      </w:r>
      <w:r w:rsidDel="00000000" w:rsidR="00000000" w:rsidRPr="00000000">
        <w:rPr>
          <w:rFonts w:ascii="Century Gothic" w:cs="Century Gothic" w:eastAsia="Century Gothic" w:hAnsi="Century Gothic"/>
          <w:b w:val="1"/>
          <w:bCs w:val="1"/>
          <w:sz w:val="22"/>
          <w:szCs w:val="22"/>
          <w:rtl w:val="0"/>
        </w:rPr>
        <w:t xml:space="preserve">identificación y notificación</w:t>
      </w:r>
      <w:r w:rsidDel="00000000" w:rsidR="00000000" w:rsidRPr="00000000">
        <w:rPr>
          <w:rFonts w:ascii="Century Gothic" w:cs="Century Gothic" w:eastAsia="Century Gothic" w:hAnsi="Century Gothic"/>
          <w:sz w:val="22"/>
          <w:szCs w:val="22"/>
          <w:rtl w:val="0"/>
        </w:rPr>
        <w:t xml:space="preserve"> de los incidentes y eventos adversos relacionados con Dispositivos Médicos, todo el personal tanto asistencial como administrativo que los detecte.</w:t>
      </w:r>
    </w:p>
    <w:p w:rsidR="00000000" w:rsidDel="00000000" w:rsidP="00000000" w:rsidRDefault="00000000" w:rsidRPr="00000000" w14:paraId="00000046">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7">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w:t>
      </w:r>
      <w:r w:rsidDel="00000000" w:rsidR="00000000" w:rsidRPr="00000000">
        <w:rPr>
          <w:rFonts w:ascii="Century Gothic" w:cs="Century Gothic" w:eastAsia="Century Gothic" w:hAnsi="Century Gothic"/>
          <w:b w:val="1"/>
          <w:bCs w:val="1"/>
          <w:sz w:val="22"/>
          <w:szCs w:val="22"/>
          <w:rtl w:val="0"/>
        </w:rPr>
        <w:t xml:space="preserve">recolección, análisis y gestión</w:t>
      </w:r>
      <w:r w:rsidDel="00000000" w:rsidR="00000000" w:rsidRPr="00000000">
        <w:rPr>
          <w:rFonts w:ascii="Century Gothic" w:cs="Century Gothic" w:eastAsia="Century Gothic" w:hAnsi="Century Gothic"/>
          <w:sz w:val="22"/>
          <w:szCs w:val="22"/>
          <w:rtl w:val="0"/>
        </w:rPr>
        <w:t xml:space="preserve">, será responsabilidad del comité de seguridad del paciente y/o líder de tecnovigilancia en la institución.</w:t>
      </w:r>
    </w:p>
    <w:p w:rsidR="00000000" w:rsidDel="00000000" w:rsidP="00000000" w:rsidRDefault="00000000" w:rsidRPr="00000000" w14:paraId="00000048">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w:t>
      </w:r>
      <w:r w:rsidDel="00000000" w:rsidR="00000000" w:rsidRPr="00000000">
        <w:rPr>
          <w:rFonts w:ascii="Century Gothic" w:cs="Century Gothic" w:eastAsia="Century Gothic" w:hAnsi="Century Gothic"/>
          <w:b w:val="1"/>
          <w:bCs w:val="1"/>
          <w:sz w:val="22"/>
          <w:szCs w:val="22"/>
          <w:rtl w:val="0"/>
        </w:rPr>
        <w:t xml:space="preserve">Comunicación y seguimiento</w:t>
      </w:r>
      <w:r w:rsidDel="00000000" w:rsidR="00000000" w:rsidRPr="00000000">
        <w:rPr>
          <w:rFonts w:ascii="Century Gothic" w:cs="Century Gothic" w:eastAsia="Century Gothic" w:hAnsi="Century Gothic"/>
          <w:sz w:val="22"/>
          <w:szCs w:val="22"/>
          <w:rtl w:val="0"/>
        </w:rPr>
        <w:t xml:space="preserve"> será responsabilidad del líder de tecnovigilancia y/o líder de seguridad del paciente quien será designado para coordinar el programa, elaborar y enviar los informes a la autoridad competente (INVIMA)., el cual deberá completar el correspondiente formato de reporte de incidente adverso relacionados con DM.</w:t>
      </w:r>
    </w:p>
    <w:p w:rsidR="00000000" w:rsidDel="00000000" w:rsidP="00000000" w:rsidRDefault="00000000" w:rsidRPr="00000000" w14:paraId="0000004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Institución cuenta con un formato propio para el reporte de todos los incidentes y eventos adversos ocurridos en los diferentes procesos donde se establece la fecha, la hora, el área de servicio donde se identifica, qué personal estuvo involucrado, paciente, qué equipo o dispositivo médico hubo de por medio y cuáles fueron las posibles causas, el reporte lo firma el encargado del área en ese instante, profesional, o auxiliar presente en el momento del incidente ; sin embargo, con respecto al reporte de incidentes con dispositivos médicos, se tienen en cuenta las recomendaciones y el formato establecido por el INVIMA.</w:t>
      </w:r>
    </w:p>
    <w:p w:rsidR="00000000" w:rsidDel="00000000" w:rsidP="00000000" w:rsidRDefault="00000000" w:rsidRPr="00000000" w14:paraId="0000004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4D">
      <w:pPr>
        <w:numPr>
          <w:ilvl w:val="0"/>
          <w:numId w:val="22"/>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QUIÉN DEBE REALIZAR EL REPORTE</w:t>
      </w:r>
    </w:p>
    <w:p w:rsidR="00000000" w:rsidDel="00000000" w:rsidP="00000000" w:rsidRDefault="00000000" w:rsidRPr="00000000" w14:paraId="0000004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Cualquier profesional o/no de la salud que identifique o tenga conocimiento de que un dispositivo médico causó un incidente adverso en un paciente o es sospechoso de producirlo.</w:t>
      </w:r>
    </w:p>
    <w:p w:rsidR="00000000" w:rsidDel="00000000" w:rsidP="00000000" w:rsidRDefault="00000000" w:rsidRPr="00000000" w14:paraId="0000004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50">
      <w:pPr>
        <w:numPr>
          <w:ilvl w:val="0"/>
          <w:numId w:val="18"/>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EVENTO O INCIDENTE SE DEBE REPORTAR</w:t>
      </w:r>
    </w:p>
    <w:p w:rsidR="00000000" w:rsidDel="00000000" w:rsidP="00000000" w:rsidRDefault="00000000" w:rsidRPr="00000000" w14:paraId="0000005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Todo incidente o riesgo de incidente adverso por dispositivos médicos durante su uso o antes de su uso.</w:t>
      </w:r>
    </w:p>
    <w:p w:rsidR="00000000" w:rsidDel="00000000" w:rsidP="00000000" w:rsidRDefault="00000000" w:rsidRPr="00000000" w14:paraId="0000005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Todos los eventos adversos deben reportarse independientemente de su desenlace.</w:t>
      </w:r>
    </w:p>
    <w:p w:rsidR="00000000" w:rsidDel="00000000" w:rsidP="00000000" w:rsidRDefault="00000000" w:rsidRPr="00000000" w14:paraId="0000005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Incidentes tales como:</w:t>
      </w:r>
    </w:p>
    <w:p w:rsidR="00000000" w:rsidDel="00000000" w:rsidP="00000000" w:rsidRDefault="00000000" w:rsidRPr="00000000" w14:paraId="00000054">
      <w:pPr>
        <w:spacing w:line="276" w:lineRule="auto"/>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Defectos de calidad.</w:t>
      </w:r>
    </w:p>
    <w:p w:rsidR="00000000" w:rsidDel="00000000" w:rsidP="00000000" w:rsidRDefault="00000000" w:rsidRPr="00000000" w14:paraId="00000055">
      <w:pPr>
        <w:spacing w:line="276" w:lineRule="auto"/>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Errores de uso.</w:t>
      </w:r>
    </w:p>
    <w:p w:rsidR="00000000" w:rsidDel="00000000" w:rsidP="00000000" w:rsidRDefault="00000000" w:rsidRPr="00000000" w14:paraId="00000056">
      <w:pPr>
        <w:spacing w:line="276" w:lineRule="auto"/>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Lesiones temporales o permanentes ocurridas a un paciente.</w:t>
      </w:r>
    </w:p>
    <w:p w:rsidR="00000000" w:rsidDel="00000000" w:rsidP="00000000" w:rsidRDefault="00000000" w:rsidRPr="00000000" w14:paraId="00000057">
      <w:pPr>
        <w:spacing w:line="276" w:lineRule="auto"/>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Muerte de pacientes.</w:t>
      </w:r>
    </w:p>
    <w:p w:rsidR="00000000" w:rsidDel="00000000" w:rsidP="00000000" w:rsidRDefault="00000000" w:rsidRPr="00000000" w14:paraId="00000058">
      <w:pPr>
        <w:spacing w:line="276" w:lineRule="auto"/>
        <w:ind w:left="1440" w:hanging="36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9">
      <w:pPr>
        <w:numPr>
          <w:ilvl w:val="0"/>
          <w:numId w:val="14"/>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 QUIEN SE DEBE REPORTAR EL EVENTO O INCIDENTE</w:t>
      </w:r>
    </w:p>
    <w:p w:rsidR="00000000" w:rsidDel="00000000" w:rsidP="00000000" w:rsidRDefault="00000000" w:rsidRPr="00000000" w14:paraId="0000005A">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funcionario que identifique un evento o incidente relacionado con el uso de dispositivos médicos informa al líder de tecnovigilancia y/o seguridad del paciente.</w:t>
      </w:r>
    </w:p>
    <w:p w:rsidR="00000000" w:rsidDel="00000000" w:rsidP="00000000" w:rsidRDefault="00000000" w:rsidRPr="00000000" w14:paraId="0000005B">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C">
      <w:pPr>
        <w:keepNext w:val="0"/>
        <w:keepLines w:val="0"/>
        <w:spacing w:line="276"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5. TIPOS DE REPORTES</w:t>
      </w:r>
      <w:r w:rsidDel="00000000" w:rsidR="00000000" w:rsidRPr="00000000">
        <w:rPr>
          <w:rtl w:val="0"/>
        </w:rPr>
      </w:r>
    </w:p>
    <w:p w:rsidR="00000000" w:rsidDel="00000000" w:rsidP="00000000" w:rsidRDefault="00000000" w:rsidRPr="00000000" w14:paraId="0000005D">
      <w:pPr>
        <w:numPr>
          <w:ilvl w:val="0"/>
          <w:numId w:val="24"/>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REPORTE INMEDIATO </w:t>
      </w:r>
    </w:p>
    <w:p w:rsidR="00000000" w:rsidDel="00000000" w:rsidP="00000000" w:rsidRDefault="00000000" w:rsidRPr="00000000" w14:paraId="0000005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caso de presentarse un evento o incidente adverso SERIO con los dispositivos médicos para uso en humanos, debe realizarse el reporte de dicho incidente, utilizando el correspondiente formato ante el Instituto Nacional de Vigilancia de Medicamentos y Alimentos, INVIMA, deberá contener la información relacionada en el artículo 14 de la resolución 4816 de 2006, dentro de las setenta y dos horas (72) horas siguientes al conocimiento del evento.</w:t>
      </w:r>
    </w:p>
    <w:p w:rsidR="00000000" w:rsidDel="00000000" w:rsidP="00000000" w:rsidRDefault="00000000" w:rsidRPr="00000000" w14:paraId="0000005F">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0">
      <w:pPr>
        <w:spacing w:after="5" w:line="276" w:lineRule="auto"/>
        <w:ind w:left="10" w:right="7"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identificación de los problemas de seguridad se realizará por medio Del reporte de estos eventos por parte del profesional de la salud o usuario, que identifica el incidente o el evento en el paciente y su reporte al Programa de Tecnovigilancia, para lo cual se utilizará el Formato establecido por el INVIMA, llamado FOREIA001</w:t>
      </w:r>
    </w:p>
    <w:p w:rsidR="00000000" w:rsidDel="00000000" w:rsidP="00000000" w:rsidRDefault="00000000" w:rsidRPr="00000000" w14:paraId="00000061">
      <w:pPr>
        <w:spacing w:after="5" w:line="276" w:lineRule="auto"/>
        <w:ind w:left="10" w:right="7" w:firstLine="0"/>
        <w:jc w:val="both"/>
        <w:rPr>
          <w:rFonts w:ascii="Century Gothic" w:cs="Century Gothic" w:eastAsia="Century Gothic" w:hAnsi="Century Gothic"/>
          <w:sz w:val="22"/>
          <w:szCs w:val="22"/>
        </w:rPr>
      </w:pPr>
      <w:hyperlink r:id="rId7">
        <w:r w:rsidDel="00000000" w:rsidR="00000000" w:rsidRPr="00000000">
          <w:rPr>
            <w:rFonts w:ascii="Century Gothic" w:cs="Century Gothic" w:eastAsia="Century Gothic" w:hAnsi="Century Gothic"/>
            <w:color w:val="0000ee"/>
            <w:sz w:val="22"/>
            <w:szCs w:val="22"/>
            <w:u w:val="single"/>
            <w:rtl w:val="0"/>
          </w:rPr>
          <w:t xml:space="preserve">FORMATO FOREIA001 Reporte VOLUNTARIO de Eventos e Incidentes Adversos.pdf</w:t>
        </w:r>
      </w:hyperlink>
      <w:r w:rsidDel="00000000" w:rsidR="00000000" w:rsidRPr="00000000">
        <w:rPr>
          <w:rtl w:val="0"/>
        </w:rPr>
      </w:r>
    </w:p>
    <w:p w:rsidR="00000000" w:rsidDel="00000000" w:rsidP="00000000" w:rsidRDefault="00000000" w:rsidRPr="00000000" w14:paraId="00000062">
      <w:pPr>
        <w:spacing w:after="5" w:line="276" w:lineRule="auto"/>
        <w:ind w:left="10" w:right="7"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reportar eventos o incidentes de Tecnovigilancia.</w:t>
      </w:r>
    </w:p>
    <w:p w:rsidR="00000000" w:rsidDel="00000000" w:rsidP="00000000" w:rsidRDefault="00000000" w:rsidRPr="00000000" w14:paraId="00000063">
      <w:pPr>
        <w:spacing w:after="5" w:line="276" w:lineRule="auto"/>
        <w:ind w:left="10" w:right="7"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4">
      <w:pPr>
        <w:spacing w:after="5" w:line="276" w:lineRule="auto"/>
        <w:ind w:left="10" w:right="7"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Debe reportarse todo evento clínico desfavorable que se presente en un paciente ante la mínima posibilidad de que un evento adverso pueda ser relacionado con el uso de un dispositivo, además todo incidente o riesgo de incidente adverso de los dispositivos médicos durante su uso, independientemente de su desenlace.</w:t>
      </w:r>
    </w:p>
    <w:p w:rsidR="00000000" w:rsidDel="00000000" w:rsidP="00000000" w:rsidRDefault="00000000" w:rsidRPr="00000000" w14:paraId="00000065">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6">
      <w:pPr>
        <w:numPr>
          <w:ilvl w:val="0"/>
          <w:numId w:val="6"/>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REPORTE PERIÓDICO (TRIMESTRAL) </w:t>
      </w:r>
    </w:p>
    <w:p w:rsidR="00000000" w:rsidDel="00000000" w:rsidP="00000000" w:rsidRDefault="00000000" w:rsidRPr="00000000" w14:paraId="00000067">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8">
      <w:pPr>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Si durante el trimestre no presentó ningún evento o incidente adverso asociado al uso de dispositivos médicos, deben ser presentadas trimestralmente y en forma consolidada por medio del </w:t>
      </w:r>
      <w:r w:rsidDel="00000000" w:rsidR="00000000" w:rsidRPr="00000000">
        <w:rPr>
          <w:rFonts w:ascii="Century Gothic" w:cs="Century Gothic" w:eastAsia="Century Gothic" w:hAnsi="Century Gothic"/>
          <w:b w:val="1"/>
          <w:bCs w:val="1"/>
          <w:sz w:val="22"/>
          <w:szCs w:val="22"/>
          <w:rtl w:val="0"/>
        </w:rPr>
        <w:t xml:space="preserve">reporte trimestral.</w:t>
      </w:r>
    </w:p>
    <w:p w:rsidR="00000000" w:rsidDel="00000000" w:rsidP="00000000" w:rsidRDefault="00000000" w:rsidRPr="00000000" w14:paraId="00000069">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sdt>
      <w:sdtPr>
        <w:lock w:val="contentLocked"/>
        <w:id w:val="1983693436"/>
        <w:tag w:val="goog_rdk_0"/>
      </w:sdtPr>
      <w:sdtContent>
        <w:tbl>
          <w:tblPr>
            <w:tblStyle w:val="Table2"/>
            <w:tblW w:w="9390.0" w:type="dxa"/>
            <w:jc w:val="center"/>
            <w:tblLayout w:type="fixed"/>
            <w:tblLook w:val="0400"/>
          </w:tblPr>
          <w:tblGrid>
            <w:gridCol w:w="3825"/>
            <w:gridCol w:w="5565"/>
            <w:tblGridChange w:id="0">
              <w:tblGrid>
                <w:gridCol w:w="3825"/>
                <w:gridCol w:w="556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A">
                <w:pPr>
                  <w:spacing w:line="276" w:lineRule="auto"/>
                  <w:ind w:left="10" w:right="7"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NOTIFICACIÓN OPORTUNA</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6B">
                <w:pPr>
                  <w:spacing w:line="276" w:lineRule="auto"/>
                  <w:ind w:left="10" w:right="7"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TRIMESTRE DISPONIBLE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primeros 8 días del mes de abril.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Habilita el primer trimestre inmediatamente anterior y el año en curso.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E">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primeros 8 días del mes de julio.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Habilita el segundo trimestre inmediatamente anterior y el año en curso.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primeros 8 días del mes de octubre.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Habilita el tercer trimestre inmediatamente anterior y el año en curso.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2">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primeros 8 días del mes de enero.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spacing w:line="276" w:lineRule="auto"/>
                  <w:ind w:left="10" w:right="7"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Habilita el cuarto trimestre inmediatamente anterior y el año en curso.</w:t>
                </w:r>
              </w:p>
            </w:tc>
          </w:tr>
        </w:tbl>
      </w:sdtContent>
    </w:sdt>
    <w:p w:rsidR="00000000" w:rsidDel="00000000" w:rsidP="00000000" w:rsidRDefault="00000000" w:rsidRPr="00000000" w14:paraId="00000074">
      <w:pPr>
        <w:spacing w:after="5" w:line="276" w:lineRule="auto"/>
        <w:ind w:right="7"/>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5">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76">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USUARIO:</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tl w:val="0"/>
        </w:rPr>
        <w:t xml:space="preserve">Endocrino72</w:t>
      </w:r>
      <w:r w:rsidDel="00000000" w:rsidR="00000000" w:rsidRPr="00000000">
        <w:rPr>
          <w:rtl w:val="0"/>
        </w:rPr>
      </w:r>
    </w:p>
    <w:p w:rsidR="00000000" w:rsidDel="00000000" w:rsidP="00000000" w:rsidRDefault="00000000" w:rsidRPr="00000000" w14:paraId="00000077">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CLAVE:</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tl w:val="0"/>
        </w:rPr>
        <w:t xml:space="preserve">Endocrino2025</w:t>
      </w:r>
      <w:r w:rsidDel="00000000" w:rsidR="00000000" w:rsidRPr="00000000">
        <w:rPr>
          <w:rtl w:val="0"/>
        </w:rPr>
      </w:r>
    </w:p>
    <w:p w:rsidR="00000000" w:rsidDel="00000000" w:rsidP="00000000" w:rsidRDefault="00000000" w:rsidRPr="00000000" w14:paraId="00000078">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79">
      <w:pPr>
        <w:tabs>
          <w:tab w:val="left" w:leader="none" w:pos="5340"/>
        </w:tabs>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poder hacer el reporte la IPS debe garantizar que está registrado en el programa nacional de tecnovigilancia del INVIMA para realizar el reporte periódico. </w:t>
      </w:r>
      <w:r w:rsidDel="00000000" w:rsidR="00000000" w:rsidRPr="00000000">
        <w:rPr>
          <w:rFonts w:ascii="Century Gothic" w:cs="Century Gothic" w:eastAsia="Century Gothic" w:hAnsi="Century Gothic"/>
          <w:sz w:val="22"/>
          <w:szCs w:val="22"/>
          <w:highlight w:val="white"/>
          <w:rtl w:val="0"/>
        </w:rPr>
        <w:t xml:space="preserve">El</w:t>
      </w:r>
      <w:r w:rsidDel="00000000" w:rsidR="00000000" w:rsidRPr="00000000">
        <w:rPr>
          <w:rFonts w:ascii="Century Gothic" w:cs="Century Gothic" w:eastAsia="Century Gothic" w:hAnsi="Century Gothic"/>
          <w:b w:val="1"/>
          <w:bCs w:val="1"/>
          <w:sz w:val="22"/>
          <w:szCs w:val="22"/>
          <w:highlight w:val="white"/>
          <w:rtl w:val="0"/>
        </w:rPr>
        <w:t xml:space="preserve"> </w:t>
      </w:r>
      <w:r w:rsidDel="00000000" w:rsidR="00000000" w:rsidRPr="00000000">
        <w:rPr>
          <w:rFonts w:ascii="Century Gothic" w:cs="Century Gothic" w:eastAsia="Century Gothic" w:hAnsi="Century Gothic"/>
          <w:sz w:val="22"/>
          <w:szCs w:val="22"/>
          <w:highlight w:val="white"/>
          <w:rtl w:val="0"/>
        </w:rPr>
        <w:t xml:space="preserve">Referente Del Programa De Tecnovigilancia debe inscribirse en la página:</w:t>
      </w:r>
      <w:r w:rsidDel="00000000" w:rsidR="00000000" w:rsidRPr="00000000">
        <w:rPr>
          <w:rFonts w:ascii="Century Gothic" w:cs="Century Gothic" w:eastAsia="Century Gothic" w:hAnsi="Century Gothic"/>
          <w:b w:val="1"/>
          <w:bCs w:val="1"/>
          <w:sz w:val="22"/>
          <w:szCs w:val="22"/>
          <w:highlight w:val="white"/>
          <w:rtl w:val="0"/>
        </w:rPr>
        <w:t xml:space="preserve"> </w:t>
      </w:r>
      <w:hyperlink r:id="rId8">
        <w:r w:rsidDel="00000000" w:rsidR="00000000" w:rsidRPr="00000000">
          <w:rPr>
            <w:rFonts w:ascii="Century Gothic" w:cs="Century Gothic" w:eastAsia="Century Gothic" w:hAnsi="Century Gothic"/>
            <w:sz w:val="22"/>
            <w:szCs w:val="22"/>
            <w:highlight w:val="white"/>
            <w:u w:val="single"/>
            <w:rtl w:val="0"/>
          </w:rPr>
          <w:t xml:space="preserve">Formulario de Inscripción a la Red Nacional de Tecnovigilancia (REDITV007) por</w:t>
        </w:r>
      </w:hyperlink>
      <w:r w:rsidDel="00000000" w:rsidR="00000000" w:rsidRPr="00000000">
        <w:rPr>
          <w:rFonts w:ascii="Century Gothic" w:cs="Century Gothic" w:eastAsia="Century Gothic" w:hAnsi="Century Gothic"/>
          <w:sz w:val="22"/>
          <w:szCs w:val="22"/>
          <w:highlight w:val="white"/>
          <w:rtl w:val="0"/>
        </w:rPr>
        <w:t xml:space="preserve"> </w:t>
      </w:r>
      <w:r w:rsidDel="00000000" w:rsidR="00000000" w:rsidRPr="00000000">
        <w:rPr>
          <w:rFonts w:ascii="Century Gothic" w:cs="Century Gothic" w:eastAsia="Century Gothic" w:hAnsi="Century Gothic"/>
          <w:sz w:val="22"/>
          <w:szCs w:val="22"/>
          <w:rtl w:val="0"/>
        </w:rPr>
        <w:t xml:space="preserve"> e Ingresa al </w:t>
      </w:r>
      <w:r w:rsidDel="00000000" w:rsidR="00000000" w:rsidRPr="00000000">
        <w:rPr>
          <w:rFonts w:ascii="Century Gothic" w:cs="Century Gothic" w:eastAsia="Century Gothic" w:hAnsi="Century Gothic"/>
          <w:sz w:val="22"/>
          <w:szCs w:val="22"/>
          <w:highlight w:val="white"/>
          <w:rtl w:val="0"/>
        </w:rPr>
        <w:t xml:space="preserve">Aplicativo Web </w:t>
      </w:r>
      <w:hyperlink r:id="rId9">
        <w:r w:rsidDel="00000000" w:rsidR="00000000" w:rsidRPr="00000000">
          <w:rPr>
            <w:rFonts w:ascii="Century Gothic" w:cs="Century Gothic" w:eastAsia="Century Gothic" w:hAnsi="Century Gothic"/>
            <w:sz w:val="22"/>
            <w:szCs w:val="22"/>
            <w:highlight w:val="white"/>
            <w:u w:val="single"/>
            <w:rtl w:val="0"/>
          </w:rPr>
          <w:t xml:space="preserve">::: Tecnovigilancia :::</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1077278</wp:posOffset>
            </wp:positionH>
            <wp:positionV relativeFrom="paragraph">
              <wp:posOffset>1362075</wp:posOffset>
            </wp:positionV>
            <wp:extent cx="3456623" cy="1964185"/>
            <wp:effectExtent b="0" l="0" r="0" t="0"/>
            <wp:wrapNone/>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56623" cy="1964185"/>
                    </a:xfrm>
                    <a:prstGeom prst="rect"/>
                    <a:ln/>
                  </pic:spPr>
                </pic:pic>
              </a:graphicData>
            </a:graphic>
          </wp:anchor>
        </w:drawing>
      </w:r>
    </w:p>
    <w:p w:rsidR="00000000" w:rsidDel="00000000" w:rsidP="00000000" w:rsidRDefault="00000000" w:rsidRPr="00000000" w14:paraId="0000007A">
      <w:pPr>
        <w:tabs>
          <w:tab w:val="left" w:leader="none" w:pos="5340"/>
        </w:tabs>
        <w:spacing w:after="16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B">
      <w:pPr>
        <w:tabs>
          <w:tab w:val="left" w:leader="none" w:pos="5340"/>
        </w:tabs>
        <w:spacing w:after="16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C">
      <w:pPr>
        <w:tabs>
          <w:tab w:val="left" w:leader="none" w:pos="5340"/>
        </w:tabs>
        <w:spacing w:after="16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D">
      <w:pPr>
        <w:tabs>
          <w:tab w:val="left" w:leader="none" w:pos="5340"/>
        </w:tabs>
        <w:spacing w:after="16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E">
      <w:pPr>
        <w:tabs>
          <w:tab w:val="left" w:leader="none" w:pos="5340"/>
        </w:tabs>
        <w:spacing w:after="16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F">
      <w:pPr>
        <w:tabs>
          <w:tab w:val="left" w:leader="none" w:pos="5340"/>
        </w:tabs>
        <w:spacing w:after="16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0">
      <w:pPr>
        <w:tabs>
          <w:tab w:val="left" w:leader="none" w:pos="5340"/>
        </w:tabs>
        <w:spacing w:after="16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1">
      <w:pPr>
        <w:pStyle w:val="Heading3"/>
        <w:keepNext w:val="0"/>
        <w:keepLines w:val="0"/>
        <w:numPr>
          <w:ilvl w:val="0"/>
          <w:numId w:val="5"/>
        </w:numPr>
        <w:spacing w:line="276" w:lineRule="auto"/>
        <w:ind w:left="720" w:right="7" w:hanging="360"/>
        <w:jc w:val="both"/>
        <w:rPr>
          <w:rFonts w:ascii="Century Gothic" w:cs="Century Gothic" w:eastAsia="Century Gothic" w:hAnsi="Century Gothic"/>
          <w:sz w:val="26"/>
          <w:szCs w:val="26"/>
        </w:rPr>
      </w:pPr>
      <w:bookmarkStart w:colFirst="0" w:colLast="0" w:name="_heading=h.dita5yi2fech" w:id="2"/>
      <w:bookmarkEnd w:id="2"/>
      <w:r w:rsidDel="00000000" w:rsidR="00000000" w:rsidRPr="00000000">
        <w:rPr>
          <w:rFonts w:ascii="Century Gothic" w:cs="Century Gothic" w:eastAsia="Century Gothic" w:hAnsi="Century Gothic"/>
          <w:sz w:val="22"/>
          <w:szCs w:val="22"/>
          <w:rtl w:val="0"/>
        </w:rPr>
        <w:t xml:space="preserve">REPORTE DE ALERTA, RETIRO O HURTO DE DISPOSITIVOS MÉDICOS – FORMULARIO RISARH006</w:t>
      </w:r>
    </w:p>
    <w:p w:rsidR="00000000" w:rsidDel="00000000" w:rsidP="00000000" w:rsidRDefault="00000000" w:rsidRPr="00000000" w14:paraId="00000082">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la IPS ENDOCRINOLOGY &amp; HEALTH, como Institución Prestadora de Servicios de Salud, también debe cumplir con el deber de notificar al INVIMA situaciones especiales relacionadas con alertas, informes de seguridad, retiró del mercado o hurto de dispositivos médicos, a través del formulario oficial RISARH006.</w:t>
      </w:r>
    </w:p>
    <w:p w:rsidR="00000000" w:rsidDel="00000000" w:rsidP="00000000" w:rsidRDefault="00000000" w:rsidRPr="00000000" w14:paraId="00000083">
      <w:pPr>
        <w:numPr>
          <w:ilvl w:val="0"/>
          <w:numId w:val="7"/>
        </w:numPr>
        <w:spacing w:after="240" w:before="240" w:line="276" w:lineRule="auto"/>
        <w:ind w:left="720" w:hanging="360"/>
        <w:jc w:val="both"/>
        <w:rPr>
          <w:rFonts w:ascii="Century Gothic" w:cs="Century Gothic" w:eastAsia="Century Gothic" w:hAnsi="Century Gothic"/>
          <w:sz w:val="22"/>
          <w:szCs w:val="22"/>
        </w:rPr>
      </w:pPr>
      <w:hyperlink r:id="rId11">
        <w:r w:rsidDel="00000000" w:rsidR="00000000" w:rsidRPr="00000000">
          <w:rPr>
            <w:rFonts w:ascii="Century Gothic" w:cs="Century Gothic" w:eastAsia="Century Gothic" w:hAnsi="Century Gothic"/>
            <w:color w:val="0000ee"/>
            <w:sz w:val="22"/>
            <w:szCs w:val="22"/>
            <w:u w:val="single"/>
            <w:rtl w:val="0"/>
          </w:rPr>
          <w:t xml:space="preserve">RISARH006.pdf</w:t>
        </w:r>
      </w:hyperlink>
      <w:r w:rsidDel="00000000" w:rsidR="00000000" w:rsidRPr="00000000">
        <w:rPr>
          <w:rtl w:val="0"/>
        </w:rPr>
      </w:r>
    </w:p>
    <w:p w:rsidR="00000000" w:rsidDel="00000000" w:rsidP="00000000" w:rsidRDefault="00000000" w:rsidRPr="00000000" w14:paraId="00000084">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proceso se enmarca dentro de la estrategia nacional de vigilancia sanitaria, según lo dispuesto por la </w:t>
      </w:r>
      <w:r w:rsidDel="00000000" w:rsidR="00000000" w:rsidRPr="00000000">
        <w:rPr>
          <w:rFonts w:ascii="Century Gothic" w:cs="Century Gothic" w:eastAsia="Century Gothic" w:hAnsi="Century Gothic"/>
          <w:b w:val="1"/>
          <w:bCs w:val="1"/>
          <w:sz w:val="22"/>
          <w:szCs w:val="22"/>
          <w:rtl w:val="0"/>
        </w:rPr>
        <w:t xml:space="preserve">Resolución 4816 de 2008</w:t>
      </w:r>
      <w:r w:rsidDel="00000000" w:rsidR="00000000" w:rsidRPr="00000000">
        <w:rPr>
          <w:rFonts w:ascii="Century Gothic" w:cs="Century Gothic" w:eastAsia="Century Gothic" w:hAnsi="Century Gothic"/>
          <w:sz w:val="22"/>
          <w:szCs w:val="22"/>
          <w:rtl w:val="0"/>
        </w:rPr>
        <w:t xml:space="preserve"> y el Decreto 4725 de 2005.</w:t>
      </w:r>
    </w:p>
    <w:p w:rsidR="00000000" w:rsidDel="00000000" w:rsidP="00000000" w:rsidRDefault="00000000" w:rsidRPr="00000000" w14:paraId="00000085">
      <w:pPr>
        <w:pStyle w:val="Heading4"/>
        <w:keepNext w:val="0"/>
        <w:keepLines w:val="0"/>
        <w:spacing w:line="276" w:lineRule="auto"/>
        <w:ind w:left="10" w:right="7" w:firstLine="0"/>
        <w:jc w:val="both"/>
        <w:rPr>
          <w:rFonts w:ascii="Century Gothic" w:cs="Century Gothic" w:eastAsia="Century Gothic" w:hAnsi="Century Gothic"/>
          <w:sz w:val="22"/>
          <w:szCs w:val="22"/>
        </w:rPr>
      </w:pPr>
      <w:bookmarkStart w:colFirst="0" w:colLast="0" w:name="_heading=h.9n9ourtv2x2c" w:id="3"/>
      <w:bookmarkEnd w:id="3"/>
      <w:r w:rsidDel="00000000" w:rsidR="00000000" w:rsidRPr="00000000">
        <w:rPr>
          <w:rFonts w:ascii="Century Gothic" w:cs="Century Gothic" w:eastAsia="Century Gothic" w:hAnsi="Century Gothic"/>
          <w:sz w:val="22"/>
          <w:szCs w:val="22"/>
          <w:rtl w:val="0"/>
        </w:rPr>
        <w:t xml:space="preserve">¿Cuándo utilizar el formulario RISARH006?</w:t>
      </w:r>
    </w:p>
    <w:p w:rsidR="00000000" w:rsidDel="00000000" w:rsidP="00000000" w:rsidRDefault="00000000" w:rsidRPr="00000000" w14:paraId="00000086">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formulario debe diligenciarse y enviarse al INVIMA en los siguientes casos:</w:t>
      </w:r>
    </w:p>
    <w:p w:rsidR="00000000" w:rsidDel="00000000" w:rsidP="00000000" w:rsidRDefault="00000000" w:rsidRPr="00000000" w14:paraId="00000087">
      <w:pPr>
        <w:numPr>
          <w:ilvl w:val="0"/>
          <w:numId w:val="3"/>
        </w:numPr>
        <w:spacing w:before="24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Informe de seguridad</w:t>
      </w:r>
      <w:r w:rsidDel="00000000" w:rsidR="00000000" w:rsidRPr="00000000">
        <w:rPr>
          <w:rFonts w:ascii="Century Gothic" w:cs="Century Gothic" w:eastAsia="Century Gothic" w:hAnsi="Century Gothic"/>
          <w:sz w:val="22"/>
          <w:szCs w:val="22"/>
          <w:rtl w:val="0"/>
        </w:rPr>
        <w:t xml:space="preserve">: cuando se hayan identificado riesgos asociados al uso de un dispositivo médico, con el fin de evitar futuros eventos adversos.</w:t>
        <w:br w:type="textWrapping"/>
      </w:r>
    </w:p>
    <w:p w:rsidR="00000000" w:rsidDel="00000000" w:rsidP="00000000" w:rsidRDefault="00000000" w:rsidRPr="00000000" w14:paraId="00000088">
      <w:pPr>
        <w:numPr>
          <w:ilvl w:val="0"/>
          <w:numId w:val="3"/>
        </w:numPr>
        <w:spacing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Alerta</w:t>
      </w:r>
      <w:r w:rsidDel="00000000" w:rsidR="00000000" w:rsidRPr="00000000">
        <w:rPr>
          <w:rFonts w:ascii="Century Gothic" w:cs="Century Gothic" w:eastAsia="Century Gothic" w:hAnsi="Century Gothic"/>
          <w:sz w:val="22"/>
          <w:szCs w:val="22"/>
          <w:rtl w:val="0"/>
        </w:rPr>
        <w:t xml:space="preserve">: ante una sospecha de riesgo potencial para la salud pública, como fallas graves de diseño o fabricación.</w:t>
        <w:br w:type="textWrapping"/>
      </w:r>
    </w:p>
    <w:p w:rsidR="00000000" w:rsidDel="00000000" w:rsidP="00000000" w:rsidRDefault="00000000" w:rsidRPr="00000000" w14:paraId="00000089">
      <w:pPr>
        <w:numPr>
          <w:ilvl w:val="0"/>
          <w:numId w:val="3"/>
        </w:numPr>
        <w:spacing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Retiro del mercado</w:t>
      </w:r>
      <w:r w:rsidDel="00000000" w:rsidR="00000000" w:rsidRPr="00000000">
        <w:rPr>
          <w:rFonts w:ascii="Century Gothic" w:cs="Century Gothic" w:eastAsia="Century Gothic" w:hAnsi="Century Gothic"/>
          <w:sz w:val="22"/>
          <w:szCs w:val="22"/>
          <w:rtl w:val="0"/>
        </w:rPr>
        <w:t xml:space="preserve">: cuando un dispositivo médico debe ser retirado por razones de seguridad, calidad o normatividad.</w:t>
        <w:br w:type="textWrapping"/>
      </w:r>
    </w:p>
    <w:p w:rsidR="00000000" w:rsidDel="00000000" w:rsidP="00000000" w:rsidRDefault="00000000" w:rsidRPr="00000000" w14:paraId="0000008A">
      <w:pPr>
        <w:numPr>
          <w:ilvl w:val="0"/>
          <w:numId w:val="3"/>
        </w:numPr>
        <w:spacing w:after="24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Hurto</w:t>
      </w:r>
      <w:r w:rsidDel="00000000" w:rsidR="00000000" w:rsidRPr="00000000">
        <w:rPr>
          <w:rFonts w:ascii="Century Gothic" w:cs="Century Gothic" w:eastAsia="Century Gothic" w:hAnsi="Century Gothic"/>
          <w:sz w:val="22"/>
          <w:szCs w:val="22"/>
          <w:rtl w:val="0"/>
        </w:rPr>
        <w:t xml:space="preserve">: ante la pérdida o robo de dispositivos médicos en las instalaciones del consultorio.</w:t>
      </w:r>
    </w:p>
    <w:p w:rsidR="00000000" w:rsidDel="00000000" w:rsidP="00000000" w:rsidRDefault="00000000" w:rsidRPr="00000000" w14:paraId="0000008B">
      <w:pPr>
        <w:pStyle w:val="Heading4"/>
        <w:keepNext w:val="0"/>
        <w:keepLines w:val="0"/>
        <w:spacing w:line="276" w:lineRule="auto"/>
        <w:ind w:left="10" w:right="7" w:firstLine="0"/>
        <w:jc w:val="both"/>
        <w:rPr>
          <w:rFonts w:ascii="Century Gothic" w:cs="Century Gothic" w:eastAsia="Century Gothic" w:hAnsi="Century Gothic"/>
          <w:sz w:val="22"/>
          <w:szCs w:val="22"/>
        </w:rPr>
      </w:pPr>
      <w:bookmarkStart w:colFirst="0" w:colLast="0" w:name="_heading=h.d3w5xk4pexmn" w:id="4"/>
      <w:bookmarkEnd w:id="4"/>
      <w:r w:rsidDel="00000000" w:rsidR="00000000" w:rsidRPr="00000000">
        <w:rPr>
          <w:rFonts w:ascii="Century Gothic" w:cs="Century Gothic" w:eastAsia="Century Gothic" w:hAnsi="Century Gothic"/>
          <w:sz w:val="22"/>
          <w:szCs w:val="22"/>
          <w:rtl w:val="0"/>
        </w:rPr>
        <w:t xml:space="preserve">¿Quién debe diligenciar?</w:t>
      </w:r>
    </w:p>
    <w:p w:rsidR="00000000" w:rsidDel="00000000" w:rsidP="00000000" w:rsidRDefault="00000000" w:rsidRPr="00000000" w14:paraId="0000008C">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reporte puede ser realizado por:</w:t>
      </w:r>
    </w:p>
    <w:p w:rsidR="00000000" w:rsidDel="00000000" w:rsidP="00000000" w:rsidRDefault="00000000" w:rsidRPr="00000000" w14:paraId="0000008D">
      <w:pPr>
        <w:numPr>
          <w:ilvl w:val="0"/>
          <w:numId w:val="4"/>
        </w:numPr>
        <w:spacing w:before="24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Importadores, fabricantes y distribuidores</w:t>
      </w:r>
      <w:r w:rsidDel="00000000" w:rsidR="00000000" w:rsidRPr="00000000">
        <w:rPr>
          <w:rFonts w:ascii="Century Gothic" w:cs="Century Gothic" w:eastAsia="Century Gothic" w:hAnsi="Century Gothic"/>
          <w:sz w:val="22"/>
          <w:szCs w:val="22"/>
          <w:rtl w:val="0"/>
        </w:rPr>
        <w:t xml:space="preserve"> de dispositivos médicos.</w:t>
        <w:br w:type="textWrapping"/>
      </w:r>
    </w:p>
    <w:p w:rsidR="00000000" w:rsidDel="00000000" w:rsidP="00000000" w:rsidRDefault="00000000" w:rsidRPr="00000000" w14:paraId="0000008E">
      <w:pPr>
        <w:numPr>
          <w:ilvl w:val="0"/>
          <w:numId w:val="4"/>
        </w:numPr>
        <w:spacing w:after="24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Prestadores de salud</w:t>
      </w:r>
      <w:r w:rsidDel="00000000" w:rsidR="00000000" w:rsidRPr="00000000">
        <w:rPr>
          <w:rFonts w:ascii="Century Gothic" w:cs="Century Gothic" w:eastAsia="Century Gothic" w:hAnsi="Century Gothic"/>
          <w:sz w:val="22"/>
          <w:szCs w:val="22"/>
          <w:rtl w:val="0"/>
        </w:rPr>
        <w:t xml:space="preserve">, cuando se detecten estos hechos durante la operación institucional.</w:t>
        <w:br w:type="textWrapping"/>
      </w:r>
    </w:p>
    <w:p w:rsidR="00000000" w:rsidDel="00000000" w:rsidP="00000000" w:rsidRDefault="00000000" w:rsidRPr="00000000" w14:paraId="0000008F">
      <w:pPr>
        <w:pStyle w:val="Heading4"/>
        <w:keepNext w:val="0"/>
        <w:keepLines w:val="0"/>
        <w:spacing w:line="276" w:lineRule="auto"/>
        <w:ind w:left="10" w:right="7" w:firstLine="0"/>
        <w:jc w:val="both"/>
        <w:rPr>
          <w:rFonts w:ascii="Century Gothic" w:cs="Century Gothic" w:eastAsia="Century Gothic" w:hAnsi="Century Gothic"/>
          <w:sz w:val="22"/>
          <w:szCs w:val="22"/>
        </w:rPr>
      </w:pPr>
      <w:bookmarkStart w:colFirst="0" w:colLast="0" w:name="_heading=h.xbt1eocsg34q" w:id="5"/>
      <w:bookmarkEnd w:id="5"/>
      <w:r w:rsidDel="00000000" w:rsidR="00000000" w:rsidRPr="00000000">
        <w:rPr>
          <w:rFonts w:ascii="Century Gothic" w:cs="Century Gothic" w:eastAsia="Century Gothic" w:hAnsi="Century Gothic"/>
          <w:sz w:val="22"/>
          <w:szCs w:val="22"/>
          <w:rtl w:val="0"/>
        </w:rPr>
        <w:t xml:space="preserve">¿Cómo se diligencia?</w:t>
      </w:r>
    </w:p>
    <w:p w:rsidR="00000000" w:rsidDel="00000000" w:rsidP="00000000" w:rsidRDefault="00000000" w:rsidRPr="00000000" w14:paraId="00000090">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debe llenar el formato </w:t>
      </w:r>
      <w:r w:rsidDel="00000000" w:rsidR="00000000" w:rsidRPr="00000000">
        <w:rPr>
          <w:rFonts w:ascii="Century Gothic" w:cs="Century Gothic" w:eastAsia="Century Gothic" w:hAnsi="Century Gothic"/>
          <w:b w:val="1"/>
          <w:bCs w:val="1"/>
          <w:sz w:val="22"/>
          <w:szCs w:val="22"/>
          <w:rtl w:val="0"/>
        </w:rPr>
        <w:t xml:space="preserve">RISARH006</w:t>
      </w:r>
      <w:r w:rsidDel="00000000" w:rsidR="00000000" w:rsidRPr="00000000">
        <w:rPr>
          <w:rFonts w:ascii="Century Gothic" w:cs="Century Gothic" w:eastAsia="Century Gothic" w:hAnsi="Century Gothic"/>
          <w:sz w:val="22"/>
          <w:szCs w:val="22"/>
          <w:rtl w:val="0"/>
        </w:rPr>
        <w:t xml:space="preserve"> siguiendo estas instrucciones:</w:t>
      </w:r>
    </w:p>
    <w:p w:rsidR="00000000" w:rsidDel="00000000" w:rsidP="00000000" w:rsidRDefault="00000000" w:rsidRPr="00000000" w14:paraId="00000091">
      <w:pPr>
        <w:numPr>
          <w:ilvl w:val="0"/>
          <w:numId w:val="1"/>
        </w:numPr>
        <w:spacing w:before="24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Describir el problema detectado y el estado actual del dispositivo.</w:t>
        <w:br w:type="textWrapping"/>
      </w:r>
    </w:p>
    <w:p w:rsidR="00000000" w:rsidDel="00000000" w:rsidP="00000000" w:rsidRDefault="00000000" w:rsidRPr="00000000" w14:paraId="00000092">
      <w:pPr>
        <w:numPr>
          <w:ilvl w:val="0"/>
          <w:numId w:val="1"/>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Indicar las medidas correctivas y/o preventivas tomadas.</w:t>
        <w:br w:type="textWrapping"/>
      </w:r>
    </w:p>
    <w:p w:rsidR="00000000" w:rsidDel="00000000" w:rsidP="00000000" w:rsidRDefault="00000000" w:rsidRPr="00000000" w14:paraId="00000093">
      <w:pPr>
        <w:numPr>
          <w:ilvl w:val="0"/>
          <w:numId w:val="1"/>
        </w:numPr>
        <w:spacing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Si aplica, anexar los listados de dispositivos involucrados mediante el </w:t>
      </w:r>
      <w:r w:rsidDel="00000000" w:rsidR="00000000" w:rsidRPr="00000000">
        <w:rPr>
          <w:rFonts w:ascii="Century Gothic" w:cs="Century Gothic" w:eastAsia="Century Gothic" w:hAnsi="Century Gothic"/>
          <w:b w:val="1"/>
          <w:bCs w:val="1"/>
          <w:sz w:val="22"/>
          <w:szCs w:val="22"/>
          <w:rtl w:val="0"/>
        </w:rPr>
        <w:t xml:space="preserve">anexo L-RISARH-01</w:t>
      </w:r>
      <w:r w:rsidDel="00000000" w:rsidR="00000000" w:rsidRPr="00000000">
        <w:rPr>
          <w:rFonts w:ascii="Century Gothic" w:cs="Century Gothic" w:eastAsia="Century Gothic" w:hAnsi="Century Gothic"/>
          <w:sz w:val="22"/>
          <w:szCs w:val="22"/>
          <w:rtl w:val="0"/>
        </w:rPr>
        <w:t xml:space="preserve"> o </w:t>
      </w:r>
      <w:r w:rsidDel="00000000" w:rsidR="00000000" w:rsidRPr="00000000">
        <w:rPr>
          <w:rFonts w:ascii="Century Gothic" w:cs="Century Gothic" w:eastAsia="Century Gothic" w:hAnsi="Century Gothic"/>
          <w:b w:val="1"/>
          <w:bCs w:val="1"/>
          <w:sz w:val="22"/>
          <w:szCs w:val="22"/>
          <w:rtl w:val="0"/>
        </w:rPr>
        <w:t xml:space="preserve">L-RISARH-02</w:t>
      </w:r>
      <w:r w:rsidDel="00000000" w:rsidR="00000000" w:rsidRPr="00000000">
        <w:rPr>
          <w:rFonts w:ascii="Century Gothic" w:cs="Century Gothic" w:eastAsia="Century Gothic" w:hAnsi="Century Gothic"/>
          <w:sz w:val="22"/>
          <w:szCs w:val="22"/>
          <w:rtl w:val="0"/>
        </w:rPr>
        <w:t xml:space="preserve"> (en caso de hurto).</w:t>
        <w:br w:type="textWrapping"/>
      </w:r>
    </w:p>
    <w:p w:rsidR="00000000" w:rsidDel="00000000" w:rsidP="00000000" w:rsidRDefault="00000000" w:rsidRPr="00000000" w14:paraId="00000094">
      <w:pPr>
        <w:numPr>
          <w:ilvl w:val="0"/>
          <w:numId w:val="1"/>
        </w:numPr>
        <w:spacing w:after="24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Si hubo algún evento adverso relacionado, se debe complementar con la información correspondiente.</w:t>
        <w:br w:type="textWrapping"/>
      </w:r>
    </w:p>
    <w:p w:rsidR="00000000" w:rsidDel="00000000" w:rsidP="00000000" w:rsidRDefault="00000000" w:rsidRPr="00000000" w14:paraId="00000095">
      <w:pPr>
        <w:pStyle w:val="Heading4"/>
        <w:keepNext w:val="0"/>
        <w:keepLines w:val="0"/>
        <w:spacing w:line="276" w:lineRule="auto"/>
        <w:ind w:left="10" w:right="7" w:firstLine="0"/>
        <w:jc w:val="both"/>
        <w:rPr>
          <w:rFonts w:ascii="Century Gothic" w:cs="Century Gothic" w:eastAsia="Century Gothic" w:hAnsi="Century Gothic"/>
          <w:sz w:val="22"/>
          <w:szCs w:val="22"/>
        </w:rPr>
      </w:pPr>
      <w:bookmarkStart w:colFirst="0" w:colLast="0" w:name="_heading=h.50lqnbegmro" w:id="6"/>
      <w:bookmarkEnd w:id="6"/>
      <w:r w:rsidDel="00000000" w:rsidR="00000000" w:rsidRPr="00000000">
        <w:rPr>
          <w:rFonts w:ascii="Century Gothic" w:cs="Century Gothic" w:eastAsia="Century Gothic" w:hAnsi="Century Gothic"/>
          <w:sz w:val="22"/>
          <w:szCs w:val="22"/>
          <w:rtl w:val="0"/>
        </w:rPr>
        <w:t xml:space="preserve">¿Cómo y a dónde se reporta?</w:t>
      </w:r>
    </w:p>
    <w:p w:rsidR="00000000" w:rsidDel="00000000" w:rsidP="00000000" w:rsidRDefault="00000000" w:rsidRPr="00000000" w14:paraId="00000096">
      <w:pPr>
        <w:numPr>
          <w:ilvl w:val="0"/>
          <w:numId w:val="2"/>
        </w:numPr>
        <w:spacing w:before="24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El formulario debe ser enviado al correo electrónico oficial del INVIMA:</w:t>
        <w:br w:type="textWrapping"/>
        <w:t xml:space="preserve"> </w:t>
      </w:r>
      <w:r w:rsidDel="00000000" w:rsidR="00000000" w:rsidRPr="00000000">
        <w:rPr>
          <w:rFonts w:ascii="Century Gothic" w:cs="Century Gothic" w:eastAsia="Century Gothic" w:hAnsi="Century Gothic"/>
          <w:b w:val="1"/>
          <w:bCs w:val="1"/>
          <w:sz w:val="22"/>
          <w:szCs w:val="22"/>
          <w:rtl w:val="0"/>
        </w:rPr>
        <w:t xml:space="preserve">tecnovigilancia@invima.gov.co</w:t>
        <w:br w:type="textWrapping"/>
      </w:r>
      <w:r w:rsidDel="00000000" w:rsidR="00000000" w:rsidRPr="00000000">
        <w:rPr>
          <w:rtl w:val="0"/>
        </w:rPr>
      </w:r>
    </w:p>
    <w:p w:rsidR="00000000" w:rsidDel="00000000" w:rsidP="00000000" w:rsidRDefault="00000000" w:rsidRPr="00000000" w14:paraId="00000097">
      <w:pPr>
        <w:numPr>
          <w:ilvl w:val="0"/>
          <w:numId w:val="2"/>
        </w:numPr>
        <w:spacing w:after="24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mayor información o asesoría:</w:t>
        <w:br w:type="textWrapping"/>
        <w:t xml:space="preserve"> Teléfono INVIMA: (601) 2948700 ext. 3880</w:t>
      </w:r>
    </w:p>
    <w:p w:rsidR="00000000" w:rsidDel="00000000" w:rsidP="00000000" w:rsidRDefault="00000000" w:rsidRPr="00000000" w14:paraId="00000098">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99">
      <w:pPr>
        <w:keepNext w:val="0"/>
        <w:keepLines w:val="0"/>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6. </w:t>
      </w:r>
      <w:r w:rsidDel="00000000" w:rsidR="00000000" w:rsidRPr="00000000">
        <w:rPr>
          <w:rFonts w:ascii="Century Gothic" w:cs="Century Gothic" w:eastAsia="Century Gothic" w:hAnsi="Century Gothic"/>
          <w:b w:val="1"/>
          <w:bCs w:val="1"/>
          <w:sz w:val="22"/>
          <w:szCs w:val="22"/>
          <w:rtl w:val="0"/>
        </w:rPr>
        <w:t xml:space="preserve">GESTIÓN DEL PROGRAMA</w:t>
        <w:br w:type="textWrapping"/>
      </w:r>
    </w:p>
    <w:p w:rsidR="00000000" w:rsidDel="00000000" w:rsidP="00000000" w:rsidRDefault="00000000" w:rsidRPr="00000000" w14:paraId="0000009A">
      <w:pPr>
        <w:keepNext w:val="0"/>
        <w:keepLines w:val="0"/>
        <w:numPr>
          <w:ilvl w:val="0"/>
          <w:numId w:val="11"/>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ANÁLISIS Y SEGUIMIENTO</w:t>
      </w:r>
    </w:p>
    <w:p w:rsidR="00000000" w:rsidDel="00000000" w:rsidP="00000000" w:rsidRDefault="00000000" w:rsidRPr="00000000" w14:paraId="0000009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proceso de la investigación tendrá como base el sugerido en el Manual Operativo para la Implementación de Tecnovigilancia Proactiva en el contexto Colombiano del Invima.</w:t>
      </w:r>
    </w:p>
    <w:p w:rsidR="00000000" w:rsidDel="00000000" w:rsidP="00000000" w:rsidRDefault="00000000" w:rsidRPr="00000000" w14:paraId="0000009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Fuente: (INSTITUTO NACIONAL DE VIGILANCIA DE MEDICAMENTOS Y ALIMENTOS, 2015).</w:t>
      </w:r>
    </w:p>
    <w:p w:rsidR="00000000" w:rsidDel="00000000" w:rsidP="00000000" w:rsidRDefault="00000000" w:rsidRPr="00000000" w14:paraId="0000009D">
      <w:pPr>
        <w:keepNext w:val="0"/>
        <w:keepLines w:val="0"/>
        <w:numPr>
          <w:ilvl w:val="0"/>
          <w:numId w:val="23"/>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IDENTIFICAR EL INCIDENTE/EVENTO ADVERSO</w:t>
      </w:r>
    </w:p>
    <w:p w:rsidR="00000000" w:rsidDel="00000000" w:rsidP="00000000" w:rsidRDefault="00000000" w:rsidRPr="00000000" w14:paraId="0000009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Definir con exactitud el incidente o evento adverso acontecido que se requiere analizar, este debe plantearse de manera específica y concreta para que el análisis de las causas se oriente correctamente.</w:t>
      </w:r>
    </w:p>
    <w:p w:rsidR="00000000" w:rsidDel="00000000" w:rsidP="00000000" w:rsidRDefault="00000000" w:rsidRPr="00000000" w14:paraId="0000009F">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0">
      <w:pPr>
        <w:keepNext w:val="0"/>
        <w:keepLines w:val="0"/>
        <w:numPr>
          <w:ilvl w:val="0"/>
          <w:numId w:val="20"/>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RECOLECCIÓN DE INFORMACIÓN</w:t>
      </w:r>
    </w:p>
    <w:p w:rsidR="00000000" w:rsidDel="00000000" w:rsidP="00000000" w:rsidRDefault="00000000" w:rsidRPr="00000000" w14:paraId="000000A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realizar la recolección de información se va a seguir el siguiente protocolo en donde se tiene en cuenta las siguientes partes:</w:t>
      </w:r>
    </w:p>
    <w:p w:rsidR="00000000" w:rsidDel="00000000" w:rsidP="00000000" w:rsidRDefault="00000000" w:rsidRPr="00000000" w14:paraId="000000A2">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3">
      <w:pPr>
        <w:keepNext w:val="0"/>
        <w:keepLines w:val="0"/>
        <w:numPr>
          <w:ilvl w:val="0"/>
          <w:numId w:val="8"/>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PERSONAS</w:t>
      </w:r>
    </w:p>
    <w:p w:rsidR="00000000" w:rsidDel="00000000" w:rsidP="00000000" w:rsidRDefault="00000000" w:rsidRPr="00000000" w14:paraId="000000A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realizarán entrevistas a las personas involucradas en el incidente/evento, testigos y colaboradores que puedan aportar datos importantes en la investigación. Uno de los pasos base de la investigación es la identificación de los testigos, a los cuales se les debe hacer una entrevista en forma individual, apropiada con preguntas claras y una retroalimentación que le permita dar una información verídica. </w:t>
      </w:r>
    </w:p>
    <w:p w:rsidR="00000000" w:rsidDel="00000000" w:rsidP="00000000" w:rsidRDefault="00000000" w:rsidRPr="00000000" w14:paraId="000000A5">
      <w:pPr>
        <w:pStyle w:val="Heading3"/>
        <w:keepNext w:val="0"/>
        <w:keepLines w:val="0"/>
        <w:numPr>
          <w:ilvl w:val="0"/>
          <w:numId w:val="19"/>
        </w:numPr>
        <w:spacing w:line="276" w:lineRule="auto"/>
        <w:ind w:left="720" w:hanging="360"/>
        <w:jc w:val="both"/>
        <w:rPr>
          <w:rFonts w:ascii="Century Gothic" w:cs="Century Gothic" w:eastAsia="Century Gothic" w:hAnsi="Century Gothic"/>
          <w:b w:val="0"/>
          <w:bCs w:val="0"/>
          <w:sz w:val="22"/>
          <w:szCs w:val="22"/>
        </w:rPr>
      </w:pPr>
      <w:bookmarkStart w:colFirst="0" w:colLast="0" w:name="_heading=h.oojvxrjhjnpb" w:id="7"/>
      <w:bookmarkEnd w:id="7"/>
      <w:r w:rsidDel="00000000" w:rsidR="00000000" w:rsidRPr="00000000">
        <w:rPr>
          <w:rFonts w:ascii="Century Gothic" w:cs="Century Gothic" w:eastAsia="Century Gothic" w:hAnsi="Century Gothic"/>
          <w:b w:val="0"/>
          <w:bCs w:val="0"/>
          <w:sz w:val="22"/>
          <w:szCs w:val="22"/>
          <w:rtl w:val="0"/>
        </w:rPr>
        <w:t xml:space="preserve">PARTES (dispositivos médicos, herramientas, condiciones)</w:t>
      </w:r>
    </w:p>
    <w:p w:rsidR="00000000" w:rsidDel="00000000" w:rsidP="00000000" w:rsidRDefault="00000000" w:rsidRPr="00000000" w14:paraId="000000A6">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esta etapa es importante revisar todos los dispositivos médicos, herramientas, y/o condiciones locativas, que estuvieron involucrados en el incidente/evento. Se debe identificar si pudo haber alguna falla en el funcionamiento, el mantenimiento, la locación, el manejo del dispositivo, etc. A menudo, las acciones de las personas son el resultado del uso de dispositivos médicos o herramientas en mal estado o inadecuado.</w:t>
      </w:r>
    </w:p>
    <w:p w:rsidR="00000000" w:rsidDel="00000000" w:rsidP="00000000" w:rsidRDefault="00000000" w:rsidRPr="00000000" w14:paraId="000000A7">
      <w:pPr>
        <w:pStyle w:val="Heading3"/>
        <w:keepNext w:val="0"/>
        <w:keepLines w:val="0"/>
        <w:numPr>
          <w:ilvl w:val="0"/>
          <w:numId w:val="15"/>
        </w:numPr>
        <w:spacing w:line="276" w:lineRule="auto"/>
        <w:ind w:left="720" w:hanging="360"/>
        <w:jc w:val="both"/>
        <w:rPr>
          <w:rFonts w:ascii="Century Gothic" w:cs="Century Gothic" w:eastAsia="Century Gothic" w:hAnsi="Century Gothic"/>
          <w:b w:val="0"/>
          <w:bCs w:val="0"/>
          <w:sz w:val="22"/>
          <w:szCs w:val="22"/>
        </w:rPr>
      </w:pPr>
      <w:bookmarkStart w:colFirst="0" w:colLast="0" w:name="_heading=h.hwmxgh3tcgjq" w:id="8"/>
      <w:bookmarkEnd w:id="8"/>
      <w:r w:rsidDel="00000000" w:rsidR="00000000" w:rsidRPr="00000000">
        <w:rPr>
          <w:rFonts w:ascii="Century Gothic" w:cs="Century Gothic" w:eastAsia="Century Gothic" w:hAnsi="Century Gothic"/>
          <w:b w:val="0"/>
          <w:bCs w:val="0"/>
          <w:sz w:val="22"/>
          <w:szCs w:val="22"/>
          <w:rtl w:val="0"/>
        </w:rPr>
        <w:t xml:space="preserve">DOCUMENTOS (Revisión de la documentación)</w:t>
      </w:r>
    </w:p>
    <w:p w:rsidR="00000000" w:rsidDel="00000000" w:rsidP="00000000" w:rsidRDefault="00000000" w:rsidRPr="00000000" w14:paraId="000000A8">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documentos aportan información valiosa relacionada directa o indirectamente con la ocurrencia del incidente/evento, permitiendo identificar algunas de las causas raíz de este.</w:t>
      </w:r>
    </w:p>
    <w:p w:rsidR="00000000" w:rsidDel="00000000" w:rsidP="00000000" w:rsidRDefault="00000000" w:rsidRPr="00000000" w14:paraId="000000A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documentos para revisar están asociados a actas de reuniones, cronogramas de trabajo y mantenimiento, registros de capacitación del personal, investigaciones de eventos similares o de la misma área, inspecciones de seguridad realizada en el área, estándares de seguridad o procedimientos de trabajo seguro, vigilancia pre-mercadeo del dispositivo médico involucrado, seguimiento a alertas emitidas en el INVIMA, entre otros.</w:t>
      </w:r>
    </w:p>
    <w:p w:rsidR="00000000" w:rsidDel="00000000" w:rsidP="00000000" w:rsidRDefault="00000000" w:rsidRPr="00000000" w14:paraId="000000AA">
      <w:pPr>
        <w:pStyle w:val="Heading2"/>
        <w:keepNext w:val="0"/>
        <w:keepLines w:val="0"/>
        <w:spacing w:line="276" w:lineRule="auto"/>
        <w:jc w:val="both"/>
        <w:rPr>
          <w:rFonts w:ascii="Century Gothic" w:cs="Century Gothic" w:eastAsia="Century Gothic" w:hAnsi="Century Gothic"/>
          <w:sz w:val="22"/>
          <w:szCs w:val="22"/>
        </w:rPr>
      </w:pPr>
      <w:bookmarkStart w:colFirst="0" w:colLast="0" w:name="_heading=h.eb0g26mu15bz" w:id="9"/>
      <w:bookmarkEnd w:id="9"/>
      <w:r w:rsidDel="00000000" w:rsidR="00000000" w:rsidRPr="00000000">
        <w:rPr>
          <w:rFonts w:ascii="Century Gothic" w:cs="Century Gothic" w:eastAsia="Century Gothic" w:hAnsi="Century Gothic"/>
          <w:sz w:val="22"/>
          <w:szCs w:val="22"/>
          <w:rtl w:val="0"/>
        </w:rPr>
        <w:t xml:space="preserve">7. ANALIZAR Y PRIORIZAR LA CAUSALIDAD</w:t>
      </w:r>
    </w:p>
    <w:p w:rsidR="00000000" w:rsidDel="00000000" w:rsidP="00000000" w:rsidRDefault="00000000" w:rsidRPr="00000000" w14:paraId="000000A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ENDOCRINOLOGY &amp; HEALTH la metodología a implementar para el análisis de causas de este tipo de sucesos es el PROTOCOLO DE LONDRES, en este inicialmente se deben determinar las acciones inseguras y después de analizar cada una de ellas definir los factores contribuyentes asociados y así concluir con un plan de acción adecuado a la situación presentada, con el fin de prevenir su incidencia. </w:t>
      </w:r>
    </w:p>
    <w:p w:rsidR="00000000" w:rsidDel="00000000" w:rsidP="00000000" w:rsidRDefault="00000000" w:rsidRPr="00000000" w14:paraId="000000AC">
      <w:pPr>
        <w:spacing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Pr>
        <w:drawing>
          <wp:inline distB="114300" distT="114300" distL="114300" distR="114300">
            <wp:extent cx="3114562" cy="1415047"/>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14562" cy="141504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Fuente: (Instituto Nacional de Vigilancia de Medicamentos y Alimentos).</w:t>
      </w:r>
    </w:p>
    <w:p w:rsidR="00000000" w:rsidDel="00000000" w:rsidP="00000000" w:rsidRDefault="00000000" w:rsidRPr="00000000" w14:paraId="000000AE">
      <w:pPr>
        <w:keepNext w:val="0"/>
        <w:keepLines w:val="0"/>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AF">
      <w:pPr>
        <w:keepNext w:val="0"/>
        <w:keepLines w:val="0"/>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8. PLAN DE MEJORA Y SEGUIMIENTO</w:t>
      </w:r>
    </w:p>
    <w:p w:rsidR="00000000" w:rsidDel="00000000" w:rsidP="00000000" w:rsidRDefault="00000000" w:rsidRPr="00000000" w14:paraId="000000B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Una vez identificada la causalidad del incidente/evento adverso, se generará el plan de acción a implementar, dando cubrimiento a la totalidad de causas relacionadas, con el fin de mejorar las debilidades halladas.</w:t>
      </w:r>
    </w:p>
    <w:p w:rsidR="00000000" w:rsidDel="00000000" w:rsidP="00000000" w:rsidRDefault="00000000" w:rsidRPr="00000000" w14:paraId="000000B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plan de acción debe incluir:</w:t>
      </w:r>
    </w:p>
    <w:p w:rsidR="00000000" w:rsidDel="00000000" w:rsidP="00000000" w:rsidRDefault="00000000" w:rsidRPr="00000000" w14:paraId="000000B2">
      <w:pPr>
        <w:numPr>
          <w:ilvl w:val="0"/>
          <w:numId w:val="9"/>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Priorización de las causas de acuerdo con su impacto sobre la seguridad futura de los usuarios.</w:t>
      </w:r>
    </w:p>
    <w:p w:rsidR="00000000" w:rsidDel="00000000" w:rsidP="00000000" w:rsidRDefault="00000000" w:rsidRPr="00000000" w14:paraId="000000B3">
      <w:pPr>
        <w:numPr>
          <w:ilvl w:val="0"/>
          <w:numId w:val="9"/>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Lista de acciones para enfrentar cada causa identificada.</w:t>
      </w:r>
    </w:p>
    <w:p w:rsidR="00000000" w:rsidDel="00000000" w:rsidP="00000000" w:rsidRDefault="00000000" w:rsidRPr="00000000" w14:paraId="000000B4">
      <w:pPr>
        <w:numPr>
          <w:ilvl w:val="0"/>
          <w:numId w:val="9"/>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Asignar un responsable de implementar las acciones.</w:t>
      </w:r>
    </w:p>
    <w:p w:rsidR="00000000" w:rsidDel="00000000" w:rsidP="00000000" w:rsidRDefault="00000000" w:rsidRPr="00000000" w14:paraId="000000B5">
      <w:pPr>
        <w:numPr>
          <w:ilvl w:val="0"/>
          <w:numId w:val="9"/>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Definir el tiempo de implementación de las acciones.</w:t>
      </w:r>
    </w:p>
    <w:p w:rsidR="00000000" w:rsidDel="00000000" w:rsidP="00000000" w:rsidRDefault="00000000" w:rsidRPr="00000000" w14:paraId="000000B6">
      <w:pPr>
        <w:numPr>
          <w:ilvl w:val="0"/>
          <w:numId w:val="9"/>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Identificar y asignar los recursos necesarios.</w:t>
      </w:r>
    </w:p>
    <w:p w:rsidR="00000000" w:rsidDel="00000000" w:rsidP="00000000" w:rsidRDefault="00000000" w:rsidRPr="00000000" w14:paraId="000000B7">
      <w:pPr>
        <w:numPr>
          <w:ilvl w:val="0"/>
          <w:numId w:val="9"/>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Cierre formal cuando la implementación se haya efectuado.</w:t>
      </w:r>
    </w:p>
    <w:p w:rsidR="00000000" w:rsidDel="00000000" w:rsidP="00000000" w:rsidRDefault="00000000" w:rsidRPr="00000000" w14:paraId="000000B8">
      <w:pPr>
        <w:numPr>
          <w:ilvl w:val="0"/>
          <w:numId w:val="9"/>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Fijar fecha de seguimiento para evaluar la efectividad del plan de acción.</w:t>
      </w:r>
    </w:p>
    <w:p w:rsidR="00000000" w:rsidDel="00000000" w:rsidP="00000000" w:rsidRDefault="00000000" w:rsidRPr="00000000" w14:paraId="000000B9">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B">
      <w:pPr>
        <w:keepNext w:val="0"/>
        <w:keepLines w:val="0"/>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9. DIVULGACION A LOS INTERESADOS </w:t>
      </w:r>
    </w:p>
    <w:p w:rsidR="00000000" w:rsidDel="00000000" w:rsidP="00000000" w:rsidRDefault="00000000" w:rsidRPr="00000000" w14:paraId="000000B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Posterior a la investigación del suceso teniendo en cuenta su causalidad y efectos, se realizará una socialización de los resultados encontrados del líder de tecnovigilancia y el comité de seguridad del paciente, en busca de sensibilizar a los demás colaboradores en cuanto a factores de riesgo desencadenantes del evento y estrategias de intervención, con el fin de evitar la materialización de un nuevo caso.</w:t>
      </w:r>
    </w:p>
    <w:p w:rsidR="00000000" w:rsidDel="00000000" w:rsidP="00000000" w:rsidRDefault="00000000" w:rsidRPr="00000000" w14:paraId="000000BD">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este, se debe hacer una descripción de lo ocurrido donde se menciona:</w:t>
      </w:r>
    </w:p>
    <w:p w:rsidR="00000000" w:rsidDel="00000000" w:rsidP="00000000" w:rsidRDefault="00000000" w:rsidRPr="00000000" w14:paraId="000000BE">
      <w:pPr>
        <w:numPr>
          <w:ilvl w:val="0"/>
          <w:numId w:val="13"/>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paso (descripción del evento).</w:t>
      </w:r>
    </w:p>
    <w:p w:rsidR="00000000" w:rsidDel="00000000" w:rsidP="00000000" w:rsidRDefault="00000000" w:rsidRPr="00000000" w14:paraId="000000BF">
      <w:pPr>
        <w:numPr>
          <w:ilvl w:val="0"/>
          <w:numId w:val="13"/>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fallo (causas).</w:t>
      </w:r>
    </w:p>
    <w:p w:rsidR="00000000" w:rsidDel="00000000" w:rsidP="00000000" w:rsidRDefault="00000000" w:rsidRPr="00000000" w14:paraId="000000C0">
      <w:pPr>
        <w:numPr>
          <w:ilvl w:val="0"/>
          <w:numId w:val="13"/>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Efectos (alteración en la persona, medio ambiente, procesos y economía de la empresa).</w:t>
      </w:r>
    </w:p>
    <w:p w:rsidR="00000000" w:rsidDel="00000000" w:rsidP="00000000" w:rsidRDefault="00000000" w:rsidRPr="00000000" w14:paraId="000000C1">
      <w:pPr>
        <w:numPr>
          <w:ilvl w:val="0"/>
          <w:numId w:val="13"/>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Medidas de control a implementar (acciones de mejora).</w:t>
      </w:r>
    </w:p>
    <w:p w:rsidR="00000000" w:rsidDel="00000000" w:rsidP="00000000" w:rsidRDefault="00000000" w:rsidRPr="00000000" w14:paraId="000000C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C3">
      <w:pPr>
        <w:keepNext w:val="0"/>
        <w:keepLines w:val="0"/>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10. CAPACITACIÓN</w:t>
      </w:r>
    </w:p>
    <w:p w:rsidR="00000000" w:rsidDel="00000000" w:rsidP="00000000" w:rsidRDefault="00000000" w:rsidRPr="00000000" w14:paraId="000000C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institución dentro del programa de capacitación, incluye actividades de inducción y reinducción al personal asistencial y/o administrativo sobre el programa de tecnovigilancia e incentiva el reporte de eventos o incidentes adversos relacionados con el uso de dispositivos médicos.</w:t>
      </w:r>
    </w:p>
    <w:p w:rsidR="00000000" w:rsidDel="00000000" w:rsidP="00000000" w:rsidRDefault="00000000" w:rsidRPr="00000000" w14:paraId="000000C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Así mismo realiza la promoción del programa por medio de información divulgada en la intranet.</w:t>
      </w:r>
    </w:p>
    <w:p w:rsidR="00000000" w:rsidDel="00000000" w:rsidP="00000000" w:rsidRDefault="00000000" w:rsidRPr="00000000" w14:paraId="000000C6">
      <w:pPr>
        <w:spacing w:after="160"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C7">
      <w:pPr>
        <w:spacing w:after="160"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11. INDICADORES DE TECNOVIGILANCIA</w:t>
      </w:r>
    </w:p>
    <w:p w:rsidR="00000000" w:rsidDel="00000000" w:rsidP="00000000" w:rsidRDefault="00000000" w:rsidRPr="00000000" w14:paraId="000000C8">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parte del proceso de seguimiento al desarrollo y efectividad del programa de tecnovigilancia de ENDOCRINOLOGY &amp; HEALTH, se tendrán en cuenta los siguientes indicadores:</w:t>
      </w:r>
    </w:p>
    <w:p w:rsidR="00000000" w:rsidDel="00000000" w:rsidP="00000000" w:rsidRDefault="00000000" w:rsidRPr="00000000" w14:paraId="000000C9">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A">
      <w:pPr>
        <w:spacing w:after="200" w:line="276" w:lineRule="auto"/>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Tabla 2. Indicadores</w:t>
      </w:r>
    </w:p>
    <w:tbl>
      <w:tblPr>
        <w:tblStyle w:val="Table3"/>
        <w:tblW w:w="9075.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2070"/>
        <w:gridCol w:w="2775"/>
        <w:gridCol w:w="1545"/>
        <w:gridCol w:w="945"/>
        <w:tblGridChange w:id="0">
          <w:tblGrid>
            <w:gridCol w:w="1740"/>
            <w:gridCol w:w="2070"/>
            <w:gridCol w:w="2775"/>
            <w:gridCol w:w="1545"/>
            <w:gridCol w:w="945"/>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Nombre del indicador</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Descripción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Fórmula</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Frecuencia de medición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spacing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Meta</w:t>
            </w:r>
          </w:p>
        </w:tc>
      </w:tr>
      <w:tr>
        <w:trPr>
          <w:cantSplit w:val="0"/>
          <w:trHeight w:val="15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Gestión de incidentes y eventos adversos </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Incidentes o eventos adversos con dispositivos médicos</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Número de I/EA reportados en el periodo * 100 / Número total de usuarios atendidos en el periodo</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Mensual</w:t>
            </w:r>
          </w:p>
        </w:tc>
        <w:tc>
          <w:tcPr>
            <w:tcBorders>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90%</w:t>
            </w:r>
          </w:p>
        </w:tc>
      </w:tr>
    </w:tbl>
    <w:p w:rsidR="00000000" w:rsidDel="00000000" w:rsidP="00000000" w:rsidRDefault="00000000" w:rsidRPr="00000000" w14:paraId="000000D5">
      <w:pPr>
        <w:spacing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ffffff"/>
          <w:sz w:val="22"/>
          <w:szCs w:val="22"/>
          <w:rtl w:val="0"/>
        </w:rPr>
        <w:t xml:space="preserve">Fuente: Autor</w:t>
      </w:r>
      <w:r w:rsidDel="00000000" w:rsidR="00000000" w:rsidRPr="00000000">
        <w:rPr>
          <w:rtl w:val="0"/>
        </w:rPr>
      </w:r>
    </w:p>
    <w:p w:rsidR="00000000" w:rsidDel="00000000" w:rsidP="00000000" w:rsidRDefault="00000000" w:rsidRPr="00000000" w14:paraId="000000D6">
      <w:pPr>
        <w:keepNext w:val="0"/>
        <w:keepLines w:val="0"/>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12. BIBLIOGRAFÍA</w:t>
      </w:r>
    </w:p>
    <w:p w:rsidR="00000000" w:rsidDel="00000000" w:rsidP="00000000" w:rsidRDefault="00000000" w:rsidRPr="00000000" w14:paraId="000000D7">
      <w:pPr>
        <w:keepNext w:val="0"/>
        <w:keepLines w:val="0"/>
        <w:spacing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8">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CENETEC. (2016). </w:t>
      </w:r>
      <w:r w:rsidDel="00000000" w:rsidR="00000000" w:rsidRPr="00000000">
        <w:rPr>
          <w:rFonts w:ascii="Century Gothic" w:cs="Century Gothic" w:eastAsia="Century Gothic" w:hAnsi="Century Gothic"/>
          <w:i w:val="1"/>
          <w:iCs w:val="1"/>
          <w:sz w:val="20"/>
          <w:szCs w:val="20"/>
          <w:rtl w:val="0"/>
        </w:rPr>
        <w:t xml:space="preserve">Glosario de gestión de equipo médico.</w:t>
      </w:r>
      <w:r w:rsidDel="00000000" w:rsidR="00000000" w:rsidRPr="00000000">
        <w:rPr>
          <w:rFonts w:ascii="Century Gothic" w:cs="Century Gothic" w:eastAsia="Century Gothic" w:hAnsi="Century Gothic"/>
          <w:sz w:val="20"/>
          <w:szCs w:val="20"/>
          <w:rtl w:val="0"/>
        </w:rPr>
        <w:t xml:space="preserve"> Obtenido de http://www.cenetec.salud.gob.mx/descargas/equipoMedico/IB_Publicacion_Glosario_8_27Jun16.pdf</w:t>
      </w:r>
      <w:r w:rsidDel="00000000" w:rsidR="00000000" w:rsidRPr="00000000">
        <w:rPr>
          <w:rtl w:val="0"/>
        </w:rPr>
      </w:r>
    </w:p>
    <w:p w:rsidR="00000000" w:rsidDel="00000000" w:rsidP="00000000" w:rsidRDefault="00000000" w:rsidRPr="00000000" w14:paraId="000000D9">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Centro Nacional de Excelencia Tecnólogica en Salud. (2016). </w:t>
      </w:r>
      <w:r w:rsidDel="00000000" w:rsidR="00000000" w:rsidRPr="00000000">
        <w:rPr>
          <w:rFonts w:ascii="Century Gothic" w:cs="Century Gothic" w:eastAsia="Century Gothic" w:hAnsi="Century Gothic"/>
          <w:i w:val="1"/>
          <w:iCs w:val="1"/>
          <w:sz w:val="20"/>
          <w:szCs w:val="20"/>
          <w:rtl w:val="0"/>
        </w:rPr>
        <w:t xml:space="preserve">Glosario de Gestión de Equipo Médico.</w:t>
      </w:r>
      <w:r w:rsidDel="00000000" w:rsidR="00000000" w:rsidRPr="00000000">
        <w:rPr>
          <w:rFonts w:ascii="Century Gothic" w:cs="Century Gothic" w:eastAsia="Century Gothic" w:hAnsi="Century Gothic"/>
          <w:sz w:val="20"/>
          <w:szCs w:val="20"/>
          <w:rtl w:val="0"/>
        </w:rPr>
        <w:t xml:space="preserve"> Obtenido de http://www.cenetec.salud.gob.mx/descargas/equipoMedico/IB_Publicacion_Glosario_8_27Jun16.pdf</w:t>
      </w:r>
      <w:r w:rsidDel="00000000" w:rsidR="00000000" w:rsidRPr="00000000">
        <w:rPr>
          <w:rtl w:val="0"/>
        </w:rPr>
      </w:r>
    </w:p>
    <w:p w:rsidR="00000000" w:rsidDel="00000000" w:rsidP="00000000" w:rsidRDefault="00000000" w:rsidRPr="00000000" w14:paraId="000000DA">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Congreso de Colombia. (1979). </w:t>
      </w:r>
      <w:r w:rsidDel="00000000" w:rsidR="00000000" w:rsidRPr="00000000">
        <w:rPr>
          <w:rFonts w:ascii="Century Gothic" w:cs="Century Gothic" w:eastAsia="Century Gothic" w:hAnsi="Century Gothic"/>
          <w:i w:val="1"/>
          <w:iCs w:val="1"/>
          <w:sz w:val="20"/>
          <w:szCs w:val="20"/>
          <w:rtl w:val="0"/>
        </w:rPr>
        <w:t xml:space="preserve">Ley 9 de 1979, Por la cual se dictan Medidas Sanitarias.</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DB">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CONGRESO DE COLOMBIA. (2008). </w:t>
      </w:r>
      <w:r w:rsidDel="00000000" w:rsidR="00000000" w:rsidRPr="00000000">
        <w:rPr>
          <w:rFonts w:ascii="Century Gothic" w:cs="Century Gothic" w:eastAsia="Century Gothic" w:hAnsi="Century Gothic"/>
          <w:i w:val="1"/>
          <w:iCs w:val="1"/>
          <w:sz w:val="20"/>
          <w:szCs w:val="20"/>
          <w:rtl w:val="0"/>
        </w:rPr>
        <w:t xml:space="preserve">Ley 1252 del 2008, Por la cual se dictan normas prohibitivas en materia ambiental, referentes a los residuos y desechos peligrosos y se dictan otras disposiciones.</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DC">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CONGRESO DE LA REPUBLICA DE COLOMBIA. (1993). </w:t>
      </w:r>
      <w:r w:rsidDel="00000000" w:rsidR="00000000" w:rsidRPr="00000000">
        <w:rPr>
          <w:rFonts w:ascii="Century Gothic" w:cs="Century Gothic" w:eastAsia="Century Gothic" w:hAnsi="Century Gothic"/>
          <w:i w:val="1"/>
          <w:iCs w:val="1"/>
          <w:sz w:val="20"/>
          <w:szCs w:val="20"/>
          <w:rtl w:val="0"/>
        </w:rPr>
        <w:t xml:space="preserve">LEY 100 DE 1993.</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DD">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Dirección de Medicamentos y Tecnologías en Salud. (Mayo de 2015). </w:t>
      </w:r>
      <w:r w:rsidDel="00000000" w:rsidR="00000000" w:rsidRPr="00000000">
        <w:rPr>
          <w:rFonts w:ascii="Century Gothic" w:cs="Century Gothic" w:eastAsia="Century Gothic" w:hAnsi="Century Gothic"/>
          <w:i w:val="1"/>
          <w:iCs w:val="1"/>
          <w:sz w:val="20"/>
          <w:szCs w:val="20"/>
          <w:rtl w:val="0"/>
        </w:rPr>
        <w:t xml:space="preserve">Guía rápida para las mediciones de equipos biomédicos.</w:t>
      </w:r>
      <w:r w:rsidDel="00000000" w:rsidR="00000000" w:rsidRPr="00000000">
        <w:rPr>
          <w:rFonts w:ascii="Century Gothic" w:cs="Century Gothic" w:eastAsia="Century Gothic" w:hAnsi="Century Gothic"/>
          <w:sz w:val="20"/>
          <w:szCs w:val="20"/>
          <w:rtl w:val="0"/>
        </w:rPr>
        <w:t xml:space="preserve">Obtenido de https://www.minsalud.gov.co/sites/rid/Lists/BibliotecaDigital/RIDE/VS/MET/guia-rapida-para-las-mediciones-en-equipos-biomedicos-v05282015.pdf</w:t>
      </w:r>
      <w:r w:rsidDel="00000000" w:rsidR="00000000" w:rsidRPr="00000000">
        <w:rPr>
          <w:rtl w:val="0"/>
        </w:rPr>
      </w:r>
    </w:p>
    <w:p w:rsidR="00000000" w:rsidDel="00000000" w:rsidP="00000000" w:rsidRDefault="00000000" w:rsidRPr="00000000" w14:paraId="000000DE">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Gerizim SST. (2020). </w:t>
      </w:r>
      <w:r w:rsidDel="00000000" w:rsidR="00000000" w:rsidRPr="00000000">
        <w:rPr>
          <w:rFonts w:ascii="Century Gothic" w:cs="Century Gothic" w:eastAsia="Century Gothic" w:hAnsi="Century Gothic"/>
          <w:i w:val="1"/>
          <w:iCs w:val="1"/>
          <w:sz w:val="20"/>
          <w:szCs w:val="20"/>
          <w:rtl w:val="0"/>
        </w:rPr>
        <w:t xml:space="preserve">IN-FO-032 FORMATO CRONOGRAMA DE CALIBRACIÓN .</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DF">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GERIZIM SST. (2021). </w:t>
      </w:r>
      <w:r w:rsidDel="00000000" w:rsidR="00000000" w:rsidRPr="00000000">
        <w:rPr>
          <w:rFonts w:ascii="Century Gothic" w:cs="Century Gothic" w:eastAsia="Century Gothic" w:hAnsi="Century Gothic"/>
          <w:i w:val="1"/>
          <w:iCs w:val="1"/>
          <w:sz w:val="20"/>
          <w:szCs w:val="20"/>
          <w:rtl w:val="0"/>
        </w:rPr>
        <w:t xml:space="preserve">PLAN DE GESTIÓN INTEGRAL DE RESIDUOS HOSPITALARIOS.</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0">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Instituto Colombiano de Normas Técnicas y Certificación. (1997). </w:t>
      </w:r>
      <w:r w:rsidDel="00000000" w:rsidR="00000000" w:rsidRPr="00000000">
        <w:rPr>
          <w:rFonts w:ascii="Century Gothic" w:cs="Century Gothic" w:eastAsia="Century Gothic" w:hAnsi="Century Gothic"/>
          <w:i w:val="1"/>
          <w:iCs w:val="1"/>
          <w:sz w:val="20"/>
          <w:szCs w:val="20"/>
          <w:rtl w:val="0"/>
        </w:rPr>
        <w:t xml:space="preserve">GUIA TECNICA COLOMBIANA GTC 34 - GUIA ESTRUCTURADA BASICA DEL PROGRAMA DE SALUD OCUPACIONAL.</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1">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Jiménez Rodríguez, L. A. (2007). </w:t>
      </w:r>
      <w:r w:rsidDel="00000000" w:rsidR="00000000" w:rsidRPr="00000000">
        <w:rPr>
          <w:rFonts w:ascii="Century Gothic" w:cs="Century Gothic" w:eastAsia="Century Gothic" w:hAnsi="Century Gothic"/>
          <w:i w:val="1"/>
          <w:iCs w:val="1"/>
          <w:sz w:val="20"/>
          <w:szCs w:val="20"/>
          <w:rtl w:val="0"/>
        </w:rPr>
        <w:t xml:space="preserve">METROLOGÍA INDUSTRIAL, SISTEMAS DE MEDICIÓN Y ASEGURAMIENTO METROLÓGICO.</w:t>
      </w:r>
      <w:r w:rsidDel="00000000" w:rsidR="00000000" w:rsidRPr="00000000">
        <w:rPr>
          <w:rFonts w:ascii="Century Gothic" w:cs="Century Gothic" w:eastAsia="Century Gothic" w:hAnsi="Century Gothic"/>
          <w:sz w:val="20"/>
          <w:szCs w:val="20"/>
          <w:rtl w:val="0"/>
        </w:rPr>
        <w:t xml:space="preserve">Bogotá: UPTC.</w:t>
      </w:r>
      <w:r w:rsidDel="00000000" w:rsidR="00000000" w:rsidRPr="00000000">
        <w:rPr>
          <w:rtl w:val="0"/>
        </w:rPr>
      </w:r>
    </w:p>
    <w:p w:rsidR="00000000" w:rsidDel="00000000" w:rsidP="00000000" w:rsidRDefault="00000000" w:rsidRPr="00000000" w14:paraId="000000E2">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Comercio, Industria y turismo. (5 de Agosto de 2014). </w:t>
      </w:r>
      <w:r w:rsidDel="00000000" w:rsidR="00000000" w:rsidRPr="00000000">
        <w:rPr>
          <w:rFonts w:ascii="Century Gothic" w:cs="Century Gothic" w:eastAsia="Century Gothic" w:hAnsi="Century Gothic"/>
          <w:i w:val="1"/>
          <w:iCs w:val="1"/>
          <w:sz w:val="20"/>
          <w:szCs w:val="20"/>
          <w:rtl w:val="0"/>
        </w:rPr>
        <w:t xml:space="preserve">Decreto 1471 de 2014.</w:t>
      </w:r>
      <w:r w:rsidDel="00000000" w:rsidR="00000000" w:rsidRPr="00000000">
        <w:rPr>
          <w:rFonts w:ascii="Century Gothic" w:cs="Century Gothic" w:eastAsia="Century Gothic" w:hAnsi="Century Gothic"/>
          <w:sz w:val="20"/>
          <w:szCs w:val="20"/>
          <w:rtl w:val="0"/>
        </w:rPr>
        <w:t xml:space="preserve"> Obtenido de https://www.mincit.gov.co/getattachment/0f3228ab-1d0e-49e6-91c5-22875d1c5d85/Decreto-1471-de-2014-Por-el-cual-se-reorganiza-el.aspx</w:t>
      </w:r>
      <w:r w:rsidDel="00000000" w:rsidR="00000000" w:rsidRPr="00000000">
        <w:rPr>
          <w:rtl w:val="0"/>
        </w:rPr>
      </w:r>
    </w:p>
    <w:p w:rsidR="00000000" w:rsidDel="00000000" w:rsidP="00000000" w:rsidRDefault="00000000" w:rsidRPr="00000000" w14:paraId="000000E3">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Comercio, Industria y Turismo. (26 de Mayo de 2015). </w:t>
      </w:r>
      <w:r w:rsidDel="00000000" w:rsidR="00000000" w:rsidRPr="00000000">
        <w:rPr>
          <w:rFonts w:ascii="Century Gothic" w:cs="Century Gothic" w:eastAsia="Century Gothic" w:hAnsi="Century Gothic"/>
          <w:i w:val="1"/>
          <w:iCs w:val="1"/>
          <w:sz w:val="20"/>
          <w:szCs w:val="20"/>
          <w:rtl w:val="0"/>
        </w:rPr>
        <w:t xml:space="preserve">Decreto 1074 de 2015.</w:t>
      </w:r>
      <w:r w:rsidDel="00000000" w:rsidR="00000000" w:rsidRPr="00000000">
        <w:rPr>
          <w:rFonts w:ascii="Century Gothic" w:cs="Century Gothic" w:eastAsia="Century Gothic" w:hAnsi="Century Gothic"/>
          <w:sz w:val="20"/>
          <w:szCs w:val="20"/>
          <w:rtl w:val="0"/>
        </w:rPr>
        <w:t xml:space="preserve"> Obtenido de http://wp.presidencia.gov.co/sitios/normativa/decretos/2015/Decretos2015/DECRETO%201074%20DEL%2026%20DE%20MAYO%20DE%202015.pdf</w:t>
      </w:r>
      <w:r w:rsidDel="00000000" w:rsidR="00000000" w:rsidRPr="00000000">
        <w:rPr>
          <w:rtl w:val="0"/>
        </w:rPr>
      </w:r>
    </w:p>
    <w:p w:rsidR="00000000" w:rsidDel="00000000" w:rsidP="00000000" w:rsidRDefault="00000000" w:rsidRPr="00000000" w14:paraId="000000E4">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COMERCIO, INDUSTRIA Y TURISMO. (2015). </w:t>
      </w:r>
      <w:r w:rsidDel="00000000" w:rsidR="00000000" w:rsidRPr="00000000">
        <w:rPr>
          <w:rFonts w:ascii="Century Gothic" w:cs="Century Gothic" w:eastAsia="Century Gothic" w:hAnsi="Century Gothic"/>
          <w:i w:val="1"/>
          <w:iCs w:val="1"/>
          <w:sz w:val="20"/>
          <w:szCs w:val="20"/>
          <w:rtl w:val="0"/>
        </w:rPr>
        <w:t xml:space="preserve">Decreto 1595 de 2015.</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5">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la Protección Social. (26 de Diciembre de 2005). </w:t>
      </w:r>
      <w:r w:rsidDel="00000000" w:rsidR="00000000" w:rsidRPr="00000000">
        <w:rPr>
          <w:rFonts w:ascii="Century Gothic" w:cs="Century Gothic" w:eastAsia="Century Gothic" w:hAnsi="Century Gothic"/>
          <w:i w:val="1"/>
          <w:iCs w:val="1"/>
          <w:sz w:val="20"/>
          <w:szCs w:val="20"/>
          <w:rtl w:val="0"/>
        </w:rPr>
        <w:t xml:space="preserve">Decreto 4725 de 2005.</w:t>
      </w:r>
      <w:r w:rsidDel="00000000" w:rsidR="00000000" w:rsidRPr="00000000">
        <w:rPr>
          <w:rFonts w:ascii="Century Gothic" w:cs="Century Gothic" w:eastAsia="Century Gothic" w:hAnsi="Century Gothic"/>
          <w:sz w:val="20"/>
          <w:szCs w:val="20"/>
          <w:rtl w:val="0"/>
        </w:rPr>
        <w:t xml:space="preserve"> Obtenido de https://www.who.int/medical_devices/survey_resources/health_technology_national_policy_colombia.pdf</w:t>
      </w:r>
      <w:r w:rsidDel="00000000" w:rsidR="00000000" w:rsidRPr="00000000">
        <w:rPr>
          <w:rtl w:val="0"/>
        </w:rPr>
      </w:r>
    </w:p>
    <w:p w:rsidR="00000000" w:rsidDel="00000000" w:rsidP="00000000" w:rsidRDefault="00000000" w:rsidRPr="00000000" w14:paraId="000000E6">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LA PROTECCION SOCIAL. (2005). </w:t>
      </w:r>
      <w:r w:rsidDel="00000000" w:rsidR="00000000" w:rsidRPr="00000000">
        <w:rPr>
          <w:rFonts w:ascii="Century Gothic" w:cs="Century Gothic" w:eastAsia="Century Gothic" w:hAnsi="Century Gothic"/>
          <w:i w:val="1"/>
          <w:iCs w:val="1"/>
          <w:sz w:val="20"/>
          <w:szCs w:val="20"/>
          <w:rtl w:val="0"/>
        </w:rPr>
        <w:t xml:space="preserve">Decreto 4725 de 2005, Por el cual se reglamenta el régimen de registros sanitarios, permiso de comercialización y vigilancia sanitaria de los dispositivos médicos para uso humano. .</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7">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LA PROTECCION SOCIAL. (2008). </w:t>
      </w:r>
      <w:r w:rsidDel="00000000" w:rsidR="00000000" w:rsidRPr="00000000">
        <w:rPr>
          <w:rFonts w:ascii="Century Gothic" w:cs="Century Gothic" w:eastAsia="Century Gothic" w:hAnsi="Century Gothic"/>
          <w:i w:val="1"/>
          <w:iCs w:val="1"/>
          <w:sz w:val="20"/>
          <w:szCs w:val="20"/>
          <w:rtl w:val="0"/>
        </w:rPr>
        <w:t xml:space="preserve">RESOLUCION 4816 DE 2008.</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8">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la Protección Social. (2008). </w:t>
      </w:r>
      <w:r w:rsidDel="00000000" w:rsidR="00000000" w:rsidRPr="00000000">
        <w:rPr>
          <w:rFonts w:ascii="Century Gothic" w:cs="Century Gothic" w:eastAsia="Century Gothic" w:hAnsi="Century Gothic"/>
          <w:i w:val="1"/>
          <w:iCs w:val="1"/>
          <w:sz w:val="20"/>
          <w:szCs w:val="20"/>
          <w:rtl w:val="0"/>
        </w:rPr>
        <w:t xml:space="preserve">RESOLUCION 4816 DE 2008 - Por la cual se reglamenta el Programa Nacional de Tecnovigilancia.</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9">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SALUD Y PROTECCION SOCIAL. (2019). </w:t>
      </w:r>
      <w:r w:rsidDel="00000000" w:rsidR="00000000" w:rsidRPr="00000000">
        <w:rPr>
          <w:rFonts w:ascii="Century Gothic" w:cs="Century Gothic" w:eastAsia="Century Gothic" w:hAnsi="Century Gothic"/>
          <w:i w:val="1"/>
          <w:iCs w:val="1"/>
          <w:sz w:val="20"/>
          <w:szCs w:val="20"/>
          <w:rtl w:val="0"/>
        </w:rPr>
        <w:t xml:space="preserve">RESOLUCION 3100 DE 2019.</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A">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salud y protección social. (25 de Noviembre de 2019). </w:t>
      </w:r>
      <w:r w:rsidDel="00000000" w:rsidR="00000000" w:rsidRPr="00000000">
        <w:rPr>
          <w:rFonts w:ascii="Century Gothic" w:cs="Century Gothic" w:eastAsia="Century Gothic" w:hAnsi="Century Gothic"/>
          <w:i w:val="1"/>
          <w:iCs w:val="1"/>
          <w:sz w:val="20"/>
          <w:szCs w:val="20"/>
          <w:rtl w:val="0"/>
        </w:rPr>
        <w:t xml:space="preserve">Resolución 3100 de 2019.</w:t>
      </w:r>
      <w:r w:rsidDel="00000000" w:rsidR="00000000" w:rsidRPr="00000000">
        <w:rPr>
          <w:rFonts w:ascii="Century Gothic" w:cs="Century Gothic" w:eastAsia="Century Gothic" w:hAnsi="Century Gothic"/>
          <w:sz w:val="20"/>
          <w:szCs w:val="20"/>
          <w:rtl w:val="0"/>
        </w:rPr>
        <w:t xml:space="preserve"> Obtenido de https://www.minsalud.gov.co/sites/rid/Lists/BibliotecaDigital/RIDE/DE/DIJ/resolucion-3100-de-2019.pdf</w:t>
      </w:r>
      <w:r w:rsidDel="00000000" w:rsidR="00000000" w:rsidRPr="00000000">
        <w:rPr>
          <w:rtl w:val="0"/>
        </w:rPr>
      </w:r>
    </w:p>
    <w:p w:rsidR="00000000" w:rsidDel="00000000" w:rsidP="00000000" w:rsidRDefault="00000000" w:rsidRPr="00000000" w14:paraId="000000EB">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MINISTERIO DE SALUD Y PROTECCiÓN SOCIAL. (2019). </w:t>
      </w:r>
      <w:r w:rsidDel="00000000" w:rsidR="00000000" w:rsidRPr="00000000">
        <w:rPr>
          <w:rFonts w:ascii="Century Gothic" w:cs="Century Gothic" w:eastAsia="Century Gothic" w:hAnsi="Century Gothic"/>
          <w:i w:val="1"/>
          <w:iCs w:val="1"/>
          <w:sz w:val="20"/>
          <w:szCs w:val="20"/>
          <w:rtl w:val="0"/>
        </w:rPr>
        <w:t xml:space="preserve">Resolución 3100 de 2019, Por la cual se definen los procedimientos y condiciones de inscripción de los prestadores de servicios de salud y de habilitación de los servicios de salud y se adopta el Manual de Inscripción de Prestadores.</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EC">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Organización Mundial de la Salud. (2012). </w:t>
      </w:r>
      <w:r w:rsidDel="00000000" w:rsidR="00000000" w:rsidRPr="00000000">
        <w:rPr>
          <w:rFonts w:ascii="Century Gothic" w:cs="Century Gothic" w:eastAsia="Century Gothic" w:hAnsi="Century Gothic"/>
          <w:i w:val="1"/>
          <w:iCs w:val="1"/>
          <w:sz w:val="20"/>
          <w:szCs w:val="20"/>
          <w:rtl w:val="0"/>
        </w:rPr>
        <w:t xml:space="preserve">Introducción al programa de mantenimiento de equipos médicos.</w:t>
      </w:r>
      <w:r w:rsidDel="00000000" w:rsidR="00000000" w:rsidRPr="00000000">
        <w:rPr>
          <w:rtl w:val="0"/>
        </w:rPr>
      </w:r>
    </w:p>
    <w:p w:rsidR="00000000" w:rsidDel="00000000" w:rsidP="00000000" w:rsidRDefault="00000000" w:rsidRPr="00000000" w14:paraId="000000ED">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Organización Mundial de la Salud. (2021). </w:t>
      </w:r>
      <w:r w:rsidDel="00000000" w:rsidR="00000000" w:rsidRPr="00000000">
        <w:rPr>
          <w:rFonts w:ascii="Century Gothic" w:cs="Century Gothic" w:eastAsia="Century Gothic" w:hAnsi="Century Gothic"/>
          <w:i w:val="1"/>
          <w:iCs w:val="1"/>
          <w:sz w:val="20"/>
          <w:szCs w:val="20"/>
          <w:rtl w:val="0"/>
        </w:rPr>
        <w:t xml:space="preserve">ORGANIZACION MUNDIAL DE LA SALUD</w:t>
      </w:r>
      <w:r w:rsidDel="00000000" w:rsidR="00000000" w:rsidRPr="00000000">
        <w:rPr>
          <w:rFonts w:ascii="Century Gothic" w:cs="Century Gothic" w:eastAsia="Century Gothic" w:hAnsi="Century Gothic"/>
          <w:sz w:val="20"/>
          <w:szCs w:val="20"/>
          <w:rtl w:val="0"/>
        </w:rPr>
        <w:t xml:space="preserve">. Obtenido de ORGANIZACION MUNDIAL DE LA SALUD: https://www.who.int/es/about/who-we-are/frequently-asked-questions</w:t>
      </w:r>
      <w:r w:rsidDel="00000000" w:rsidR="00000000" w:rsidRPr="00000000">
        <w:rPr>
          <w:rtl w:val="0"/>
        </w:rPr>
      </w:r>
    </w:p>
    <w:p w:rsidR="00000000" w:rsidDel="00000000" w:rsidP="00000000" w:rsidRDefault="00000000" w:rsidRPr="00000000" w14:paraId="000000EE">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PAHO. (2002). MODULO 6. METROLOGÍA. LATINOAMERICA.</w:t>
      </w:r>
      <w:r w:rsidDel="00000000" w:rsidR="00000000" w:rsidRPr="00000000">
        <w:rPr>
          <w:rtl w:val="0"/>
        </w:rPr>
      </w:r>
    </w:p>
    <w:p w:rsidR="00000000" w:rsidDel="00000000" w:rsidP="00000000" w:rsidRDefault="00000000" w:rsidRPr="00000000" w14:paraId="000000EF">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Presidente de la Repúbica de Colombia. (1994). </w:t>
      </w:r>
      <w:r w:rsidDel="00000000" w:rsidR="00000000" w:rsidRPr="00000000">
        <w:rPr>
          <w:rFonts w:ascii="Century Gothic" w:cs="Century Gothic" w:eastAsia="Century Gothic" w:hAnsi="Century Gothic"/>
          <w:i w:val="1"/>
          <w:iCs w:val="1"/>
          <w:sz w:val="20"/>
          <w:szCs w:val="20"/>
          <w:rtl w:val="0"/>
        </w:rPr>
        <w:t xml:space="preserve">DECRETO 1769 DE 1994 - Por el cual se reglamenta el artículo 90 del Decreto 1298 de 1984 .</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p w:rsidR="00000000" w:rsidDel="00000000" w:rsidP="00000000" w:rsidRDefault="00000000" w:rsidRPr="00000000" w14:paraId="000000F0">
      <w:pPr>
        <w:numPr>
          <w:ilvl w:val="1"/>
          <w:numId w:val="17"/>
        </w:numPr>
        <w:spacing w:line="276" w:lineRule="auto"/>
        <w:ind w:left="566.9291338582675"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PRESIDENTE DE LA REPUBLICA. (2015). </w:t>
      </w:r>
      <w:r w:rsidDel="00000000" w:rsidR="00000000" w:rsidRPr="00000000">
        <w:rPr>
          <w:rFonts w:ascii="Century Gothic" w:cs="Century Gothic" w:eastAsia="Century Gothic" w:hAnsi="Century Gothic"/>
          <w:i w:val="1"/>
          <w:iCs w:val="1"/>
          <w:sz w:val="20"/>
          <w:szCs w:val="20"/>
          <w:rtl w:val="0"/>
        </w:rPr>
        <w:t xml:space="preserve">DECRETO 1072 DE 2015 - Por medio del cual se expide el Decreto Unico del Sector Trabajo.</w:t>
      </w:r>
      <w:r w:rsidDel="00000000" w:rsidR="00000000" w:rsidRPr="00000000">
        <w:rPr>
          <w:rFonts w:ascii="Century Gothic" w:cs="Century Gothic" w:eastAsia="Century Gothic" w:hAnsi="Century Gothic"/>
          <w:sz w:val="20"/>
          <w:szCs w:val="20"/>
          <w:rtl w:val="0"/>
        </w:rPr>
        <w:t xml:space="preserve"> Bogotá</w:t>
      </w:r>
      <w:r w:rsidDel="00000000" w:rsidR="00000000" w:rsidRPr="00000000">
        <w:rPr>
          <w:rtl w:val="0"/>
        </w:rPr>
      </w:r>
    </w:p>
    <w:sectPr>
      <w:headerReference r:id="rId13" w:type="default"/>
      <w:headerReference r:id="rId14" w:type="first"/>
      <w:footerReference r:id="rId15" w:type="default"/>
      <w:footerReference r:id="rId16" w:type="even"/>
      <w:pgSz w:h="15840" w:w="12240" w:orient="portrait"/>
      <w:pgMar w:bottom="1417" w:top="1417" w:left="1701" w:right="1701"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widowControl w:val="0"/>
      <w:spacing w:line="276" w:lineRule="auto"/>
      <w:rPr>
        <w:sz w:val="10"/>
        <w:szCs w:val="10"/>
      </w:rPr>
    </w:pPr>
    <w:r w:rsidDel="00000000" w:rsidR="00000000" w:rsidRPr="00000000">
      <w:rPr>
        <w:rtl w:val="0"/>
      </w:rPr>
    </w:r>
  </w:p>
  <w:p w:rsidR="00000000" w:rsidDel="00000000" w:rsidP="00000000" w:rsidRDefault="00000000" w:rsidRPr="00000000" w14:paraId="000000FA">
    <w:pPr>
      <w:spacing w:line="276" w:lineRule="auto"/>
      <w:rPr>
        <w:sz w:val="10"/>
        <w:szCs w:val="1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widowControl w:val="0"/>
      <w:spacing w:line="276" w:lineRule="auto"/>
      <w:rPr>
        <w:sz w:val="22"/>
        <w:szCs w:val="22"/>
      </w:rPr>
    </w:pPr>
    <w:r w:rsidDel="00000000" w:rsidR="00000000" w:rsidRPr="00000000">
      <w:rPr>
        <w:rtl w:val="0"/>
      </w:rPr>
    </w:r>
  </w:p>
  <w:tbl>
    <w:tblPr>
      <w:tblStyle w:val="Table4"/>
      <w:tblW w:w="951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55"/>
      <w:gridCol w:w="3960"/>
      <w:gridCol w:w="2895"/>
      <w:tblGridChange w:id="0">
        <w:tblGrid>
          <w:gridCol w:w="2655"/>
          <w:gridCol w:w="3960"/>
          <w:gridCol w:w="2895"/>
        </w:tblGrid>
      </w:tblGridChange>
    </w:tblGrid>
    <w:tr>
      <w:trPr>
        <w:cantSplit w:val="0"/>
        <w:trHeight w:val="1125" w:hRule="atLeast"/>
        <w:tblHeader w:val="0"/>
      </w:trPr>
      <w:tc>
        <w:tcPr>
          <w:vAlign w:val="center"/>
        </w:tcPr>
        <w:p w:rsidR="00000000" w:rsidDel="00000000" w:rsidP="00000000" w:rsidRDefault="00000000" w:rsidRPr="00000000" w14:paraId="000000F2">
          <w:pPr>
            <w:widowControl w:val="0"/>
            <w:jc w:val="center"/>
            <w:rPr>
              <w:rFonts w:ascii="Arial" w:cs="Arial" w:eastAsia="Arial" w:hAnsi="Arial"/>
              <w:sz w:val="20"/>
              <w:szCs w:val="20"/>
            </w:rPr>
          </w:pPr>
          <w:r w:rsidDel="00000000" w:rsidR="00000000" w:rsidRPr="00000000">
            <w:rPr>
              <w:rFonts w:ascii="Arial" w:cs="Arial" w:eastAsia="Arial" w:hAnsi="Arial"/>
              <w:b w:val="1"/>
              <w:bCs w:val="1"/>
              <w:sz w:val="22"/>
              <w:szCs w:val="22"/>
            </w:rPr>
            <w:drawing>
              <wp:inline distB="114300" distT="114300" distL="114300" distR="114300">
                <wp:extent cx="1463040" cy="546202"/>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63040" cy="54620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3">
          <w:pPr>
            <w:tabs>
              <w:tab w:val="center" w:leader="none" w:pos="4252"/>
              <w:tab w:val="right" w:leader="none" w:pos="8504"/>
            </w:tabs>
            <w:ind w:left="10" w:right="7"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2"/>
              <w:szCs w:val="22"/>
              <w:rtl w:val="0"/>
            </w:rPr>
            <w:t xml:space="preserve">PROGRAMA DE TECNOVIGILANCIA</w:t>
          </w:r>
          <w:r w:rsidDel="00000000" w:rsidR="00000000" w:rsidRPr="00000000">
            <w:rPr>
              <w:rtl w:val="0"/>
            </w:rPr>
          </w:r>
        </w:p>
      </w:tc>
      <w:tc>
        <w:tcPr>
          <w:vAlign w:val="center"/>
        </w:tcPr>
        <w:p w:rsidR="00000000" w:rsidDel="00000000" w:rsidP="00000000" w:rsidRDefault="00000000" w:rsidRPr="00000000" w14:paraId="000000F4">
          <w:pPr>
            <w:ind w:right="-69"/>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Código: </w:t>
          </w:r>
          <w:r w:rsidDel="00000000" w:rsidR="00000000" w:rsidRPr="00000000">
            <w:rPr>
              <w:rFonts w:ascii="Century Gothic" w:cs="Century Gothic" w:eastAsia="Century Gothic" w:hAnsi="Century Gothic"/>
              <w:b w:val="1"/>
              <w:bCs w:val="1"/>
              <w:sz w:val="16"/>
              <w:szCs w:val="16"/>
              <w:highlight w:val="white"/>
              <w:rtl w:val="0"/>
            </w:rPr>
            <w:t xml:space="preserve">MD-PG-002</w:t>
          </w:r>
          <w:r w:rsidDel="00000000" w:rsidR="00000000" w:rsidRPr="00000000">
            <w:rPr>
              <w:rtl w:val="0"/>
            </w:rPr>
          </w:r>
        </w:p>
        <w:p w:rsidR="00000000" w:rsidDel="00000000" w:rsidP="00000000" w:rsidRDefault="00000000" w:rsidRPr="00000000" w14:paraId="000000F5">
          <w:pPr>
            <w:ind w:right="-69"/>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Emisión: Enero 2025</w:t>
          </w:r>
        </w:p>
        <w:p w:rsidR="00000000" w:rsidDel="00000000" w:rsidP="00000000" w:rsidRDefault="00000000" w:rsidRPr="00000000" w14:paraId="000000F6">
          <w:pPr>
            <w:ind w:right="-69"/>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Versión: 2</w:t>
          </w:r>
          <w:r w:rsidDel="00000000" w:rsidR="00000000" w:rsidRPr="00000000">
            <w:rPr>
              <w:rtl w:val="0"/>
            </w:rPr>
          </w:r>
        </w:p>
      </w:tc>
    </w:tr>
  </w:tbl>
  <w:p w:rsidR="00000000" w:rsidDel="00000000" w:rsidP="00000000" w:rsidRDefault="00000000" w:rsidRPr="00000000" w14:paraId="000000F7">
    <w:pPr>
      <w:tabs>
        <w:tab w:val="center" w:leader="none" w:pos="4252"/>
        <w:tab w:val="right" w:leader="none" w:pos="8504"/>
      </w:tabs>
      <w:rPr>
        <w:sz w:val="10"/>
        <w:szCs w:val="1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C518A4"/>
    <w:pPr>
      <w:ind w:left="720"/>
      <w:contextualSpacing w:val="1"/>
    </w:pPr>
  </w:style>
  <w:style w:type="paragraph" w:styleId="NormalWeb">
    <w:name w:val="Normal (Web)"/>
    <w:basedOn w:val="Normal"/>
    <w:uiPriority w:val="99"/>
    <w:semiHidden w:val="1"/>
    <w:unhideWhenUsed w:val="1"/>
    <w:rsid w:val="00C518A4"/>
    <w:pPr>
      <w:spacing w:after="100" w:afterAutospacing="1" w:before="100" w:beforeAutospacing="1"/>
    </w:pPr>
    <w:rPr>
      <w:rFonts w:ascii="Times New Roman" w:cs="Times New Roman" w:eastAsia="Times New Roman" w:hAnsi="Times New Roman"/>
      <w:lang w:eastAsia="es-MX"/>
    </w:rPr>
  </w:style>
  <w:style w:type="paragraph" w:styleId="Encabezado">
    <w:name w:val="header"/>
    <w:basedOn w:val="Normal"/>
    <w:link w:val="EncabezadoCar"/>
    <w:uiPriority w:val="99"/>
    <w:unhideWhenUsed w:val="1"/>
    <w:rsid w:val="00A44414"/>
    <w:pPr>
      <w:tabs>
        <w:tab w:val="center" w:pos="4419"/>
        <w:tab w:val="right" w:pos="8838"/>
      </w:tabs>
    </w:pPr>
  </w:style>
  <w:style w:type="character" w:styleId="EncabezadoCar" w:customStyle="1">
    <w:name w:val="Encabezado Car"/>
    <w:basedOn w:val="Fuentedeprrafopredeter"/>
    <w:link w:val="Encabezado"/>
    <w:uiPriority w:val="99"/>
    <w:rsid w:val="00A44414"/>
  </w:style>
  <w:style w:type="paragraph" w:styleId="Piedepgina">
    <w:name w:val="footer"/>
    <w:basedOn w:val="Normal"/>
    <w:link w:val="PiedepginaCar"/>
    <w:uiPriority w:val="99"/>
    <w:unhideWhenUsed w:val="1"/>
    <w:rsid w:val="00A44414"/>
    <w:pPr>
      <w:tabs>
        <w:tab w:val="center" w:pos="4419"/>
        <w:tab w:val="right" w:pos="8838"/>
      </w:tabs>
    </w:pPr>
  </w:style>
  <w:style w:type="character" w:styleId="PiedepginaCar" w:customStyle="1">
    <w:name w:val="Pie de página Car"/>
    <w:basedOn w:val="Fuentedeprrafopredeter"/>
    <w:link w:val="Piedepgina"/>
    <w:uiPriority w:val="99"/>
    <w:rsid w:val="00A44414"/>
  </w:style>
  <w:style w:type="table" w:styleId="Tablaconcuadrcula">
    <w:name w:val="Table Grid"/>
    <w:basedOn w:val="Tablanormal"/>
    <w:uiPriority w:val="39"/>
    <w:rsid w:val="00A444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merodepgina">
    <w:name w:val="page number"/>
    <w:basedOn w:val="Fuentedeprrafopredeter"/>
    <w:uiPriority w:val="99"/>
    <w:semiHidden w:val="1"/>
    <w:unhideWhenUsed w:val="1"/>
    <w:rsid w:val="00D477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cPr>
      <w:shd w:fill="ffffff" w:val="clear"/>
    </w:tcPr>
  </w:style>
  <w:style w:type="table" w:styleId="Table3">
    <w:basedOn w:val="TableNormal"/>
    <w:tblPr>
      <w:tblStyleRowBandSize w:val="1"/>
      <w:tblStyleColBandSize w:val="1"/>
      <w:tblCellMar>
        <w:top w:w="0.0" w:type="dxa"/>
        <w:left w:w="108.0" w:type="dxa"/>
        <w:bottom w:w="0.0" w:type="dxa"/>
        <w:right w:w="108.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innQ3xSx0kRMBF9ZepOyKuAC0QEfNEAz/view?usp=drive_link"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rmacoweb.invima.gov.co/TecnoVigilancia/"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6MxrThOT4SdJCsw8miRB2qG0ILEnh6Zf/view?usp=drive_link" TargetMode="External"/><Relationship Id="rId8" Type="http://schemas.openxmlformats.org/officeDocument/2006/relationships/hyperlink" Target="https://farmacoweb.invima.gov.co/TecnoVigilancia/faces/inscribirRed.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OMIa+AIH57lKYCZkh2euE7a3g==">CgMxLjAaHwoBMBIaChgICVIUChJ0YWJsZS40dWNkb2tjMjZ5dzAyDmgubHpiaXN2Z3kxa3ZuMg5oLmp3ZWJyYzJtOWRoZTIOaC5kaXRhNXlpMmZlY2gyDmguOW45b3VydHYyeDJjMg5oLmQzdzV4azRwZXhtbjIOaC54YnQxZW9jc2czNHEyDWguNTBscW5iZWdtcm8yDmgub29qdnhyamhqbnBiMg5oLmh3bXhnaDN0Y2dqcTIOaC5lYjBnMjZtdTE1Yno4AHIhMTRNelVqSGVaRXBuZXFsMmZXcHl1QjR4eHpkdTVRYk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2022-06-03T02:51:00Z</dcterms:created>
  <dc:creator>Microsoft Office User</dc:creator>
</cp:coreProperties>
</file>