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Barranquilla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,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Enero 14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El representante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Dr. Carlos Vizcaino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, conocedor de la reglamentación y disposiciones del Sistema Único de Habilitación establecidas en la Resolución 3100 de 2019, a determinado como directriz la siguiente política: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En la IPS Endocrinology &amp; Health dicho médico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, se garantiza que, durante el proceso de atención, no se re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san dispositivos médicos que por disposición del fabricante se determinen como de "un solo uso". Solo podrán ser reusados aquellos dispositivos cuya recomendación del fabricante, definan y ejecuten procedimientos basados en evidencia científica que demuestren que la reprocesamiento del dispositivo no implica reducción de la eficacia y desempeño para la cual se utiliza, ni riesgo de infecciones o complicaciones por los procedimientos, con seguimiento a través del programa de tecnovigilancia. Se especifica que los di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spositivos utilizados en la IPS y que no se reutilizan son: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Bajalenguas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Algodón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Conos de otoscopio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Guantes desechables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Fundas desechables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Otros dispositivos que tengan contacto directo con pacientes y que el fabricante haya clasificado como de un solo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Esta política debe ser divulgada y conocida por todo el personal.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Atentamente,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176949</wp:posOffset>
            </wp:positionV>
            <wp:extent cx="2018114" cy="863438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114" cy="863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Carlos Javier Vizcaino Guerrero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Gerente - Representante Legal</w:t>
      </w:r>
      <w:r w:rsidDel="00000000" w:rsidR="00000000" w:rsidRPr="00000000">
        <w:rPr>
          <w:rtl w:val="0"/>
        </w:rPr>
      </w:r>
    </w:p>
    <w:sectPr>
      <w:headerReference r:id="rId8" w:type="default"/>
      <w:pgSz w:h="15842" w:w="12242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-190499</wp:posOffset>
          </wp:positionH>
          <wp:positionV relativeFrom="paragraph">
            <wp:posOffset>276225</wp:posOffset>
          </wp:positionV>
          <wp:extent cx="1466850" cy="482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482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495.0" w:type="dxa"/>
      <w:jc w:val="left"/>
      <w:tblInd w:w="-34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80"/>
      <w:gridCol w:w="4845"/>
      <w:gridCol w:w="2070"/>
      <w:tblGridChange w:id="0">
        <w:tblGrid>
          <w:gridCol w:w="2580"/>
          <w:gridCol w:w="4845"/>
          <w:gridCol w:w="2070"/>
        </w:tblGrid>
      </w:tblGridChange>
    </w:tblGrid>
    <w:tr>
      <w:trPr>
        <w:cantSplit w:val="0"/>
        <w:trHeight w:val="1119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14">
          <w:pPr>
            <w:tabs>
              <w:tab w:val="right" w:leader="none" w:pos="9003"/>
            </w:tabs>
            <w:spacing w:after="0" w:line="240" w:lineRule="auto"/>
            <w:rPr>
              <w:rFonts w:ascii="Arial" w:cs="Arial" w:eastAsia="Arial" w:hAnsi="Arial"/>
              <w:b w:val="0"/>
              <w:bC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POLÍTICA DE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Century Gothic" w:cs="Century Gothic" w:eastAsia="Century Gothic" w:hAnsi="Century Gothic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NO RE-USO DE DISPOSITIVOS MÉDICOS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Codigo: </w:t>
          </w: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MD-PL-001</w:t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Versión: 2</w:t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f1f1f"/>
              <w:sz w:val="18"/>
              <w:szCs w:val="18"/>
              <w:highlight w:val="white"/>
              <w:rtl w:val="0"/>
            </w:rPr>
            <w:t xml:space="preserve">Fecha: Ene-2025</w:t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uadrículamedia2">
    <w:name w:val="Cuadrícula media 2"/>
    <w:next w:val="Cuadrículamedia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h3d1NlVX4qlmQj5+h4Ite6DbQ==">CgMxLjA4AHIhMVlMWTkzUXowdFR0NzdtRnF6YUstSDhXekh0SzZDRUh0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2018-07-09T22:53:00Z</dcterms:created>
  <dc:creator>MI PC</dc:creator>
</cp:coreProperties>
</file>