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tabs>
          <w:tab w:val="center" w:leader="none" w:pos="4252"/>
          <w:tab w:val="right" w:leader="none" w:pos="8504"/>
        </w:tabs>
        <w:spacing w:after="0" w:line="240" w:lineRule="auto"/>
        <w:ind w:left="10" w:right="7" w:firstLine="0"/>
        <w:jc w:val="center"/>
        <w:rPr>
          <w:rFonts w:ascii="Century Gothic" w:cs="Century Gothic" w:eastAsia="Century Gothic" w:hAnsi="Century Gothic"/>
          <w:b w:val="1"/>
          <w:bCs w:val="1"/>
          <w:sz w:val="60"/>
          <w:szCs w:val="60"/>
        </w:rPr>
      </w:pPr>
      <w:r w:rsidDel="00000000" w:rsidR="00000000" w:rsidRPr="00000000">
        <w:rPr>
          <w:rtl w:val="0"/>
        </w:rPr>
      </w:r>
    </w:p>
    <w:p w:rsidR="00000000" w:rsidDel="00000000" w:rsidP="00000000" w:rsidRDefault="00000000" w:rsidRPr="00000000" w14:paraId="00000004">
      <w:pPr>
        <w:tabs>
          <w:tab w:val="center" w:leader="none" w:pos="4252"/>
          <w:tab w:val="right" w:leader="none" w:pos="8504"/>
        </w:tabs>
        <w:spacing w:after="0" w:line="240" w:lineRule="auto"/>
        <w:ind w:left="10" w:right="7" w:firstLine="0"/>
        <w:jc w:val="center"/>
        <w:rPr>
          <w:rFonts w:ascii="Century Gothic" w:cs="Century Gothic" w:eastAsia="Century Gothic" w:hAnsi="Century Gothic"/>
          <w:b w:val="1"/>
          <w:bCs w:val="1"/>
          <w:sz w:val="60"/>
          <w:szCs w:val="60"/>
        </w:rPr>
      </w:pPr>
      <w:r w:rsidDel="00000000" w:rsidR="00000000" w:rsidRPr="00000000">
        <w:rPr>
          <w:rtl w:val="0"/>
        </w:rPr>
      </w:r>
    </w:p>
    <w:p w:rsidR="00000000" w:rsidDel="00000000" w:rsidP="00000000" w:rsidRDefault="00000000" w:rsidRPr="00000000" w14:paraId="00000005">
      <w:pPr>
        <w:tabs>
          <w:tab w:val="center" w:leader="none" w:pos="4252"/>
          <w:tab w:val="right" w:leader="none" w:pos="8504"/>
        </w:tabs>
        <w:spacing w:after="0" w:line="240" w:lineRule="auto"/>
        <w:ind w:left="10" w:right="7" w:firstLine="0"/>
        <w:jc w:val="center"/>
        <w:rPr>
          <w:rFonts w:ascii="Century Gothic" w:cs="Century Gothic" w:eastAsia="Century Gothic" w:hAnsi="Century Gothic"/>
          <w:i w:val="0"/>
          <w:iCs w:val="0"/>
          <w:smallCaps w:val="0"/>
          <w:strike w:val="0"/>
          <w:color w:val="000000"/>
          <w:sz w:val="60"/>
          <w:szCs w:val="60"/>
          <w:u w:val="none"/>
          <w:shd w:fill="auto" w:val="clear"/>
          <w:vertAlign w:val="baseline"/>
        </w:rPr>
      </w:pPr>
      <w:r w:rsidDel="00000000" w:rsidR="00000000" w:rsidRPr="00000000">
        <w:rPr>
          <w:rFonts w:ascii="Century Gothic" w:cs="Century Gothic" w:eastAsia="Century Gothic" w:hAnsi="Century Gothic"/>
          <w:b w:val="1"/>
          <w:bCs w:val="1"/>
          <w:sz w:val="60"/>
          <w:szCs w:val="60"/>
          <w:rtl w:val="0"/>
        </w:rPr>
        <w:t xml:space="preserve">PROCEDIMIENTO PARA LA GESTIÓN DE MEDICAMENTOS, DISPOSITIVOS MÉDICOS E INSUMOS</w:t>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rPr>
          <w:rFonts w:ascii="Century Gothic" w:cs="Century Gothic" w:eastAsia="Century Gothic" w:hAnsi="Century Gothic"/>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ind w:left="0" w:firstLine="0"/>
        <w:rPr>
          <w:rFonts w:ascii="Century Gothic" w:cs="Century Gothic" w:eastAsia="Century Gothic" w:hAnsi="Century Gothic"/>
          <w:sz w:val="22"/>
          <w:szCs w:val="22"/>
        </w:rPr>
      </w:pPr>
      <w:bookmarkStart w:colFirst="0" w:colLast="0" w:name="_heading=h.gjdgxs" w:id="0"/>
      <w:bookmarkEnd w:id="0"/>
      <w:r w:rsidDel="00000000" w:rsidR="00000000" w:rsidRPr="00000000">
        <w:rPr>
          <w:rFonts w:ascii="Century Gothic" w:cs="Century Gothic" w:eastAsia="Century Gothic" w:hAnsi="Century Gothic"/>
          <w:color w:val="000000"/>
          <w:sz w:val="22"/>
          <w:szCs w:val="22"/>
          <w:rtl w:val="0"/>
        </w:rPr>
        <w:t xml:space="preserve">OBJETIVO</w:t>
      </w:r>
      <w:r w:rsidDel="00000000" w:rsidR="00000000" w:rsidRPr="00000000">
        <w:rPr>
          <w:rFonts w:ascii="Century Gothic" w:cs="Century Gothic" w:eastAsia="Century Gothic" w:hAnsi="Century Gothic"/>
          <w:sz w:val="22"/>
          <w:szCs w:val="22"/>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Documentar el procedimiento para la selección, adquisición, transporte, recepción, almacenamiento, conservación, y disposición final al uso de dispositivos médicos; así como de los demás insumos asistenciales que utilice la institución con la finalidad de dar cumplimiento a la normatividad vigente del Ministerio de Protección Social.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spacing w:after="200" w:line="276"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ALCANCE</w:t>
      </w:r>
      <w:r w:rsidDel="00000000" w:rsidR="00000000" w:rsidRPr="00000000">
        <w:rPr>
          <w:rtl w:val="0"/>
        </w:rPr>
      </w:r>
    </w:p>
    <w:p w:rsidR="00000000" w:rsidDel="00000000" w:rsidP="00000000" w:rsidRDefault="00000000" w:rsidRPr="00000000" w14:paraId="00000018">
      <w:pPr>
        <w:spacing w:after="20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Aplica para todas las actividades desarrolladas para gestión de los dispositivos médicos e insumos en los servicios de la IPS ENDOCRINOLOGY &amp; HEALTH, estas actividades son: selección, adquisición, transporte, recepción, almacenamiento, conservación, control de fechas de vencimiento, distribución, dispensación, devolución y disposición final.</w:t>
      </w:r>
    </w:p>
    <w:p w:rsidR="00000000" w:rsidDel="00000000" w:rsidP="00000000" w:rsidRDefault="00000000" w:rsidRPr="00000000" w14:paraId="00000019">
      <w:pPr>
        <w:spacing w:after="200" w:line="276"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RESPONSABLES</w:t>
      </w:r>
    </w:p>
    <w:p w:rsidR="00000000" w:rsidDel="00000000" w:rsidP="00000000" w:rsidRDefault="00000000" w:rsidRPr="00000000" w14:paraId="0000001A">
      <w:pPr>
        <w:spacing w:after="20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Corresponde al responsable del área administrativa liderar el proceso de gestión de dispositivos médicos e insumos y tramitar ante la Gerencia la asignación de los recursos necesarios para garantizar la permanente disponibilidad de los mismos en los servicios. La ejecución de las medidas de control y el uso racional de los recursos compete a todos los colaboradores de la IPS.</w:t>
      </w:r>
    </w:p>
    <w:p w:rsidR="00000000" w:rsidDel="00000000" w:rsidP="00000000" w:rsidRDefault="00000000" w:rsidRPr="00000000" w14:paraId="0000001B">
      <w:pPr>
        <w:pStyle w:val="Heading1"/>
        <w:ind w:left="0" w:firstLine="0"/>
        <w:rPr>
          <w:rFonts w:ascii="Century Gothic" w:cs="Century Gothic" w:eastAsia="Century Gothic" w:hAnsi="Century Gothic"/>
          <w:sz w:val="22"/>
          <w:szCs w:val="22"/>
        </w:rPr>
      </w:pPr>
      <w:bookmarkStart w:colFirst="0" w:colLast="0" w:name="_heading=h.30j0zll" w:id="1"/>
      <w:bookmarkEnd w:id="1"/>
      <w:r w:rsidDel="00000000" w:rsidR="00000000" w:rsidRPr="00000000">
        <w:rPr>
          <w:rFonts w:ascii="Century Gothic" w:cs="Century Gothic" w:eastAsia="Century Gothic" w:hAnsi="Century Gothic"/>
          <w:sz w:val="22"/>
          <w:szCs w:val="22"/>
          <w:rtl w:val="0"/>
        </w:rPr>
        <w:t xml:space="preserve">DEFINICIÓN Y TERMINOLOGÍA: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widowControl w:val="0"/>
        <w:numPr>
          <w:ilvl w:val="0"/>
          <w:numId w:val="9"/>
        </w:numPr>
        <w:spacing w:after="200" w:line="276" w:lineRule="auto"/>
        <w:ind w:left="720" w:hanging="360"/>
        <w:jc w:val="both"/>
        <w:rPr>
          <w:rFonts w:ascii="Open Sans" w:cs="Open Sans" w:eastAsia="Open Sans" w:hAnsi="Open Sans"/>
        </w:rPr>
      </w:pPr>
      <w:r w:rsidDel="00000000" w:rsidR="00000000" w:rsidRPr="00000000">
        <w:rPr>
          <w:rFonts w:ascii="Century Gothic" w:cs="Century Gothic" w:eastAsia="Century Gothic" w:hAnsi="Century Gothic"/>
          <w:b w:val="1"/>
          <w:bCs w:val="1"/>
          <w:rtl w:val="0"/>
        </w:rPr>
        <w:t xml:space="preserve">Lote</w:t>
      </w:r>
      <w:r w:rsidDel="00000000" w:rsidR="00000000" w:rsidRPr="00000000">
        <w:rPr>
          <w:rFonts w:ascii="Century Gothic" w:cs="Century Gothic" w:eastAsia="Century Gothic" w:hAnsi="Century Gothic"/>
          <w:rtl w:val="0"/>
        </w:rPr>
        <w:t xml:space="preserve">: Una cantidad definida de material uniforme en carácter y calidad, lo cual se produce durante un ciclo definido de manufactura.</w:t>
      </w:r>
    </w:p>
    <w:p w:rsidR="00000000" w:rsidDel="00000000" w:rsidP="00000000" w:rsidRDefault="00000000" w:rsidRPr="00000000" w14:paraId="0000001E">
      <w:pPr>
        <w:widowControl w:val="0"/>
        <w:numPr>
          <w:ilvl w:val="0"/>
          <w:numId w:val="9"/>
        </w:numPr>
        <w:spacing w:after="200" w:line="276" w:lineRule="auto"/>
        <w:ind w:left="720" w:hanging="360"/>
        <w:jc w:val="both"/>
        <w:rPr>
          <w:rFonts w:ascii="Open Sans" w:cs="Open Sans" w:eastAsia="Open Sans" w:hAnsi="Open Sans"/>
        </w:rPr>
      </w:pPr>
      <w:r w:rsidDel="00000000" w:rsidR="00000000" w:rsidRPr="00000000">
        <w:rPr>
          <w:rFonts w:ascii="Century Gothic" w:cs="Century Gothic" w:eastAsia="Century Gothic" w:hAnsi="Century Gothic"/>
          <w:b w:val="1"/>
          <w:bCs w:val="1"/>
          <w:rtl w:val="0"/>
        </w:rPr>
        <w:t xml:space="preserve">Número de lote:</w:t>
      </w:r>
      <w:r w:rsidDel="00000000" w:rsidR="00000000" w:rsidRPr="00000000">
        <w:rPr>
          <w:rFonts w:ascii="Century Gothic" w:cs="Century Gothic" w:eastAsia="Century Gothic" w:hAnsi="Century Gothic"/>
          <w:rtl w:val="0"/>
        </w:rPr>
        <w:t xml:space="preserve"> Una combinación distintiva de números y/o letras los cuales identifican específicamente a un lote permite que se pueda rastrear su historia (trazabilidad)</w:t>
      </w:r>
    </w:p>
    <w:p w:rsidR="00000000" w:rsidDel="00000000" w:rsidP="00000000" w:rsidRDefault="00000000" w:rsidRPr="00000000" w14:paraId="0000001F">
      <w:pPr>
        <w:widowControl w:val="0"/>
        <w:numPr>
          <w:ilvl w:val="0"/>
          <w:numId w:val="9"/>
        </w:numPr>
        <w:spacing w:after="200" w:line="276" w:lineRule="auto"/>
        <w:ind w:left="720" w:hanging="360"/>
        <w:jc w:val="both"/>
        <w:rPr>
          <w:rFonts w:ascii="Open Sans" w:cs="Open Sans" w:eastAsia="Open Sans" w:hAnsi="Open Sans"/>
        </w:rPr>
      </w:pPr>
      <w:r w:rsidDel="00000000" w:rsidR="00000000" w:rsidRPr="00000000">
        <w:rPr>
          <w:rFonts w:ascii="Century Gothic" w:cs="Century Gothic" w:eastAsia="Century Gothic" w:hAnsi="Century Gothic"/>
          <w:b w:val="1"/>
          <w:bCs w:val="1"/>
          <w:rtl w:val="0"/>
        </w:rPr>
        <w:t xml:space="preserve">Fecha de vencimiento</w:t>
      </w:r>
      <w:r w:rsidDel="00000000" w:rsidR="00000000" w:rsidRPr="00000000">
        <w:rPr>
          <w:rFonts w:ascii="Century Gothic" w:cs="Century Gothic" w:eastAsia="Century Gothic" w:hAnsi="Century Gothic"/>
          <w:rtl w:val="0"/>
        </w:rPr>
        <w:t xml:space="preserve">: La que indica el tiempo máximo hasta el cual se garantiza la potencia, la pureza, las características físico-químicas y las demás que correspondan al medicamento, insumo o material.</w:t>
      </w:r>
    </w:p>
    <w:p w:rsidR="00000000" w:rsidDel="00000000" w:rsidP="00000000" w:rsidRDefault="00000000" w:rsidRPr="00000000" w14:paraId="00000020">
      <w:pPr>
        <w:widowControl w:val="0"/>
        <w:numPr>
          <w:ilvl w:val="0"/>
          <w:numId w:val="9"/>
        </w:numPr>
        <w:spacing w:after="200" w:line="276" w:lineRule="auto"/>
        <w:ind w:left="720" w:hanging="360"/>
        <w:jc w:val="both"/>
        <w:rPr>
          <w:rFonts w:ascii="Open Sans" w:cs="Open Sans" w:eastAsia="Open Sans" w:hAnsi="Open Sans"/>
        </w:rPr>
      </w:pPr>
      <w:r w:rsidDel="00000000" w:rsidR="00000000" w:rsidRPr="00000000">
        <w:rPr>
          <w:rFonts w:ascii="Century Gothic" w:cs="Century Gothic" w:eastAsia="Century Gothic" w:hAnsi="Century Gothic"/>
          <w:b w:val="1"/>
          <w:bCs w:val="1"/>
          <w:rtl w:val="0"/>
        </w:rPr>
        <w:t xml:space="preserve">Forma farmacéutica:</w:t>
      </w:r>
      <w:r w:rsidDel="00000000" w:rsidR="00000000" w:rsidRPr="00000000">
        <w:rPr>
          <w:rFonts w:ascii="Century Gothic" w:cs="Century Gothic" w:eastAsia="Century Gothic" w:hAnsi="Century Gothic"/>
          <w:rtl w:val="0"/>
        </w:rPr>
        <w:t xml:space="preserve"> Forma o estado físico en que se presenta un medicamento para ser administrado con el objeto de facilitar su administración, dosificación o fraccionamiento.</w:t>
      </w:r>
    </w:p>
    <w:p w:rsidR="00000000" w:rsidDel="00000000" w:rsidP="00000000" w:rsidRDefault="00000000" w:rsidRPr="00000000" w14:paraId="00000021">
      <w:pPr>
        <w:widowControl w:val="0"/>
        <w:numPr>
          <w:ilvl w:val="0"/>
          <w:numId w:val="9"/>
        </w:numPr>
        <w:spacing w:after="200" w:line="276" w:lineRule="auto"/>
        <w:ind w:left="720" w:hanging="360"/>
        <w:jc w:val="both"/>
        <w:rPr>
          <w:rFonts w:ascii="Open Sans" w:cs="Open Sans" w:eastAsia="Open Sans" w:hAnsi="Open Sans"/>
        </w:rPr>
      </w:pPr>
      <w:r w:rsidDel="00000000" w:rsidR="00000000" w:rsidRPr="00000000">
        <w:rPr>
          <w:rFonts w:ascii="Century Gothic" w:cs="Century Gothic" w:eastAsia="Century Gothic" w:hAnsi="Century Gothic"/>
          <w:b w:val="1"/>
          <w:bCs w:val="1"/>
          <w:rtl w:val="0"/>
        </w:rPr>
        <w:t xml:space="preserve">Almacenamiento:</w:t>
      </w:r>
      <w:r w:rsidDel="00000000" w:rsidR="00000000" w:rsidRPr="00000000">
        <w:rPr>
          <w:rFonts w:ascii="Century Gothic" w:cs="Century Gothic" w:eastAsia="Century Gothic" w:hAnsi="Century Gothic"/>
          <w:rtl w:val="0"/>
        </w:rPr>
        <w:t xml:space="preserve"> Acción de ubicar y mantener en áreas determinadas, depósito o almacén, medicamentos, insumos etc. En disponibilidad para su destino posterior bajo ciertas condiciones de ventilación, temperatura y humedad relativa.</w:t>
      </w:r>
    </w:p>
    <w:p w:rsidR="00000000" w:rsidDel="00000000" w:rsidP="00000000" w:rsidRDefault="00000000" w:rsidRPr="00000000" w14:paraId="00000022">
      <w:pPr>
        <w:widowControl w:val="0"/>
        <w:numPr>
          <w:ilvl w:val="0"/>
          <w:numId w:val="9"/>
        </w:numPr>
        <w:spacing w:after="200" w:line="276" w:lineRule="auto"/>
        <w:ind w:left="720" w:hanging="360"/>
        <w:jc w:val="both"/>
        <w:rPr>
          <w:rFonts w:ascii="Open Sans" w:cs="Open Sans" w:eastAsia="Open Sans" w:hAnsi="Open Sans"/>
        </w:rPr>
      </w:pPr>
      <w:r w:rsidDel="00000000" w:rsidR="00000000" w:rsidRPr="00000000">
        <w:rPr>
          <w:rFonts w:ascii="Century Gothic" w:cs="Century Gothic" w:eastAsia="Century Gothic" w:hAnsi="Century Gothic"/>
          <w:b w:val="1"/>
          <w:bCs w:val="1"/>
          <w:rtl w:val="0"/>
        </w:rPr>
        <w:t xml:space="preserve">Avería:</w:t>
      </w:r>
      <w:r w:rsidDel="00000000" w:rsidR="00000000" w:rsidRPr="00000000">
        <w:rPr>
          <w:rFonts w:ascii="Century Gothic" w:cs="Century Gothic" w:eastAsia="Century Gothic" w:hAnsi="Century Gothic"/>
          <w:rtl w:val="0"/>
        </w:rPr>
        <w:t xml:space="preserve"> Daño, falla o rotura de un medicamento, insumo o material.</w:t>
      </w:r>
    </w:p>
    <w:p w:rsidR="00000000" w:rsidDel="00000000" w:rsidP="00000000" w:rsidRDefault="00000000" w:rsidRPr="00000000" w14:paraId="00000023">
      <w:pPr>
        <w:widowControl w:val="0"/>
        <w:numPr>
          <w:ilvl w:val="0"/>
          <w:numId w:val="9"/>
        </w:numPr>
        <w:spacing w:after="200" w:line="276" w:lineRule="auto"/>
        <w:ind w:left="720" w:hanging="360"/>
        <w:jc w:val="both"/>
        <w:rPr>
          <w:rFonts w:ascii="Open Sans" w:cs="Open Sans" w:eastAsia="Open Sans" w:hAnsi="Open Sans"/>
        </w:rPr>
      </w:pPr>
      <w:r w:rsidDel="00000000" w:rsidR="00000000" w:rsidRPr="00000000">
        <w:rPr>
          <w:rFonts w:ascii="Century Gothic" w:cs="Century Gothic" w:eastAsia="Century Gothic" w:hAnsi="Century Gothic"/>
          <w:b w:val="1"/>
          <w:bCs w:val="1"/>
          <w:rtl w:val="0"/>
        </w:rPr>
        <w:t xml:space="preserve">Termohigrómetro</w:t>
      </w:r>
      <w:r w:rsidDel="00000000" w:rsidR="00000000" w:rsidRPr="00000000">
        <w:rPr>
          <w:rFonts w:ascii="Century Gothic" w:cs="Century Gothic" w:eastAsia="Century Gothic" w:hAnsi="Century Gothic"/>
          <w:rtl w:val="0"/>
        </w:rPr>
        <w:t xml:space="preserve">: Instrumento que sirve para medir la humedad y la temperatura ambiental.</w:t>
      </w:r>
    </w:p>
    <w:p w:rsidR="00000000" w:rsidDel="00000000" w:rsidP="00000000" w:rsidRDefault="00000000" w:rsidRPr="00000000" w14:paraId="00000024">
      <w:pPr>
        <w:widowControl w:val="0"/>
        <w:numPr>
          <w:ilvl w:val="0"/>
          <w:numId w:val="9"/>
        </w:numPr>
        <w:spacing w:after="200" w:line="276" w:lineRule="auto"/>
        <w:ind w:left="720" w:hanging="360"/>
        <w:jc w:val="both"/>
        <w:rPr>
          <w:rFonts w:ascii="Open Sans" w:cs="Open Sans" w:eastAsia="Open Sans" w:hAnsi="Open Sans"/>
        </w:rPr>
      </w:pPr>
      <w:r w:rsidDel="00000000" w:rsidR="00000000" w:rsidRPr="00000000">
        <w:rPr>
          <w:rFonts w:ascii="Century Gothic" w:cs="Century Gothic" w:eastAsia="Century Gothic" w:hAnsi="Century Gothic"/>
          <w:b w:val="1"/>
          <w:bCs w:val="1"/>
          <w:rtl w:val="0"/>
        </w:rPr>
        <w:t xml:space="preserve">Cadena de frío</w:t>
      </w:r>
      <w:r w:rsidDel="00000000" w:rsidR="00000000" w:rsidRPr="00000000">
        <w:rPr>
          <w:rFonts w:ascii="Century Gothic" w:cs="Century Gothic" w:eastAsia="Century Gothic" w:hAnsi="Century Gothic"/>
          <w:rtl w:val="0"/>
        </w:rPr>
        <w:t xml:space="preserve">: Es una cadena de suministro de temperatura controlada, una cadena de frío que se mantiene intacta garantiza que el producto conserva sus propiedades estables.</w:t>
      </w:r>
      <w:r w:rsidDel="00000000" w:rsidR="00000000" w:rsidRPr="00000000">
        <w:rPr>
          <w:rtl w:val="0"/>
        </w:rPr>
      </w:r>
    </w:p>
    <w:p w:rsidR="00000000" w:rsidDel="00000000" w:rsidP="00000000" w:rsidRDefault="00000000" w:rsidRPr="00000000" w14:paraId="00000025">
      <w:pPr>
        <w:pStyle w:val="Heading1"/>
        <w:ind w:left="0" w:firstLine="0"/>
        <w:rPr>
          <w:rFonts w:ascii="Century Gothic" w:cs="Century Gothic" w:eastAsia="Century Gothic" w:hAnsi="Century Gothic"/>
          <w:sz w:val="22"/>
          <w:szCs w:val="22"/>
        </w:rPr>
      </w:pPr>
      <w:bookmarkStart w:colFirst="0" w:colLast="0" w:name="_heading=h.1fob9te" w:id="2"/>
      <w:bookmarkEnd w:id="2"/>
      <w:r w:rsidDel="00000000" w:rsidR="00000000" w:rsidRPr="00000000">
        <w:rPr>
          <w:rFonts w:ascii="Century Gothic" w:cs="Century Gothic" w:eastAsia="Century Gothic" w:hAnsi="Century Gothic"/>
          <w:sz w:val="22"/>
          <w:szCs w:val="22"/>
          <w:rtl w:val="0"/>
        </w:rPr>
        <w:t xml:space="preserve">RECURSOS MATERIALES – EQUIPOS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59"/>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Computador e Impresora, necesarios para la impresión de formatos de archivos en Excel sobre el histórico de almacenamiento de dispositivos médicos</w:t>
      </w:r>
    </w:p>
    <w:p w:rsidR="00000000" w:rsidDel="00000000" w:rsidP="00000000" w:rsidRDefault="00000000" w:rsidRPr="00000000" w14:paraId="00000028">
      <w:pPr>
        <w:pStyle w:val="Heading1"/>
        <w:ind w:left="0" w:firstLine="0"/>
        <w:rPr>
          <w:rFonts w:ascii="Century Gothic" w:cs="Century Gothic" w:eastAsia="Century Gothic" w:hAnsi="Century Gothic"/>
          <w:sz w:val="22"/>
          <w:szCs w:val="22"/>
        </w:rPr>
      </w:pPr>
      <w:bookmarkStart w:colFirst="0" w:colLast="0" w:name="_heading=h.2et92p0" w:id="3"/>
      <w:bookmarkEnd w:id="3"/>
      <w:r w:rsidDel="00000000" w:rsidR="00000000" w:rsidRPr="00000000">
        <w:rPr>
          <w:rFonts w:ascii="Century Gothic" w:cs="Century Gothic" w:eastAsia="Century Gothic" w:hAnsi="Century Gothic"/>
          <w:sz w:val="22"/>
          <w:szCs w:val="22"/>
          <w:rtl w:val="0"/>
        </w:rPr>
        <w:t xml:space="preserve">DOCUMENTOS DE REFERENCIA: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firstLine="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Resolución 000826 de 2003.</w:t>
      </w:r>
    </w:p>
    <w:p w:rsidR="00000000" w:rsidDel="00000000" w:rsidP="00000000" w:rsidRDefault="00000000" w:rsidRPr="00000000" w14:paraId="000000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firstLine="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Decreto 2200 de 2005</w:t>
      </w:r>
    </w:p>
    <w:p w:rsidR="00000000" w:rsidDel="00000000" w:rsidP="00000000" w:rsidRDefault="00000000" w:rsidRPr="00000000" w14:paraId="000000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firstLine="360"/>
        <w:jc w:val="both"/>
        <w:rPr>
          <w:rFonts w:ascii="Century Gothic" w:cs="Century Gothic" w:eastAsia="Century Gothic" w:hAnsi="Century Gothic"/>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Resolución 004816 de 2008</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firstLine="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Resolución 1403 de 2007</w:t>
      </w:r>
    </w:p>
    <w:p w:rsidR="00000000" w:rsidDel="00000000" w:rsidP="00000000" w:rsidRDefault="00000000" w:rsidRPr="00000000" w14:paraId="000000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firstLine="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Resolución 3100 de 2019</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spacing w:after="200" w:line="276"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DOCUMENTOS DE REFERENCIA</w:t>
      </w:r>
    </w:p>
    <w:p w:rsidR="00000000" w:rsidDel="00000000" w:rsidP="00000000" w:rsidRDefault="00000000" w:rsidRPr="00000000" w14:paraId="00000031">
      <w:pPr>
        <w:widowControl w:val="0"/>
        <w:numPr>
          <w:ilvl w:val="0"/>
          <w:numId w:val="2"/>
        </w:numPr>
        <w:spacing w:after="0" w:line="276"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Inventario de insumos y dispositivos:</w:t>
      </w:r>
    </w:p>
    <w:p w:rsidR="00000000" w:rsidDel="00000000" w:rsidP="00000000" w:rsidRDefault="00000000" w:rsidRPr="00000000" w14:paraId="00000032">
      <w:pPr>
        <w:widowControl w:val="0"/>
        <w:numPr>
          <w:ilvl w:val="0"/>
          <w:numId w:val="14"/>
        </w:numPr>
        <w:spacing w:after="0" w:afterAutospacing="0" w:line="276" w:lineRule="auto"/>
        <w:ind w:left="1440" w:hanging="360"/>
        <w:jc w:val="both"/>
        <w:rPr>
          <w:rFonts w:ascii="Century Gothic" w:cs="Century Gothic" w:eastAsia="Century Gothic" w:hAnsi="Century Gothic"/>
          <w:u w:val="none"/>
        </w:rPr>
      </w:pPr>
      <w:hyperlink r:id="rId7">
        <w:r w:rsidDel="00000000" w:rsidR="00000000" w:rsidRPr="00000000">
          <w:rPr>
            <w:rFonts w:ascii="Century Gothic" w:cs="Century Gothic" w:eastAsia="Century Gothic" w:hAnsi="Century Gothic"/>
            <w:color w:val="0000ee"/>
            <w:u w:val="single"/>
            <w:rtl w:val="0"/>
          </w:rPr>
          <w:t xml:space="preserve">DM-FOR-001 FORMATO PARA INVENTARIOS 2025.xlsx</w:t>
        </w:r>
      </w:hyperlink>
      <w:r w:rsidDel="00000000" w:rsidR="00000000" w:rsidRPr="00000000">
        <w:rPr>
          <w:rtl w:val="0"/>
        </w:rPr>
      </w:r>
    </w:p>
    <w:p w:rsidR="00000000" w:rsidDel="00000000" w:rsidP="00000000" w:rsidRDefault="00000000" w:rsidRPr="00000000" w14:paraId="00000033">
      <w:pPr>
        <w:widowControl w:val="0"/>
        <w:numPr>
          <w:ilvl w:val="0"/>
          <w:numId w:val="2"/>
        </w:numPr>
        <w:spacing w:after="0" w:line="276"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Formato para registro de temperatura y humedad relativa:</w:t>
      </w:r>
    </w:p>
    <w:p w:rsidR="00000000" w:rsidDel="00000000" w:rsidP="00000000" w:rsidRDefault="00000000" w:rsidRPr="00000000" w14:paraId="00000034">
      <w:pPr>
        <w:widowControl w:val="0"/>
        <w:numPr>
          <w:ilvl w:val="0"/>
          <w:numId w:val="3"/>
        </w:numPr>
        <w:spacing w:after="200" w:line="276" w:lineRule="auto"/>
        <w:ind w:left="1440" w:hanging="360"/>
        <w:jc w:val="both"/>
        <w:rPr>
          <w:rFonts w:ascii="Century Gothic" w:cs="Century Gothic" w:eastAsia="Century Gothic" w:hAnsi="Century Gothic"/>
          <w:u w:val="none"/>
        </w:rPr>
      </w:pPr>
      <w:hyperlink r:id="rId8">
        <w:r w:rsidDel="00000000" w:rsidR="00000000" w:rsidRPr="00000000">
          <w:rPr>
            <w:rFonts w:ascii="Century Gothic" w:cs="Century Gothic" w:eastAsia="Century Gothic" w:hAnsi="Century Gothic"/>
            <w:color w:val="0000ee"/>
            <w:u w:val="single"/>
            <w:rtl w:val="0"/>
          </w:rPr>
          <w:t xml:space="preserve">TyH 2025.xlsx</w:t>
        </w:r>
      </w:hyperlink>
      <w:r w:rsidDel="00000000" w:rsidR="00000000" w:rsidRPr="00000000">
        <w:rPr>
          <w:rtl w:val="0"/>
        </w:rPr>
      </w:r>
    </w:p>
    <w:p w:rsidR="00000000" w:rsidDel="00000000" w:rsidP="00000000" w:rsidRDefault="00000000" w:rsidRPr="00000000" w14:paraId="00000035">
      <w:pPr>
        <w:spacing w:after="200" w:line="276"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DESARROLLO DE LAS ACTIVIDADES</w:t>
      </w:r>
      <w:r w:rsidDel="00000000" w:rsidR="00000000" w:rsidRPr="00000000">
        <w:rPr>
          <w:rtl w:val="0"/>
        </w:rPr>
      </w:r>
    </w:p>
    <w:p w:rsidR="00000000" w:rsidDel="00000000" w:rsidP="00000000" w:rsidRDefault="00000000" w:rsidRPr="00000000" w14:paraId="00000036">
      <w:pPr>
        <w:pStyle w:val="Heading1"/>
        <w:numPr>
          <w:ilvl w:val="0"/>
          <w:numId w:val="10"/>
        </w:numPr>
        <w:ind w:left="502" w:right="299.5275590551182" w:hanging="360"/>
        <w:rPr>
          <w:sz w:val="22"/>
          <w:szCs w:val="22"/>
        </w:rPr>
      </w:pPr>
      <w:bookmarkStart w:colFirst="0" w:colLast="0" w:name="_heading=h.tyjcwt" w:id="4"/>
      <w:bookmarkEnd w:id="4"/>
      <w:r w:rsidDel="00000000" w:rsidR="00000000" w:rsidRPr="00000000">
        <w:rPr>
          <w:rFonts w:ascii="Century Gothic" w:cs="Century Gothic" w:eastAsia="Century Gothic" w:hAnsi="Century Gothic"/>
          <w:sz w:val="22"/>
          <w:szCs w:val="22"/>
          <w:rtl w:val="0"/>
        </w:rPr>
        <w:t xml:space="preserve">Selección de Proveedores de dispositivos médicos e insumos.</w:t>
      </w:r>
    </w:p>
    <w:p w:rsidR="00000000" w:rsidDel="00000000" w:rsidP="00000000" w:rsidRDefault="00000000" w:rsidRPr="00000000" w14:paraId="00000037">
      <w:pPr>
        <w:widowControl w:val="0"/>
        <w:numPr>
          <w:ilvl w:val="0"/>
          <w:numId w:val="15"/>
        </w:numPr>
        <w:spacing w:after="200" w:line="276" w:lineRule="auto"/>
        <w:ind w:left="1440" w:right="299.5275590551182"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Definición de criterios del proveedor: </w:t>
      </w:r>
      <w:r w:rsidDel="00000000" w:rsidR="00000000" w:rsidRPr="00000000">
        <w:rPr>
          <w:rFonts w:ascii="Century Gothic" w:cs="Century Gothic" w:eastAsia="Century Gothic" w:hAnsi="Century Gothic"/>
          <w:rtl w:val="0"/>
        </w:rPr>
        <w:t xml:space="preserve">Desde la IPS se han establecido los criterios para seleccionar los proveedores de insumos necesarios para el servicio, considerando aspectos normativos, logísticos y de calidad del producto.</w:t>
      </w:r>
    </w:p>
    <w:p w:rsidR="00000000" w:rsidDel="00000000" w:rsidP="00000000" w:rsidRDefault="00000000" w:rsidRPr="00000000" w14:paraId="00000038">
      <w:pPr>
        <w:widowControl w:val="0"/>
        <w:numPr>
          <w:ilvl w:val="0"/>
          <w:numId w:val="15"/>
        </w:numPr>
        <w:spacing w:after="200" w:line="276" w:lineRule="auto"/>
        <w:ind w:left="1440" w:right="299.5275590551182"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Validación telefónica o presencial: </w:t>
      </w:r>
      <w:r w:rsidDel="00000000" w:rsidR="00000000" w:rsidRPr="00000000">
        <w:rPr>
          <w:rFonts w:ascii="Century Gothic" w:cs="Century Gothic" w:eastAsia="Century Gothic" w:hAnsi="Century Gothic"/>
          <w:rtl w:val="0"/>
        </w:rPr>
        <w:t xml:space="preserve">Se realiza contacto telefónico o presencial con el proveedor para verificar en el mismo momento de la compra que cumpla con los siguientes aspectos:</w:t>
      </w:r>
    </w:p>
    <w:p w:rsidR="00000000" w:rsidDel="00000000" w:rsidP="00000000" w:rsidRDefault="00000000" w:rsidRPr="00000000" w14:paraId="00000039">
      <w:pPr>
        <w:widowControl w:val="0"/>
        <w:numPr>
          <w:ilvl w:val="0"/>
          <w:numId w:val="7"/>
        </w:numPr>
        <w:spacing w:after="200" w:line="276" w:lineRule="auto"/>
        <w:ind w:left="1440" w:right="299.5275590551182"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Estar legalmente constituido.</w:t>
      </w:r>
    </w:p>
    <w:p w:rsidR="00000000" w:rsidDel="00000000" w:rsidP="00000000" w:rsidRDefault="00000000" w:rsidRPr="00000000" w14:paraId="0000003A">
      <w:pPr>
        <w:widowControl w:val="0"/>
        <w:numPr>
          <w:ilvl w:val="0"/>
          <w:numId w:val="7"/>
        </w:numPr>
        <w:spacing w:after="200" w:line="276" w:lineRule="auto"/>
        <w:ind w:left="1440" w:right="299.5275590551182"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Contar con un sistema contable habilitado para generar facturación electrónica.</w:t>
      </w:r>
    </w:p>
    <w:p w:rsidR="00000000" w:rsidDel="00000000" w:rsidP="00000000" w:rsidRDefault="00000000" w:rsidRPr="00000000" w14:paraId="0000003B">
      <w:pPr>
        <w:widowControl w:val="0"/>
        <w:numPr>
          <w:ilvl w:val="0"/>
          <w:numId w:val="7"/>
        </w:numPr>
        <w:spacing w:after="200" w:line="276" w:lineRule="auto"/>
        <w:ind w:left="1440" w:right="299.5275590551182"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Dispensar productos con fecha de vencimiento mayor a 6 meses.</w:t>
      </w:r>
    </w:p>
    <w:p w:rsidR="00000000" w:rsidDel="00000000" w:rsidP="00000000" w:rsidRDefault="00000000" w:rsidRPr="00000000" w14:paraId="0000003C">
      <w:pPr>
        <w:widowControl w:val="0"/>
        <w:numPr>
          <w:ilvl w:val="0"/>
          <w:numId w:val="7"/>
        </w:numPr>
        <w:spacing w:after="200" w:line="276" w:lineRule="auto"/>
        <w:ind w:left="1440" w:right="299.5275590551182"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Garantizar el suministro completo y puntual de los insumos requeridos.</w:t>
      </w:r>
    </w:p>
    <w:p w:rsidR="00000000" w:rsidDel="00000000" w:rsidP="00000000" w:rsidRDefault="00000000" w:rsidRPr="00000000" w14:paraId="0000003D">
      <w:pPr>
        <w:widowControl w:val="0"/>
        <w:numPr>
          <w:ilvl w:val="0"/>
          <w:numId w:val="7"/>
        </w:numPr>
        <w:spacing w:after="200" w:line="276" w:lineRule="auto"/>
        <w:ind w:left="1440" w:right="299.5275590551182"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Brindar buen servicio antes, durante y después de la compra.</w:t>
      </w:r>
    </w:p>
    <w:p w:rsidR="00000000" w:rsidDel="00000000" w:rsidP="00000000" w:rsidRDefault="00000000" w:rsidRPr="00000000" w14:paraId="0000003E">
      <w:pPr>
        <w:widowControl w:val="0"/>
        <w:numPr>
          <w:ilvl w:val="0"/>
          <w:numId w:val="16"/>
        </w:numPr>
        <w:spacing w:after="200" w:line="276" w:lineRule="auto"/>
        <w:ind w:left="720" w:right="299.5275590551182"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Aplicación según el volumen de la compra:</w:t>
      </w:r>
      <w:r w:rsidDel="00000000" w:rsidR="00000000" w:rsidRPr="00000000">
        <w:rPr>
          <w:rFonts w:ascii="Century Gothic" w:cs="Century Gothic" w:eastAsia="Century Gothic" w:hAnsi="Century Gothic"/>
          <w:rtl w:val="0"/>
        </w:rPr>
        <w:t xml:space="preserve"> En compras pequeñas o de pocos insumos, la validación del proveedor se realiza directamente en el momento de la compra, ya sea por vía telefónica o presencial en el sitio. Solo en caso de adquisiciones de múltiples o altos volúmenes de insumos, se realizará una evaluación comparativa de varios proveedores, con base en los criterios establecidos y se realizará vía correo electrónico para dejar el soporte.</w:t>
      </w:r>
    </w:p>
    <w:p w:rsidR="00000000" w:rsidDel="00000000" w:rsidP="00000000" w:rsidRDefault="00000000" w:rsidRPr="00000000" w14:paraId="0000003F">
      <w:pPr>
        <w:widowControl w:val="0"/>
        <w:numPr>
          <w:ilvl w:val="0"/>
          <w:numId w:val="16"/>
        </w:numPr>
        <w:spacing w:after="200" w:line="276" w:lineRule="auto"/>
        <w:ind w:left="720" w:right="299.5275590551182"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Revisión de criterios clave: </w:t>
      </w:r>
      <w:r w:rsidDel="00000000" w:rsidR="00000000" w:rsidRPr="00000000">
        <w:rPr>
          <w:rFonts w:ascii="Century Gothic" w:cs="Century Gothic" w:eastAsia="Century Gothic" w:hAnsi="Century Gothic"/>
          <w:rtl w:val="0"/>
        </w:rPr>
        <w:t xml:space="preserve">Durante la validación, se tienen en cuenta los siguientes criterios:</w:t>
      </w:r>
    </w:p>
    <w:p w:rsidR="00000000" w:rsidDel="00000000" w:rsidP="00000000" w:rsidRDefault="00000000" w:rsidRPr="00000000" w14:paraId="00000040">
      <w:pPr>
        <w:widowControl w:val="0"/>
        <w:numPr>
          <w:ilvl w:val="0"/>
          <w:numId w:val="8"/>
        </w:numPr>
        <w:spacing w:after="200" w:line="276" w:lineRule="auto"/>
        <w:ind w:left="1440" w:right="299.5275590551182" w:hanging="360"/>
        <w:jc w:val="both"/>
        <w:rPr/>
      </w:pPr>
      <w:r w:rsidDel="00000000" w:rsidR="00000000" w:rsidRPr="00000000">
        <w:rPr>
          <w:rFonts w:ascii="Century Gothic" w:cs="Century Gothic" w:eastAsia="Century Gothic" w:hAnsi="Century Gothic"/>
          <w:b w:val="1"/>
          <w:bCs w:val="1"/>
          <w:rtl w:val="0"/>
        </w:rPr>
        <w:t xml:space="preserve">Cumplimiento normativo</w:t>
      </w:r>
      <w:r w:rsidDel="00000000" w:rsidR="00000000" w:rsidRPr="00000000">
        <w:rPr>
          <w:rFonts w:ascii="Century Gothic" w:cs="Century Gothic" w:eastAsia="Century Gothic" w:hAnsi="Century Gothic"/>
          <w:rtl w:val="0"/>
        </w:rPr>
        <w:t xml:space="preserve">: Legalidad y sistema contable adecuado.</w:t>
      </w:r>
    </w:p>
    <w:p w:rsidR="00000000" w:rsidDel="00000000" w:rsidP="00000000" w:rsidRDefault="00000000" w:rsidRPr="00000000" w14:paraId="00000041">
      <w:pPr>
        <w:widowControl w:val="0"/>
        <w:numPr>
          <w:ilvl w:val="0"/>
          <w:numId w:val="8"/>
        </w:numPr>
        <w:spacing w:after="200" w:line="276" w:lineRule="auto"/>
        <w:ind w:left="1440" w:right="299.5275590551182" w:hanging="360"/>
        <w:jc w:val="both"/>
        <w:rPr/>
      </w:pPr>
      <w:r w:rsidDel="00000000" w:rsidR="00000000" w:rsidRPr="00000000">
        <w:rPr>
          <w:rFonts w:ascii="Century Gothic" w:cs="Century Gothic" w:eastAsia="Century Gothic" w:hAnsi="Century Gothic"/>
          <w:b w:val="1"/>
          <w:bCs w:val="1"/>
          <w:rtl w:val="0"/>
        </w:rPr>
        <w:t xml:space="preserve">Cumplimiento en entrega</w:t>
      </w:r>
      <w:r w:rsidDel="00000000" w:rsidR="00000000" w:rsidRPr="00000000">
        <w:rPr>
          <w:rFonts w:ascii="Century Gothic" w:cs="Century Gothic" w:eastAsia="Century Gothic" w:hAnsi="Century Gothic"/>
          <w:rtl w:val="0"/>
        </w:rPr>
        <w:t xml:space="preserve">: Puntualidad y capacidad de respuesta ante imprevistos.</w:t>
      </w:r>
    </w:p>
    <w:p w:rsidR="00000000" w:rsidDel="00000000" w:rsidP="00000000" w:rsidRDefault="00000000" w:rsidRPr="00000000" w14:paraId="00000042">
      <w:pPr>
        <w:widowControl w:val="0"/>
        <w:numPr>
          <w:ilvl w:val="0"/>
          <w:numId w:val="8"/>
        </w:numPr>
        <w:spacing w:after="200" w:line="276" w:lineRule="auto"/>
        <w:ind w:left="1440" w:right="299.5275590551182" w:hanging="360"/>
        <w:jc w:val="both"/>
        <w:rPr/>
      </w:pPr>
      <w:r w:rsidDel="00000000" w:rsidR="00000000" w:rsidRPr="00000000">
        <w:rPr>
          <w:rFonts w:ascii="Century Gothic" w:cs="Century Gothic" w:eastAsia="Century Gothic" w:hAnsi="Century Gothic"/>
          <w:b w:val="1"/>
          <w:bCs w:val="1"/>
          <w:rtl w:val="0"/>
        </w:rPr>
        <w:t xml:space="preserve">Cumplimiento en ítems pedidos</w:t>
      </w:r>
      <w:r w:rsidDel="00000000" w:rsidR="00000000" w:rsidRPr="00000000">
        <w:rPr>
          <w:rFonts w:ascii="Century Gothic" w:cs="Century Gothic" w:eastAsia="Century Gothic" w:hAnsi="Century Gothic"/>
          <w:rtl w:val="0"/>
        </w:rPr>
        <w:t xml:space="preserve">: Entrega completa de productos solicitados.</w:t>
      </w:r>
    </w:p>
    <w:p w:rsidR="00000000" w:rsidDel="00000000" w:rsidP="00000000" w:rsidRDefault="00000000" w:rsidRPr="00000000" w14:paraId="00000043">
      <w:pPr>
        <w:widowControl w:val="0"/>
        <w:numPr>
          <w:ilvl w:val="0"/>
          <w:numId w:val="8"/>
        </w:numPr>
        <w:spacing w:after="200" w:line="276" w:lineRule="auto"/>
        <w:ind w:left="1440" w:right="299.5275590551182" w:hanging="360"/>
        <w:jc w:val="both"/>
        <w:rPr/>
      </w:pPr>
      <w:r w:rsidDel="00000000" w:rsidR="00000000" w:rsidRPr="00000000">
        <w:rPr>
          <w:rFonts w:ascii="Century Gothic" w:cs="Century Gothic" w:eastAsia="Century Gothic" w:hAnsi="Century Gothic"/>
          <w:b w:val="1"/>
          <w:bCs w:val="1"/>
          <w:rtl w:val="0"/>
        </w:rPr>
        <w:t xml:space="preserve">Precio</w:t>
      </w:r>
      <w:r w:rsidDel="00000000" w:rsidR="00000000" w:rsidRPr="00000000">
        <w:rPr>
          <w:rFonts w:ascii="Century Gothic" w:cs="Century Gothic" w:eastAsia="Century Gothic" w:hAnsi="Century Gothic"/>
          <w:rtl w:val="0"/>
        </w:rPr>
        <w:t xml:space="preserve">: Evaluación del costo en relación con la calidad.</w:t>
      </w:r>
    </w:p>
    <w:p w:rsidR="00000000" w:rsidDel="00000000" w:rsidP="00000000" w:rsidRDefault="00000000" w:rsidRPr="00000000" w14:paraId="00000044">
      <w:pPr>
        <w:widowControl w:val="0"/>
        <w:numPr>
          <w:ilvl w:val="0"/>
          <w:numId w:val="8"/>
        </w:numPr>
        <w:spacing w:after="200" w:line="276" w:lineRule="auto"/>
        <w:ind w:left="1440" w:right="299.5275590551182" w:hanging="360"/>
        <w:jc w:val="both"/>
        <w:rPr/>
      </w:pPr>
      <w:r w:rsidDel="00000000" w:rsidR="00000000" w:rsidRPr="00000000">
        <w:rPr>
          <w:rFonts w:ascii="Century Gothic" w:cs="Century Gothic" w:eastAsia="Century Gothic" w:hAnsi="Century Gothic"/>
          <w:b w:val="1"/>
          <w:bCs w:val="1"/>
          <w:rtl w:val="0"/>
        </w:rPr>
        <w:t xml:space="preserve">Servicio</w:t>
      </w:r>
      <w:r w:rsidDel="00000000" w:rsidR="00000000" w:rsidRPr="00000000">
        <w:rPr>
          <w:rFonts w:ascii="Century Gothic" w:cs="Century Gothic" w:eastAsia="Century Gothic" w:hAnsi="Century Gothic"/>
          <w:rtl w:val="0"/>
        </w:rPr>
        <w:t xml:space="preserve">: Atención ofrecida durante todas las etapas de compra y postventa.</w:t>
      </w:r>
    </w:p>
    <w:p w:rsidR="00000000" w:rsidDel="00000000" w:rsidP="00000000" w:rsidRDefault="00000000" w:rsidRPr="00000000" w14:paraId="00000045">
      <w:pPr>
        <w:widowControl w:val="0"/>
        <w:numPr>
          <w:ilvl w:val="0"/>
          <w:numId w:val="8"/>
        </w:numPr>
        <w:spacing w:after="200" w:line="276" w:lineRule="auto"/>
        <w:ind w:left="1440" w:right="299.5275590551182" w:hanging="360"/>
        <w:jc w:val="both"/>
        <w:rPr/>
      </w:pPr>
      <w:r w:rsidDel="00000000" w:rsidR="00000000" w:rsidRPr="00000000">
        <w:rPr>
          <w:rFonts w:ascii="Century Gothic" w:cs="Century Gothic" w:eastAsia="Century Gothic" w:hAnsi="Century Gothic"/>
          <w:b w:val="1"/>
          <w:bCs w:val="1"/>
          <w:rtl w:val="0"/>
        </w:rPr>
        <w:t xml:space="preserve">Productos</w:t>
      </w:r>
      <w:r w:rsidDel="00000000" w:rsidR="00000000" w:rsidRPr="00000000">
        <w:rPr>
          <w:rFonts w:ascii="Century Gothic" w:cs="Century Gothic" w:eastAsia="Century Gothic" w:hAnsi="Century Gothic"/>
          <w:rtl w:val="0"/>
        </w:rPr>
        <w:t xml:space="preserve">: Garantía de suficiencia y cumplimiento de condiciones de calidad, como fechas de vencimiento adecuadas.</w:t>
      </w:r>
    </w:p>
    <w:p w:rsidR="00000000" w:rsidDel="00000000" w:rsidP="00000000" w:rsidRDefault="00000000" w:rsidRPr="00000000" w14:paraId="00000046">
      <w:pPr>
        <w:pStyle w:val="Heading1"/>
        <w:numPr>
          <w:ilvl w:val="0"/>
          <w:numId w:val="10"/>
        </w:numPr>
        <w:ind w:left="502" w:hanging="360"/>
        <w:rPr>
          <w:sz w:val="22"/>
          <w:szCs w:val="22"/>
        </w:rPr>
      </w:pPr>
      <w:bookmarkStart w:colFirst="0" w:colLast="0" w:name="_heading=h.3dy6vkm" w:id="5"/>
      <w:bookmarkEnd w:id="5"/>
      <w:r w:rsidDel="00000000" w:rsidR="00000000" w:rsidRPr="00000000">
        <w:rPr>
          <w:rFonts w:ascii="Century Gothic" w:cs="Century Gothic" w:eastAsia="Century Gothic" w:hAnsi="Century Gothic"/>
          <w:sz w:val="22"/>
          <w:szCs w:val="22"/>
          <w:rtl w:val="0"/>
        </w:rPr>
        <w:t xml:space="preserve">ADQUISICIÓN </w:t>
      </w:r>
    </w:p>
    <w:p w:rsidR="00000000" w:rsidDel="00000000" w:rsidP="00000000" w:rsidRDefault="00000000" w:rsidRPr="00000000" w14:paraId="00000047">
      <w:pPr>
        <w:spacing w:after="200" w:line="276" w:lineRule="auto"/>
        <w:ind w:right="334.133858267717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la IPS se tiene establecido adquirir dispositivos médicos e insumos que cumplan con todos los criterios de calidad y los requerimientos normativos, para todos los dispositivos médicos e insumos que por norma requieren registro Invima, este será un requisito para la adquisición. Para los dispositivos médicos e insumos que por norma no requieren Invima (productos de venta libre) se tendrá en cuenta criterios de calidad, posicionamiento en el mercado y respaldo del fabricante.</w:t>
      </w:r>
    </w:p>
    <w:p w:rsidR="00000000" w:rsidDel="00000000" w:rsidP="00000000" w:rsidRDefault="00000000" w:rsidRPr="00000000" w14:paraId="00000048">
      <w:pPr>
        <w:spacing w:after="200" w:line="276" w:lineRule="auto"/>
        <w:ind w:right="334.133858267717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definición del stock de medicamentos, dispositivos médicos e  insumos se establece de acuerdo a los servicios brindados en la IPS.</w:t>
      </w:r>
    </w:p>
    <w:p w:rsidR="00000000" w:rsidDel="00000000" w:rsidP="00000000" w:rsidRDefault="00000000" w:rsidRPr="00000000" w14:paraId="00000049">
      <w:pPr>
        <w:spacing w:after="200" w:line="276" w:lineRule="auto"/>
        <w:ind w:right="334.133858267717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pedido de dispositivos médicos e insumos se realiza la última semana del mes, de acuerdo a la cantidad establecida en el inventario realizado por la auxiliar administrativa, con el compromiso de que sean entregados la primera semana del mes siguiente, con esa metodología se garantiza el suministro de medicamentos, dispositivos médicos e insumos de manera permanente y se controla el riesgo de desabastecimiento.</w:t>
      </w:r>
    </w:p>
    <w:p w:rsidR="00000000" w:rsidDel="00000000" w:rsidP="00000000" w:rsidRDefault="00000000" w:rsidRPr="00000000" w14:paraId="0000004A">
      <w:pPr>
        <w:pStyle w:val="Heading1"/>
        <w:numPr>
          <w:ilvl w:val="0"/>
          <w:numId w:val="10"/>
        </w:numPr>
        <w:ind w:left="502" w:hanging="360"/>
        <w:rPr>
          <w:sz w:val="22"/>
          <w:szCs w:val="22"/>
        </w:rPr>
      </w:pPr>
      <w:bookmarkStart w:colFirst="0" w:colLast="0" w:name="_heading=h.1t3h5sf" w:id="6"/>
      <w:bookmarkEnd w:id="6"/>
      <w:r w:rsidDel="00000000" w:rsidR="00000000" w:rsidRPr="00000000">
        <w:rPr>
          <w:rFonts w:ascii="Century Gothic" w:cs="Century Gothic" w:eastAsia="Century Gothic" w:hAnsi="Century Gothic"/>
          <w:sz w:val="22"/>
          <w:szCs w:val="22"/>
          <w:rtl w:val="0"/>
        </w:rPr>
        <w:t xml:space="preserve">TRANSPORTE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C">
      <w:pPr>
        <w:spacing w:after="200" w:line="240" w:lineRule="auto"/>
        <w:ind w:left="0" w:right="334.1338582677173"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rtl w:val="0"/>
        </w:rPr>
        <w:t xml:space="preserve">El proveedor debe garantizar las adecuadas condiciones de transporte, gestionando las acciones necesarias para cumplir con las recomendaciones del fabricante con respecto a la temperatura, almacenamiento y conservación.</w:t>
      </w:r>
      <w:r w:rsidDel="00000000" w:rsidR="00000000" w:rsidRPr="00000000">
        <w:rPr>
          <w:rtl w:val="0"/>
        </w:rPr>
      </w:r>
    </w:p>
    <w:p w:rsidR="00000000" w:rsidDel="00000000" w:rsidP="00000000" w:rsidRDefault="00000000" w:rsidRPr="00000000" w14:paraId="0000004D">
      <w:pPr>
        <w:pStyle w:val="Heading1"/>
        <w:numPr>
          <w:ilvl w:val="0"/>
          <w:numId w:val="10"/>
        </w:numPr>
        <w:ind w:left="502" w:hanging="360"/>
        <w:rPr>
          <w:sz w:val="22"/>
          <w:szCs w:val="22"/>
        </w:rPr>
      </w:pPr>
      <w:bookmarkStart w:colFirst="0" w:colLast="0" w:name="_heading=h.4d34og8" w:id="7"/>
      <w:bookmarkEnd w:id="7"/>
      <w:r w:rsidDel="00000000" w:rsidR="00000000" w:rsidRPr="00000000">
        <w:rPr>
          <w:rFonts w:ascii="Century Gothic" w:cs="Century Gothic" w:eastAsia="Century Gothic" w:hAnsi="Century Gothic"/>
          <w:sz w:val="22"/>
          <w:szCs w:val="22"/>
          <w:rtl w:val="0"/>
        </w:rPr>
        <w:t xml:space="preserve">RECEPCIÓN </w:t>
      </w:r>
    </w:p>
    <w:p w:rsidR="00000000" w:rsidDel="00000000" w:rsidP="00000000" w:rsidRDefault="00000000" w:rsidRPr="00000000" w14:paraId="0000004E">
      <w:pPr>
        <w:spacing w:after="200" w:line="240" w:lineRule="auto"/>
        <w:ind w:right="334.133858267717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persona responsable de recibir los medicamentos, insumos y dispositivos entregados por los proveedores es la auxiliar administrativa, en su ausencia la Gerencia se encargará de designar un reemplazo para que realice esta actividad.</w:t>
      </w:r>
    </w:p>
    <w:p w:rsidR="00000000" w:rsidDel="00000000" w:rsidP="00000000" w:rsidRDefault="00000000" w:rsidRPr="00000000" w14:paraId="0000004F">
      <w:pPr>
        <w:spacing w:after="200" w:line="240" w:lineRule="auto"/>
        <w:ind w:left="0" w:right="334.1338582677173"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 momento de recibir pedidos el funcionario responsable de esta actividad debe verificar los siguientes criterios:</w:t>
      </w:r>
    </w:p>
    <w:p w:rsidR="00000000" w:rsidDel="00000000" w:rsidP="00000000" w:rsidRDefault="00000000" w:rsidRPr="00000000" w14:paraId="00000050">
      <w:pPr>
        <w:widowControl w:val="0"/>
        <w:numPr>
          <w:ilvl w:val="0"/>
          <w:numId w:val="1"/>
        </w:numPr>
        <w:spacing w:after="0" w:afterAutospacing="0" w:line="276" w:lineRule="auto"/>
        <w:ind w:left="720" w:right="334.1338582677173"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La cantidad entregada debe coincidir con la cantidad solicitada.</w:t>
      </w:r>
    </w:p>
    <w:p w:rsidR="00000000" w:rsidDel="00000000" w:rsidP="00000000" w:rsidRDefault="00000000" w:rsidRPr="00000000" w14:paraId="00000051">
      <w:pPr>
        <w:widowControl w:val="0"/>
        <w:numPr>
          <w:ilvl w:val="0"/>
          <w:numId w:val="1"/>
        </w:numPr>
        <w:spacing w:after="0" w:afterAutospacing="0" w:line="276" w:lineRule="auto"/>
        <w:ind w:left="720" w:right="334.1338582677173"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Los insumos entregados deben llegar con la correspondiente factura.</w:t>
      </w:r>
    </w:p>
    <w:p w:rsidR="00000000" w:rsidDel="00000000" w:rsidP="00000000" w:rsidRDefault="00000000" w:rsidRPr="00000000" w14:paraId="00000052">
      <w:pPr>
        <w:widowControl w:val="0"/>
        <w:numPr>
          <w:ilvl w:val="0"/>
          <w:numId w:val="1"/>
        </w:numPr>
        <w:spacing w:after="0" w:afterAutospacing="0" w:line="276" w:lineRule="auto"/>
        <w:ind w:left="720" w:right="334.1338582677173"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Los insumos recibidos deben estar en buen estado, deben venir en cajas cerradas y con el sello de seguridad respectivo.</w:t>
      </w:r>
    </w:p>
    <w:p w:rsidR="00000000" w:rsidDel="00000000" w:rsidP="00000000" w:rsidRDefault="00000000" w:rsidRPr="00000000" w14:paraId="00000053">
      <w:pPr>
        <w:widowControl w:val="0"/>
        <w:numPr>
          <w:ilvl w:val="0"/>
          <w:numId w:val="1"/>
        </w:numPr>
        <w:spacing w:after="0" w:afterAutospacing="0" w:line="276" w:lineRule="auto"/>
        <w:ind w:left="720" w:right="334.1338582677173"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La fecha de vencimiento debe ser superior a seis (6) meses, por lo cual se debe verificar fecha de vencimiento en el momento de recibir, de tal manera que si se observa una inconsistencia la devolución del producto se hace de manera inmediata</w:t>
      </w:r>
    </w:p>
    <w:p w:rsidR="00000000" w:rsidDel="00000000" w:rsidP="00000000" w:rsidRDefault="00000000" w:rsidRPr="00000000" w14:paraId="00000054">
      <w:pPr>
        <w:widowControl w:val="0"/>
        <w:numPr>
          <w:ilvl w:val="0"/>
          <w:numId w:val="1"/>
        </w:numPr>
        <w:spacing w:after="0" w:afterAutospacing="0" w:line="276" w:lineRule="auto"/>
        <w:ind w:left="720" w:right="334.1338582677173"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Los medicamentos, dispositivos médicos e insumos se reciben directamente en el área de recepción, para lo cual se cuenta con el formato de listado de insumos y dispositivos que contienen los aspectos básicos de norma requerida para realizar la verificación y recibo de estos. </w:t>
      </w:r>
      <w:hyperlink r:id="rId9">
        <w:r w:rsidDel="00000000" w:rsidR="00000000" w:rsidRPr="00000000">
          <w:rPr>
            <w:rFonts w:ascii="Century Gothic" w:cs="Century Gothic" w:eastAsia="Century Gothic" w:hAnsi="Century Gothic"/>
            <w:color w:val="0000ee"/>
            <w:sz w:val="20"/>
            <w:szCs w:val="20"/>
            <w:u w:val="single"/>
            <w:rtl w:val="0"/>
          </w:rPr>
          <w:t xml:space="preserve">DM-FOR-001 FORMATO PARA INVENTARIOS 2025.xlsx</w:t>
        </w:r>
      </w:hyperlink>
      <w:r w:rsidDel="00000000" w:rsidR="00000000" w:rsidRPr="00000000">
        <w:rPr>
          <w:rtl w:val="0"/>
        </w:rPr>
      </w:r>
    </w:p>
    <w:p w:rsidR="00000000" w:rsidDel="00000000" w:rsidP="00000000" w:rsidRDefault="00000000" w:rsidRPr="00000000" w14:paraId="00000055">
      <w:pPr>
        <w:widowControl w:val="0"/>
        <w:numPr>
          <w:ilvl w:val="0"/>
          <w:numId w:val="1"/>
        </w:numPr>
        <w:spacing w:after="200" w:line="276" w:lineRule="auto"/>
        <w:ind w:left="720" w:right="334.1338582677173"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Todo insumo que no cumpla con especificaciones de calidad: vencido o con empaque en mal estado, evidencias de mala conservación, etc. Debe ser DEVUELTO INMEDIATAMENTE y notificarlo a la Gerencia.</w:t>
      </w:r>
      <w:r w:rsidDel="00000000" w:rsidR="00000000" w:rsidRPr="00000000">
        <w:rPr>
          <w:rtl w:val="0"/>
        </w:rPr>
      </w:r>
    </w:p>
    <w:p w:rsidR="00000000" w:rsidDel="00000000" w:rsidP="00000000" w:rsidRDefault="00000000" w:rsidRPr="00000000" w14:paraId="00000056">
      <w:pPr>
        <w:pStyle w:val="Heading1"/>
        <w:numPr>
          <w:ilvl w:val="0"/>
          <w:numId w:val="10"/>
        </w:numPr>
        <w:spacing w:after="200" w:lineRule="auto"/>
        <w:ind w:left="502" w:hanging="360"/>
        <w:rPr>
          <w:sz w:val="22"/>
          <w:szCs w:val="22"/>
        </w:rPr>
      </w:pPr>
      <w:bookmarkStart w:colFirst="0" w:colLast="0" w:name="_heading=h.2s8eyo1" w:id="8"/>
      <w:bookmarkEnd w:id="8"/>
      <w:r w:rsidDel="00000000" w:rsidR="00000000" w:rsidRPr="00000000">
        <w:rPr>
          <w:rFonts w:ascii="Century Gothic" w:cs="Century Gothic" w:eastAsia="Century Gothic" w:hAnsi="Century Gothic"/>
          <w:sz w:val="22"/>
          <w:szCs w:val="22"/>
          <w:rtl w:val="0"/>
        </w:rPr>
        <w:t xml:space="preserve">ALMACENAMIENTO </w:t>
      </w:r>
    </w:p>
    <w:p w:rsidR="00000000" w:rsidDel="00000000" w:rsidP="00000000" w:rsidRDefault="00000000" w:rsidRPr="00000000" w14:paraId="00000057">
      <w:pPr>
        <w:spacing w:after="200" w:line="276" w:lineRule="auto"/>
        <w:ind w:right="334.133858267717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almacenamiento de dispositivos médicos e insumos conjuga las actividades de recepción, clasificación, ubicación, custodia y control de existencias, de los medicamentos, dispositivos médicos e insumos necesarios para la adecuada prestación del servicio. Teniendo en cuenta que el almacenamiento tiene como objetivo conservar las características y/o propiedades de los dispositivos médicos e insumos (de acuerdo a las recomendaciones del fabricante), estos se almacenan en un ambiente con acceso solo para el personal medico, en area de examen físico, con control de condiciones ambientales y bajo la responsabilidad del personal auxiliar administrativa.</w:t>
      </w:r>
    </w:p>
    <w:p w:rsidR="00000000" w:rsidDel="00000000" w:rsidP="00000000" w:rsidRDefault="00000000" w:rsidRPr="00000000" w14:paraId="00000058">
      <w:pPr>
        <w:spacing w:after="200" w:line="276" w:lineRule="auto"/>
        <w:ind w:right="334.133858267717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Las condiciones de limpieza en el área de almacenamiento deben ser óptimas, en este espacio no debe haber humedad o filtraciones que puedan generar moho y favorecer el deterioro de los dispositivos médicos e insumos.</w:t>
      </w:r>
    </w:p>
    <w:p w:rsidR="00000000" w:rsidDel="00000000" w:rsidP="00000000" w:rsidRDefault="00000000" w:rsidRPr="00000000" w14:paraId="00000059">
      <w:pPr>
        <w:spacing w:after="200" w:line="276" w:lineRule="auto"/>
        <w:ind w:right="334.1338582677173"/>
        <w:jc w:val="both"/>
        <w:rPr/>
      </w:pPr>
      <w:r w:rsidDel="00000000" w:rsidR="00000000" w:rsidRPr="00000000">
        <w:rPr>
          <w:rFonts w:ascii="Century Gothic" w:cs="Century Gothic" w:eastAsia="Century Gothic" w:hAnsi="Century Gothic"/>
          <w:rtl w:val="0"/>
        </w:rPr>
        <w:t xml:space="preserve">El almacenamiento se realiza teniendo en cuenta el sistema PEPS, es decir lo primero que entra a la IPS es lo primero en salir, considerando la fecha de vencimiento de los productos.</w:t>
      </w:r>
      <w:r w:rsidDel="00000000" w:rsidR="00000000" w:rsidRPr="00000000">
        <w:rPr>
          <w:rtl w:val="0"/>
        </w:rPr>
      </w:r>
    </w:p>
    <w:p w:rsidR="00000000" w:rsidDel="00000000" w:rsidP="00000000" w:rsidRDefault="00000000" w:rsidRPr="00000000" w14:paraId="0000005A">
      <w:pPr>
        <w:pStyle w:val="Heading1"/>
        <w:numPr>
          <w:ilvl w:val="0"/>
          <w:numId w:val="10"/>
        </w:numPr>
        <w:spacing w:after="200" w:lineRule="auto"/>
        <w:ind w:left="502" w:hanging="360"/>
        <w:rPr>
          <w:sz w:val="22"/>
          <w:szCs w:val="22"/>
        </w:rPr>
      </w:pPr>
      <w:bookmarkStart w:colFirst="0" w:colLast="0" w:name="_heading=h.bpsy4sa2cyiv" w:id="9"/>
      <w:bookmarkEnd w:id="9"/>
      <w:r w:rsidDel="00000000" w:rsidR="00000000" w:rsidRPr="00000000">
        <w:rPr>
          <w:rFonts w:ascii="Century Gothic" w:cs="Century Gothic" w:eastAsia="Century Gothic" w:hAnsi="Century Gothic"/>
          <w:sz w:val="22"/>
          <w:szCs w:val="22"/>
          <w:rtl w:val="0"/>
        </w:rPr>
        <w:t xml:space="preserve">CONSERVACIÓN </w:t>
      </w:r>
      <w:r w:rsidDel="00000000" w:rsidR="00000000" w:rsidRPr="00000000">
        <w:rPr>
          <w:rtl w:val="0"/>
        </w:rPr>
      </w:r>
    </w:p>
    <w:p w:rsidR="00000000" w:rsidDel="00000000" w:rsidP="00000000" w:rsidRDefault="00000000" w:rsidRPr="00000000" w14:paraId="0000005B">
      <w:pPr>
        <w:spacing w:after="200" w:line="276" w:lineRule="auto"/>
        <w:ind w:right="334.133858267717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 garantizar las adecuadas condiciones de almacenamiento se ha implementado el control de condiciones ambientales idóneas las cuales se aseguran con la implementación del uso del Termohigrómetro.</w:t>
      </w:r>
    </w:p>
    <w:p w:rsidR="00000000" w:rsidDel="00000000" w:rsidP="00000000" w:rsidRDefault="00000000" w:rsidRPr="00000000" w14:paraId="0000005C">
      <w:pPr>
        <w:spacing w:after="200" w:line="276" w:lineRule="auto"/>
        <w:ind w:right="334.133858267717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metodología para medición y control de temperatura y humedad relativa es la siguiente:</w:t>
      </w:r>
    </w:p>
    <w:p w:rsidR="00000000" w:rsidDel="00000000" w:rsidP="00000000" w:rsidRDefault="00000000" w:rsidRPr="00000000" w14:paraId="0000005D">
      <w:pPr>
        <w:numPr>
          <w:ilvl w:val="0"/>
          <w:numId w:val="19"/>
        </w:numPr>
        <w:spacing w:after="200" w:line="276" w:lineRule="auto"/>
        <w:ind w:left="1440" w:right="334.1338582677173" w:hanging="360"/>
        <w:jc w:val="both"/>
        <w:rPr/>
      </w:pPr>
      <w:r w:rsidDel="00000000" w:rsidR="00000000" w:rsidRPr="00000000">
        <w:rPr>
          <w:rFonts w:ascii="Century Gothic" w:cs="Century Gothic" w:eastAsia="Century Gothic" w:hAnsi="Century Gothic"/>
          <w:rtl w:val="0"/>
        </w:rPr>
        <w:t xml:space="preserve">El primer día hábil de cada mes se debe diligenciar el encabezado del registro indicando los siguientes datos: año, mes y sitio de medición </w:t>
      </w:r>
      <w:hyperlink r:id="rId10">
        <w:r w:rsidDel="00000000" w:rsidR="00000000" w:rsidRPr="00000000">
          <w:rPr>
            <w:rFonts w:ascii="Century Gothic" w:cs="Century Gothic" w:eastAsia="Century Gothic" w:hAnsi="Century Gothic"/>
            <w:color w:val="0000ee"/>
            <w:u w:val="single"/>
            <w:rtl w:val="0"/>
          </w:rPr>
          <w:t xml:space="preserve">TyH 2025.xlsx</w:t>
        </w:r>
      </w:hyperlink>
      <w:r w:rsidDel="00000000" w:rsidR="00000000" w:rsidRPr="00000000">
        <w:rPr>
          <w:rtl w:val="0"/>
        </w:rPr>
      </w:r>
    </w:p>
    <w:p w:rsidR="00000000" w:rsidDel="00000000" w:rsidP="00000000" w:rsidRDefault="00000000" w:rsidRPr="00000000" w14:paraId="0000005E">
      <w:pPr>
        <w:widowControl w:val="0"/>
        <w:numPr>
          <w:ilvl w:val="0"/>
          <w:numId w:val="19"/>
        </w:numPr>
        <w:spacing w:after="200" w:line="276" w:lineRule="auto"/>
        <w:ind w:left="1440" w:right="334.1338582677173" w:hanging="360"/>
        <w:jc w:val="both"/>
        <w:rPr/>
      </w:pPr>
      <w:bookmarkStart w:colFirst="0" w:colLast="0" w:name="_heading=h.gjdgxs" w:id="0"/>
      <w:bookmarkEnd w:id="0"/>
      <w:r w:rsidDel="00000000" w:rsidR="00000000" w:rsidRPr="00000000">
        <w:rPr>
          <w:rFonts w:ascii="Century Gothic" w:cs="Century Gothic" w:eastAsia="Century Gothic" w:hAnsi="Century Gothic"/>
          <w:rtl w:val="0"/>
        </w:rPr>
        <w:t xml:space="preserve">La IPS ha establecido los siguientes horarios para la medición y registro de la temperatura y humedad relativa en el sitio de almacenamiento de medicamentos, dispositivos médicos e insumos:</w:t>
      </w:r>
    </w:p>
    <w:p w:rsidR="00000000" w:rsidDel="00000000" w:rsidP="00000000" w:rsidRDefault="00000000" w:rsidRPr="00000000" w14:paraId="0000005F">
      <w:pPr>
        <w:widowControl w:val="0"/>
        <w:numPr>
          <w:ilvl w:val="0"/>
          <w:numId w:val="13"/>
        </w:numPr>
        <w:spacing w:after="200" w:line="276" w:lineRule="auto"/>
        <w:ind w:left="2205" w:right="334.1338582677173"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la mañana 7:30 AM</w:t>
      </w:r>
    </w:p>
    <w:p w:rsidR="00000000" w:rsidDel="00000000" w:rsidP="00000000" w:rsidRDefault="00000000" w:rsidRPr="00000000" w14:paraId="00000060">
      <w:pPr>
        <w:widowControl w:val="0"/>
        <w:numPr>
          <w:ilvl w:val="0"/>
          <w:numId w:val="13"/>
        </w:numPr>
        <w:spacing w:after="200" w:line="240" w:lineRule="auto"/>
        <w:ind w:left="2205" w:right="334.1338582677173"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la tarde 4:00 PM</w:t>
      </w:r>
    </w:p>
    <w:p w:rsidR="00000000" w:rsidDel="00000000" w:rsidP="00000000" w:rsidRDefault="00000000" w:rsidRPr="00000000" w14:paraId="00000061">
      <w:pPr>
        <w:widowControl w:val="0"/>
        <w:numPr>
          <w:ilvl w:val="0"/>
          <w:numId w:val="19"/>
        </w:numPr>
        <w:spacing w:after="200" w:line="276" w:lineRule="auto"/>
        <w:ind w:left="1440" w:right="334.1338582677173" w:hanging="360"/>
        <w:jc w:val="both"/>
        <w:rPr/>
      </w:pPr>
      <w:r w:rsidDel="00000000" w:rsidR="00000000" w:rsidRPr="00000000">
        <w:rPr>
          <w:rFonts w:ascii="Century Gothic" w:cs="Century Gothic" w:eastAsia="Century Gothic" w:hAnsi="Century Gothic"/>
          <w:rtl w:val="0"/>
        </w:rPr>
        <w:t xml:space="preserve">La auxiliar administrativa encargada de realizar el control de las condiciones ambientales, debe observar el termohigrómetro y registrar de manera inmediata los valores correspondientes a la </w:t>
      </w:r>
      <w:r w:rsidDel="00000000" w:rsidR="00000000" w:rsidRPr="00000000">
        <w:rPr>
          <w:rFonts w:ascii="Century Gothic" w:cs="Century Gothic" w:eastAsia="Century Gothic" w:hAnsi="Century Gothic"/>
          <w:b w:val="1"/>
          <w:bCs w:val="1"/>
          <w:rtl w:val="0"/>
        </w:rPr>
        <w:t xml:space="preserve">TEMPERATURA</w:t>
      </w:r>
      <w:r w:rsidDel="00000000" w:rsidR="00000000" w:rsidRPr="00000000">
        <w:rPr>
          <w:rFonts w:ascii="Century Gothic" w:cs="Century Gothic" w:eastAsia="Century Gothic" w:hAnsi="Century Gothic"/>
          <w:rtl w:val="0"/>
        </w:rPr>
        <w:t xml:space="preserve"> (la cual se identifica porque se mide en grados centígrados con el símbolo </w:t>
      </w:r>
      <w:r w:rsidDel="00000000" w:rsidR="00000000" w:rsidRPr="00000000">
        <w:rPr>
          <w:rFonts w:ascii="Century Gothic" w:cs="Century Gothic" w:eastAsia="Century Gothic" w:hAnsi="Century Gothic"/>
          <w:b w:val="1"/>
          <w:bCs w:val="1"/>
          <w:rtl w:val="0"/>
        </w:rPr>
        <w:t xml:space="preserve">°C</w:t>
      </w:r>
      <w:r w:rsidDel="00000000" w:rsidR="00000000" w:rsidRPr="00000000">
        <w:rPr>
          <w:rFonts w:ascii="Century Gothic" w:cs="Century Gothic" w:eastAsia="Century Gothic" w:hAnsi="Century Gothic"/>
          <w:rtl w:val="0"/>
        </w:rPr>
        <w:t xml:space="preserve">) y la </w:t>
      </w:r>
      <w:r w:rsidDel="00000000" w:rsidR="00000000" w:rsidRPr="00000000">
        <w:rPr>
          <w:rFonts w:ascii="Century Gothic" w:cs="Century Gothic" w:eastAsia="Century Gothic" w:hAnsi="Century Gothic"/>
          <w:b w:val="1"/>
          <w:bCs w:val="1"/>
          <w:rtl w:val="0"/>
        </w:rPr>
        <w:t xml:space="preserve">HUMEDAD RELATIVA</w:t>
      </w:r>
      <w:r w:rsidDel="00000000" w:rsidR="00000000" w:rsidRPr="00000000">
        <w:rPr>
          <w:rFonts w:ascii="Century Gothic" w:cs="Century Gothic" w:eastAsia="Century Gothic" w:hAnsi="Century Gothic"/>
          <w:rtl w:val="0"/>
        </w:rPr>
        <w:t xml:space="preserve"> (la cual se identifica porque se mide en porcentaje </w:t>
      </w:r>
      <w:r w:rsidDel="00000000" w:rsidR="00000000" w:rsidRPr="00000000">
        <w:rPr>
          <w:rFonts w:ascii="Century Gothic" w:cs="Century Gothic" w:eastAsia="Century Gothic" w:hAnsi="Century Gothic"/>
          <w:b w:val="1"/>
          <w:bCs w:val="1"/>
          <w:rtl w:val="0"/>
        </w:rPr>
        <w:t xml:space="preserve">%</w:t>
      </w:r>
      <w:r w:rsidDel="00000000" w:rsidR="00000000" w:rsidRPr="00000000">
        <w:rPr>
          <w:rFonts w:ascii="Century Gothic" w:cs="Century Gothic" w:eastAsia="Century Gothic" w:hAnsi="Century Gothic"/>
          <w:rtl w:val="0"/>
        </w:rPr>
        <w:t xml:space="preserve">), en la planilla correspondiente.</w:t>
      </w:r>
    </w:p>
    <w:p w:rsidR="00000000" w:rsidDel="00000000" w:rsidP="00000000" w:rsidRDefault="00000000" w:rsidRPr="00000000" w14:paraId="00000062">
      <w:pPr>
        <w:widowControl w:val="0"/>
        <w:spacing w:after="200" w:line="276" w:lineRule="auto"/>
        <w:ind w:right="334.1338582677173"/>
        <w:jc w:val="both"/>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118820</wp:posOffset>
            </wp:positionV>
            <wp:extent cx="3619500" cy="1904072"/>
            <wp:effectExtent b="0" l="0" r="0" t="0"/>
            <wp:wrapNone/>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619500" cy="1904072"/>
                    </a:xfrm>
                    <a:prstGeom prst="rect"/>
                    <a:ln/>
                  </pic:spPr>
                </pic:pic>
              </a:graphicData>
            </a:graphic>
          </wp:anchor>
        </w:drawing>
      </w:r>
    </w:p>
    <w:p w:rsidR="00000000" w:rsidDel="00000000" w:rsidP="00000000" w:rsidRDefault="00000000" w:rsidRPr="00000000" w14:paraId="00000063">
      <w:pPr>
        <w:widowControl w:val="0"/>
        <w:spacing w:after="200" w:line="276" w:lineRule="auto"/>
        <w:ind w:right="334.1338582677173"/>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4">
      <w:pPr>
        <w:widowControl w:val="0"/>
        <w:spacing w:after="200" w:line="276" w:lineRule="auto"/>
        <w:ind w:right="334.1338582677173"/>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5">
      <w:pPr>
        <w:widowControl w:val="0"/>
        <w:spacing w:after="200" w:line="276" w:lineRule="auto"/>
        <w:ind w:left="1416" w:right="334.1338582677173"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6">
      <w:pPr>
        <w:widowControl w:val="0"/>
        <w:spacing w:after="200" w:line="276" w:lineRule="auto"/>
        <w:ind w:left="1416" w:right="334.1338582677173"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7">
      <w:pPr>
        <w:widowControl w:val="0"/>
        <w:spacing w:after="200" w:line="276" w:lineRule="auto"/>
        <w:ind w:right="334.1338582677173"/>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8">
      <w:pPr>
        <w:widowControl w:val="0"/>
        <w:numPr>
          <w:ilvl w:val="0"/>
          <w:numId w:val="19"/>
        </w:numPr>
        <w:spacing w:after="200" w:line="276" w:lineRule="auto"/>
        <w:ind w:left="1440" w:right="334.1338582677173" w:hanging="360"/>
        <w:jc w:val="both"/>
        <w:rPr/>
      </w:pPr>
      <w:r w:rsidDel="00000000" w:rsidR="00000000" w:rsidRPr="00000000">
        <w:rPr>
          <w:rFonts w:ascii="Century Gothic" w:cs="Century Gothic" w:eastAsia="Century Gothic" w:hAnsi="Century Gothic"/>
          <w:rtl w:val="0"/>
        </w:rPr>
        <w:t xml:space="preserve">Si al momento de  realizar el control de la temperatura y humedad relativa se observa alguna inconsistencia tal como: </w:t>
      </w:r>
    </w:p>
    <w:p w:rsidR="00000000" w:rsidDel="00000000" w:rsidP="00000000" w:rsidRDefault="00000000" w:rsidRPr="00000000" w14:paraId="00000069">
      <w:pPr>
        <w:widowControl w:val="0"/>
        <w:numPr>
          <w:ilvl w:val="0"/>
          <w:numId w:val="17"/>
        </w:numPr>
        <w:spacing w:after="200" w:line="276" w:lineRule="auto"/>
        <w:ind w:left="2160" w:right="334.1338582677173"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termohigrómetro no registra ningún valor.</w:t>
      </w:r>
    </w:p>
    <w:p w:rsidR="00000000" w:rsidDel="00000000" w:rsidP="00000000" w:rsidRDefault="00000000" w:rsidRPr="00000000" w14:paraId="0000006A">
      <w:pPr>
        <w:widowControl w:val="0"/>
        <w:numPr>
          <w:ilvl w:val="0"/>
          <w:numId w:val="17"/>
        </w:numPr>
        <w:spacing w:after="200" w:line="276" w:lineRule="auto"/>
        <w:ind w:left="2160" w:right="334.1338582677173"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Los valores reportados aparentemente son erróneos (por fuera de los rangos establecidos).</w:t>
      </w:r>
    </w:p>
    <w:p w:rsidR="00000000" w:rsidDel="00000000" w:rsidP="00000000" w:rsidRDefault="00000000" w:rsidRPr="00000000" w14:paraId="0000006B">
      <w:pPr>
        <w:widowControl w:val="0"/>
        <w:numPr>
          <w:ilvl w:val="0"/>
          <w:numId w:val="17"/>
        </w:numPr>
        <w:spacing w:after="200" w:line="276" w:lineRule="auto"/>
        <w:ind w:left="2160" w:right="334.1338582677173"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pantalla del equipo muestra valores con imagen distorsionada o borrosa.</w:t>
      </w:r>
    </w:p>
    <w:p w:rsidR="00000000" w:rsidDel="00000000" w:rsidP="00000000" w:rsidRDefault="00000000" w:rsidRPr="00000000" w14:paraId="0000006C">
      <w:pPr>
        <w:widowControl w:val="0"/>
        <w:spacing w:after="200" w:line="240" w:lineRule="auto"/>
        <w:ind w:left="1416" w:right="334.1338582677173"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encargado de la medición debe proceder de manera inmediata de la siguiente manera:</w:t>
      </w:r>
    </w:p>
    <w:p w:rsidR="00000000" w:rsidDel="00000000" w:rsidP="00000000" w:rsidRDefault="00000000" w:rsidRPr="00000000" w14:paraId="0000006D">
      <w:pPr>
        <w:widowControl w:val="0"/>
        <w:numPr>
          <w:ilvl w:val="0"/>
          <w:numId w:val="4"/>
        </w:numPr>
        <w:spacing w:after="200" w:line="276" w:lineRule="auto"/>
        <w:ind w:left="2136" w:right="334.1338582677173"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 determinar si el equipo que está fallando, traslade el termohigrómetro a otro sitio (por ejemplo, la oficina de Gerencia o un consultorio) para medir los valores de condiciones ambientales, si los valores reportados en el equipo están por fuera del rango esperado, entonces significa que se debe revisar el equipo:</w:t>
      </w:r>
    </w:p>
    <w:p w:rsidR="00000000" w:rsidDel="00000000" w:rsidP="00000000" w:rsidRDefault="00000000" w:rsidRPr="00000000" w14:paraId="0000006E">
      <w:pPr>
        <w:widowControl w:val="0"/>
        <w:numPr>
          <w:ilvl w:val="0"/>
          <w:numId w:val="5"/>
        </w:numPr>
        <w:spacing w:after="200" w:line="276" w:lineRule="auto"/>
        <w:ind w:left="2856" w:right="334.1338582677173"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Oprima el botón de reseteo (ubicado en la parte inferior izquierda del equipo RESET) durante cinco (05) segundos, posteriormente suelte el botón y espere que el equipo se reinicie y valide si los valores de temperatura y humedad son congruentes con los valores históricos reportados en el ambiente de almacenamiento.</w:t>
      </w:r>
    </w:p>
    <w:p w:rsidR="00000000" w:rsidDel="00000000" w:rsidP="00000000" w:rsidRDefault="00000000" w:rsidRPr="00000000" w14:paraId="0000006F">
      <w:pPr>
        <w:widowControl w:val="0"/>
        <w:numPr>
          <w:ilvl w:val="0"/>
          <w:numId w:val="4"/>
        </w:numPr>
        <w:spacing w:after="200" w:line="276" w:lineRule="auto"/>
        <w:ind w:left="2136" w:right="334.1338582677173"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 el equipo continúa reportando valores no reales proceda a cambiar las pilas del equipo, resetearlo y valide los valores reportados.  </w:t>
      </w:r>
    </w:p>
    <w:p w:rsidR="00000000" w:rsidDel="00000000" w:rsidP="00000000" w:rsidRDefault="00000000" w:rsidRPr="00000000" w14:paraId="00000070">
      <w:pPr>
        <w:widowControl w:val="0"/>
        <w:spacing w:after="200" w:line="276" w:lineRule="auto"/>
        <w:ind w:right="334.133858267717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 la falla persiste informe de inmediato al Equipo Biomédico para que gestione la revisión del equipo o adquisición de un nuevo termohigrómetro, lo cual se debe realizar en el menor tiempo posible, teniendo en cuenta que se trata de un equipo crítico.</w:t>
      </w:r>
    </w:p>
    <w:p w:rsidR="00000000" w:rsidDel="00000000" w:rsidP="00000000" w:rsidRDefault="00000000" w:rsidRPr="00000000" w14:paraId="00000071">
      <w:pPr>
        <w:widowControl w:val="0"/>
        <w:spacing w:after="200" w:line="276" w:lineRule="auto"/>
        <w:ind w:right="334.133858267717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Los rangos establecidos como valores apropiados para la medición de temperatura y humedad relativa son:</w:t>
      </w:r>
    </w:p>
    <w:tbl>
      <w:tblPr>
        <w:tblStyle w:val="Table1"/>
        <w:tblW w:w="8760.0" w:type="dxa"/>
        <w:jc w:val="left"/>
        <w:tblInd w:w="-3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1275"/>
        <w:gridCol w:w="1410"/>
        <w:gridCol w:w="3450"/>
        <w:tblGridChange w:id="0">
          <w:tblGrid>
            <w:gridCol w:w="2625"/>
            <w:gridCol w:w="1275"/>
            <w:gridCol w:w="1410"/>
            <w:gridCol w:w="3450"/>
          </w:tblGrid>
        </w:tblGridChange>
      </w:tblGrid>
      <w:tr>
        <w:trPr>
          <w:cantSplit w:val="0"/>
          <w:trHeight w:val="20" w:hRule="atLeast"/>
          <w:tblHeader w:val="0"/>
        </w:trPr>
        <w:tc>
          <w:tcPr>
            <w:shd w:fill="f2f2f2" w:val="clear"/>
            <w:vAlign w:val="center"/>
          </w:tcPr>
          <w:p w:rsidR="00000000" w:rsidDel="00000000" w:rsidP="00000000" w:rsidRDefault="00000000" w:rsidRPr="00000000" w14:paraId="00000072">
            <w:pPr>
              <w:widowControl w:val="0"/>
              <w:ind w:right="334.1338582677173"/>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FACTOR</w:t>
            </w:r>
          </w:p>
        </w:tc>
        <w:tc>
          <w:tcPr>
            <w:shd w:fill="f2f2f2" w:val="clear"/>
            <w:vAlign w:val="center"/>
          </w:tcPr>
          <w:p w:rsidR="00000000" w:rsidDel="00000000" w:rsidP="00000000" w:rsidRDefault="00000000" w:rsidRPr="00000000" w14:paraId="00000073">
            <w:pPr>
              <w:widowControl w:val="0"/>
              <w:ind w:right="-68.8582677165351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MÍNIMO</w:t>
            </w:r>
          </w:p>
        </w:tc>
        <w:tc>
          <w:tcPr>
            <w:shd w:fill="f2f2f2" w:val="clear"/>
            <w:vAlign w:val="center"/>
          </w:tcPr>
          <w:p w:rsidR="00000000" w:rsidDel="00000000" w:rsidP="00000000" w:rsidRDefault="00000000" w:rsidRPr="00000000" w14:paraId="00000074">
            <w:pPr>
              <w:widowControl w:val="0"/>
              <w:ind w:right="-68.8582677165351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MÁXIMO</w:t>
            </w:r>
          </w:p>
        </w:tc>
        <w:tc>
          <w:tcPr>
            <w:shd w:fill="f2f2f2" w:val="clear"/>
            <w:vAlign w:val="center"/>
          </w:tcPr>
          <w:p w:rsidR="00000000" w:rsidDel="00000000" w:rsidP="00000000" w:rsidRDefault="00000000" w:rsidRPr="00000000" w14:paraId="00000075">
            <w:pPr>
              <w:widowControl w:val="0"/>
              <w:ind w:right="-19.8425196850382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UNIDAD DE MEDIDA</w:t>
            </w:r>
          </w:p>
        </w:tc>
      </w:tr>
      <w:tr>
        <w:trPr>
          <w:cantSplit w:val="0"/>
          <w:trHeight w:val="405" w:hRule="atLeast"/>
          <w:tblHeader w:val="0"/>
        </w:trPr>
        <w:tc>
          <w:tcPr>
            <w:shd w:fill="f2f2f2" w:val="clear"/>
            <w:vAlign w:val="center"/>
          </w:tcPr>
          <w:p w:rsidR="00000000" w:rsidDel="00000000" w:rsidP="00000000" w:rsidRDefault="00000000" w:rsidRPr="00000000" w14:paraId="00000076">
            <w:pPr>
              <w:widowControl w:val="0"/>
              <w:ind w:right="334.1338582677173"/>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TEMPERATURA</w:t>
            </w:r>
          </w:p>
        </w:tc>
        <w:tc>
          <w:tcPr>
            <w:vAlign w:val="center"/>
          </w:tcPr>
          <w:p w:rsidR="00000000" w:rsidDel="00000000" w:rsidP="00000000" w:rsidRDefault="00000000" w:rsidRPr="00000000" w14:paraId="00000077">
            <w:pPr>
              <w:widowControl w:val="0"/>
              <w:ind w:right="-68.8582677165351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w:t>
            </w:r>
          </w:p>
        </w:tc>
        <w:tc>
          <w:tcPr>
            <w:vAlign w:val="center"/>
          </w:tcPr>
          <w:p w:rsidR="00000000" w:rsidDel="00000000" w:rsidP="00000000" w:rsidRDefault="00000000" w:rsidRPr="00000000" w14:paraId="00000078">
            <w:pPr>
              <w:widowControl w:val="0"/>
              <w:ind w:right="-68.8582677165351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w:t>
            </w:r>
          </w:p>
        </w:tc>
        <w:tc>
          <w:tcPr>
            <w:vAlign w:val="center"/>
          </w:tcPr>
          <w:p w:rsidR="00000000" w:rsidDel="00000000" w:rsidP="00000000" w:rsidRDefault="00000000" w:rsidRPr="00000000" w14:paraId="00000079">
            <w:pPr>
              <w:widowControl w:val="0"/>
              <w:ind w:right="-19.8425196850382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GRADOS CENTÍGRADOS -°C-</w:t>
            </w:r>
          </w:p>
        </w:tc>
      </w:tr>
      <w:tr>
        <w:trPr>
          <w:cantSplit w:val="0"/>
          <w:trHeight w:val="465" w:hRule="atLeast"/>
          <w:tblHeader w:val="0"/>
        </w:trPr>
        <w:tc>
          <w:tcPr>
            <w:shd w:fill="f2f2f2" w:val="clear"/>
            <w:vAlign w:val="center"/>
          </w:tcPr>
          <w:p w:rsidR="00000000" w:rsidDel="00000000" w:rsidP="00000000" w:rsidRDefault="00000000" w:rsidRPr="00000000" w14:paraId="0000007A">
            <w:pPr>
              <w:widowControl w:val="0"/>
              <w:ind w:right="-120.3543307086613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HUMEDAD RELATIVA</w:t>
            </w:r>
          </w:p>
        </w:tc>
        <w:tc>
          <w:tcPr>
            <w:vAlign w:val="center"/>
          </w:tcPr>
          <w:p w:rsidR="00000000" w:rsidDel="00000000" w:rsidP="00000000" w:rsidRDefault="00000000" w:rsidRPr="00000000" w14:paraId="0000007B">
            <w:pPr>
              <w:widowControl w:val="0"/>
              <w:ind w:right="-68.8582677165351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c>
          <w:tcPr>
            <w:vAlign w:val="center"/>
          </w:tcPr>
          <w:p w:rsidR="00000000" w:rsidDel="00000000" w:rsidP="00000000" w:rsidRDefault="00000000" w:rsidRPr="00000000" w14:paraId="0000007C">
            <w:pPr>
              <w:widowControl w:val="0"/>
              <w:ind w:right="-68.8582677165351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70</w:t>
            </w:r>
          </w:p>
        </w:tc>
        <w:tc>
          <w:tcPr>
            <w:vAlign w:val="center"/>
          </w:tcPr>
          <w:p w:rsidR="00000000" w:rsidDel="00000000" w:rsidP="00000000" w:rsidRDefault="00000000" w:rsidRPr="00000000" w14:paraId="0000007D">
            <w:pPr>
              <w:widowControl w:val="0"/>
              <w:ind w:right="-19.8425196850382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HUMEDAD DEL AMBIENTE -%-</w:t>
            </w:r>
          </w:p>
        </w:tc>
      </w:tr>
    </w:tbl>
    <w:p w:rsidR="00000000" w:rsidDel="00000000" w:rsidP="00000000" w:rsidRDefault="00000000" w:rsidRPr="00000000" w14:paraId="0000007E">
      <w:pPr>
        <w:spacing w:after="200" w:before="200" w:line="276" w:lineRule="auto"/>
        <w:ind w:left="0" w:right="16.062992125985716"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Los dispositivos médicos e insumos se conservan bajo condiciones solo para personal autorizado, para el almacenamiento todos los productos se guardan conservando sus empaques originales y asegurando el cumplimiento de las recomendaciones del fabricante. </w:t>
      </w:r>
    </w:p>
    <w:p w:rsidR="00000000" w:rsidDel="00000000" w:rsidP="00000000" w:rsidRDefault="00000000" w:rsidRPr="00000000" w14:paraId="0000007F">
      <w:pPr>
        <w:spacing w:after="200" w:line="276" w:lineRule="auto"/>
        <w:ind w:left="0" w:right="16.062992125985716"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rtl w:val="0"/>
        </w:rPr>
        <w:t xml:space="preserve">La infraestructura del área de almacenamiento de insumos debe permanecer en óptimas condiciones de conservación, todo daño en la infraestructura debe ser reportado de manera inmediata al responsable de calidad, quien debe gestionar en el menor tiempo las acciones necesarias para que la Gerencia autorice las reparaciones necesarias.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502" w:right="0" w:hanging="360"/>
        <w:jc w:val="both"/>
        <w:rPr>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CONTROL DE FECHAS DE VENCIMIENTO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Debido a que la cantidad de dispositivos e insumos que se utilizan en la institución son pocos, para la revisión de las fechas de vencimiento se establece una revisión </w:t>
      </w:r>
      <w:r w:rsidDel="00000000" w:rsidR="00000000" w:rsidRPr="00000000">
        <w:rPr>
          <w:rFonts w:ascii="Century Gothic" w:cs="Century Gothic" w:eastAsia="Century Gothic" w:hAnsi="Century Gothic"/>
          <w:rtl w:val="0"/>
        </w:rPr>
        <w:t xml:space="preserve">mensual </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del formato de registro de dispositivos médicos e insumos, donde se encuentran todas las fechas de vencimiento de los mismos.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Adicional a ello, como estrategia de control se ha establecido la semaforización de los dispositivos médicos e insumos utilizados en el proceso de atención, los criterios de semaforización son los siguientes:</w:t>
      </w:r>
    </w:p>
    <w:p w:rsidR="00000000" w:rsidDel="00000000" w:rsidP="00000000" w:rsidRDefault="00000000" w:rsidRPr="00000000" w14:paraId="00000083">
      <w:pPr>
        <w:widowControl w:val="0"/>
        <w:numPr>
          <w:ilvl w:val="0"/>
          <w:numId w:val="6"/>
        </w:numPr>
        <w:spacing w:after="200" w:line="276" w:lineRule="auto"/>
        <w:ind w:left="720" w:hanging="360"/>
        <w:jc w:val="both"/>
        <w:rPr>
          <w:rFonts w:ascii="Open Sans" w:cs="Open Sans" w:eastAsia="Open Sans" w:hAnsi="Open Sans"/>
        </w:rPr>
      </w:pPr>
      <w:r w:rsidDel="00000000" w:rsidR="00000000" w:rsidRPr="00000000">
        <w:rPr>
          <w:rFonts w:ascii="Century Gothic" w:cs="Century Gothic" w:eastAsia="Century Gothic" w:hAnsi="Century Gothic"/>
          <w:rtl w:val="0"/>
        </w:rPr>
        <w:t xml:space="preserve">Hasta seis (</w:t>
      </w:r>
      <w:r w:rsidDel="00000000" w:rsidR="00000000" w:rsidRPr="00000000">
        <w:rPr>
          <w:rFonts w:ascii="Century Gothic" w:cs="Century Gothic" w:eastAsia="Century Gothic" w:hAnsi="Century Gothic"/>
          <w:b w:val="1"/>
          <w:bCs w:val="1"/>
          <w:u w:val="single"/>
          <w:rtl w:val="0"/>
        </w:rPr>
        <w:t xml:space="preserve">06</w:t>
      </w:r>
      <w:r w:rsidDel="00000000" w:rsidR="00000000" w:rsidRPr="00000000">
        <w:rPr>
          <w:rFonts w:ascii="Century Gothic" w:cs="Century Gothic" w:eastAsia="Century Gothic" w:hAnsi="Century Gothic"/>
          <w:rtl w:val="0"/>
        </w:rPr>
        <w:t xml:space="preserve">) meses - ( </w:t>
      </w:r>
      <w:r w:rsidDel="00000000" w:rsidR="00000000" w:rsidRPr="00000000">
        <w:rPr>
          <w:rFonts w:ascii="Century Gothic" w:cs="Century Gothic" w:eastAsia="Century Gothic" w:hAnsi="Century Gothic"/>
          <w:b w:val="1"/>
          <w:bCs w:val="1"/>
          <w:color w:val="001d35"/>
          <w:highlight w:val="white"/>
          <w:rtl w:val="0"/>
        </w:rPr>
        <w:t xml:space="preserve">&lt; </w:t>
      </w:r>
      <w:r w:rsidDel="00000000" w:rsidR="00000000" w:rsidRPr="00000000">
        <w:rPr>
          <w:rFonts w:ascii="Century Gothic" w:cs="Century Gothic" w:eastAsia="Century Gothic" w:hAnsi="Century Gothic"/>
          <w:b w:val="1"/>
          <w:bCs w:val="1"/>
          <w:rtl w:val="0"/>
        </w:rPr>
        <w:t xml:space="preserve">181</w:t>
      </w:r>
      <w:r w:rsidDel="00000000" w:rsidR="00000000" w:rsidRPr="00000000">
        <w:rPr>
          <w:rFonts w:ascii="Century Gothic" w:cs="Century Gothic" w:eastAsia="Century Gothic" w:hAnsi="Century Gothic"/>
          <w:rtl w:val="0"/>
        </w:rPr>
        <w:t xml:space="preserve">) días: Color </w:t>
      </w:r>
      <w:r w:rsidDel="00000000" w:rsidR="00000000" w:rsidRPr="00000000">
        <w:rPr>
          <w:rFonts w:ascii="Century Gothic" w:cs="Century Gothic" w:eastAsia="Century Gothic" w:hAnsi="Century Gothic"/>
          <w:highlight w:val="red"/>
          <w:rtl w:val="0"/>
        </w:rPr>
        <w:t xml:space="preserve">rojo</w:t>
      </w:r>
      <w:r w:rsidDel="00000000" w:rsidR="00000000" w:rsidRPr="00000000">
        <w:rPr>
          <w:rtl w:val="0"/>
        </w:rPr>
      </w:r>
    </w:p>
    <w:p w:rsidR="00000000" w:rsidDel="00000000" w:rsidP="00000000" w:rsidRDefault="00000000" w:rsidRPr="00000000" w14:paraId="00000084">
      <w:pPr>
        <w:widowControl w:val="0"/>
        <w:numPr>
          <w:ilvl w:val="0"/>
          <w:numId w:val="6"/>
        </w:numPr>
        <w:spacing w:after="200" w:line="276" w:lineRule="auto"/>
        <w:ind w:left="720" w:hanging="360"/>
        <w:jc w:val="both"/>
        <w:rPr>
          <w:rFonts w:ascii="Open Sans" w:cs="Open Sans" w:eastAsia="Open Sans" w:hAnsi="Open Sans"/>
        </w:rPr>
      </w:pPr>
      <w:r w:rsidDel="00000000" w:rsidR="00000000" w:rsidRPr="00000000">
        <w:rPr>
          <w:rFonts w:ascii="Century Gothic" w:cs="Century Gothic" w:eastAsia="Century Gothic" w:hAnsi="Century Gothic"/>
          <w:rtl w:val="0"/>
        </w:rPr>
        <w:t xml:space="preserve">Hasta las doce (</w:t>
      </w:r>
      <w:r w:rsidDel="00000000" w:rsidR="00000000" w:rsidRPr="00000000">
        <w:rPr>
          <w:rFonts w:ascii="Century Gothic" w:cs="Century Gothic" w:eastAsia="Century Gothic" w:hAnsi="Century Gothic"/>
          <w:b w:val="1"/>
          <w:bCs w:val="1"/>
          <w:u w:val="single"/>
          <w:rtl w:val="0"/>
        </w:rPr>
        <w:t xml:space="preserve">12</w:t>
      </w:r>
      <w:r w:rsidDel="00000000" w:rsidR="00000000" w:rsidRPr="00000000">
        <w:rPr>
          <w:rFonts w:ascii="Century Gothic" w:cs="Century Gothic" w:eastAsia="Century Gothic" w:hAnsi="Century Gothic"/>
          <w:rtl w:val="0"/>
        </w:rPr>
        <w:t xml:space="preserve">) meses -  ( </w:t>
      </w:r>
      <w:r w:rsidDel="00000000" w:rsidR="00000000" w:rsidRPr="00000000">
        <w:rPr>
          <w:rFonts w:ascii="Century Gothic" w:cs="Century Gothic" w:eastAsia="Century Gothic" w:hAnsi="Century Gothic"/>
          <w:b w:val="1"/>
          <w:bCs w:val="1"/>
          <w:color w:val="001d35"/>
          <w:highlight w:val="white"/>
          <w:rtl w:val="0"/>
        </w:rPr>
        <w:t xml:space="preserve">entre 181 y 365 </w:t>
      </w:r>
      <w:r w:rsidDel="00000000" w:rsidR="00000000" w:rsidRPr="00000000">
        <w:rPr>
          <w:rFonts w:ascii="Century Gothic" w:cs="Century Gothic" w:eastAsia="Century Gothic" w:hAnsi="Century Gothic"/>
          <w:rtl w:val="0"/>
        </w:rPr>
        <w:t xml:space="preserve">) días:  Color </w:t>
      </w:r>
      <w:r w:rsidDel="00000000" w:rsidR="00000000" w:rsidRPr="00000000">
        <w:rPr>
          <w:rFonts w:ascii="Century Gothic" w:cs="Century Gothic" w:eastAsia="Century Gothic" w:hAnsi="Century Gothic"/>
          <w:highlight w:val="yellow"/>
          <w:rtl w:val="0"/>
        </w:rPr>
        <w:t xml:space="preserve">amarillo</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85">
      <w:pPr>
        <w:widowControl w:val="0"/>
        <w:numPr>
          <w:ilvl w:val="0"/>
          <w:numId w:val="6"/>
        </w:numPr>
        <w:spacing w:after="200" w:line="276" w:lineRule="auto"/>
        <w:ind w:left="720" w:hanging="360"/>
        <w:jc w:val="both"/>
        <w:rPr>
          <w:rFonts w:ascii="Open Sans" w:cs="Open Sans" w:eastAsia="Open Sans" w:hAnsi="Open Sans"/>
        </w:rPr>
      </w:pPr>
      <w:r w:rsidDel="00000000" w:rsidR="00000000" w:rsidRPr="00000000">
        <w:rPr>
          <w:rFonts w:ascii="Century Gothic" w:cs="Century Gothic" w:eastAsia="Century Gothic" w:hAnsi="Century Gothic"/>
          <w:rtl w:val="0"/>
        </w:rPr>
        <w:t xml:space="preserve">Más de (</w:t>
      </w:r>
      <w:r w:rsidDel="00000000" w:rsidR="00000000" w:rsidRPr="00000000">
        <w:rPr>
          <w:rFonts w:ascii="Century Gothic" w:cs="Century Gothic" w:eastAsia="Century Gothic" w:hAnsi="Century Gothic"/>
          <w:b w:val="1"/>
          <w:bCs w:val="1"/>
          <w:u w:val="single"/>
          <w:rtl w:val="0"/>
        </w:rPr>
        <w:t xml:space="preserve">12</w:t>
      </w:r>
      <w:r w:rsidDel="00000000" w:rsidR="00000000" w:rsidRPr="00000000">
        <w:rPr>
          <w:rFonts w:ascii="Century Gothic" w:cs="Century Gothic" w:eastAsia="Century Gothic" w:hAnsi="Century Gothic"/>
          <w:rtl w:val="0"/>
        </w:rPr>
        <w:t xml:space="preserve">) meses - ( </w:t>
      </w:r>
      <w:r w:rsidDel="00000000" w:rsidR="00000000" w:rsidRPr="00000000">
        <w:rPr>
          <w:rFonts w:ascii="Century Gothic" w:cs="Century Gothic" w:eastAsia="Century Gothic" w:hAnsi="Century Gothic"/>
          <w:b w:val="1"/>
          <w:bCs w:val="1"/>
          <w:color w:val="001d35"/>
          <w:highlight w:val="white"/>
          <w:rtl w:val="0"/>
        </w:rPr>
        <w:t xml:space="preserve">&gt; </w:t>
      </w:r>
      <w:r w:rsidDel="00000000" w:rsidR="00000000" w:rsidRPr="00000000">
        <w:rPr>
          <w:rFonts w:ascii="Century Gothic" w:cs="Century Gothic" w:eastAsia="Century Gothic" w:hAnsi="Century Gothic"/>
          <w:b w:val="1"/>
          <w:bCs w:val="1"/>
          <w:rtl w:val="0"/>
        </w:rPr>
        <w:t xml:space="preserve">365</w:t>
      </w:r>
      <w:r w:rsidDel="00000000" w:rsidR="00000000" w:rsidRPr="00000000">
        <w:rPr>
          <w:rFonts w:ascii="Century Gothic" w:cs="Century Gothic" w:eastAsia="Century Gothic" w:hAnsi="Century Gothic"/>
          <w:rtl w:val="0"/>
        </w:rPr>
        <w:t xml:space="preserve">): Color </w:t>
      </w:r>
      <w:r w:rsidDel="00000000" w:rsidR="00000000" w:rsidRPr="00000000">
        <w:rPr>
          <w:rFonts w:ascii="Century Gothic" w:cs="Century Gothic" w:eastAsia="Century Gothic" w:hAnsi="Century Gothic"/>
          <w:highlight w:val="green"/>
          <w:rtl w:val="0"/>
        </w:rPr>
        <w:t xml:space="preserve">verde</w:t>
      </w:r>
      <w:r w:rsidDel="00000000" w:rsidR="00000000" w:rsidRPr="00000000">
        <w:rPr>
          <w:rtl w:val="0"/>
        </w:rPr>
      </w:r>
    </w:p>
    <w:p w:rsidR="00000000" w:rsidDel="00000000" w:rsidP="00000000" w:rsidRDefault="00000000" w:rsidRPr="00000000" w14:paraId="00000086">
      <w:pPr>
        <w:widowControl w:val="0"/>
        <w:spacing w:after="0" w:line="276" w:lineRule="auto"/>
        <w:ind w:left="0" w:firstLine="0"/>
        <w:jc w:val="both"/>
        <w:rPr>
          <w:rFonts w:ascii="Century Gothic" w:cs="Century Gothic" w:eastAsia="Century Gothic" w:hAnsi="Century Gothic"/>
          <w:sz w:val="6"/>
          <w:szCs w:val="6"/>
          <w:shd w:fill="538135" w:val="clear"/>
        </w:rPr>
      </w:pPr>
      <w:r w:rsidDel="00000000" w:rsidR="00000000" w:rsidRPr="00000000">
        <w:rPr>
          <w:rtl w:val="0"/>
        </w:rPr>
      </w:r>
    </w:p>
    <w:p w:rsidR="00000000" w:rsidDel="00000000" w:rsidP="00000000" w:rsidRDefault="00000000" w:rsidRPr="00000000" w14:paraId="00000087">
      <w:pPr>
        <w:widowControl w:val="0"/>
        <w:numPr>
          <w:ilvl w:val="0"/>
          <w:numId w:val="10"/>
        </w:numPr>
        <w:spacing w:after="200" w:line="276" w:lineRule="auto"/>
        <w:ind w:left="502" w:hanging="360"/>
        <w:jc w:val="both"/>
        <w:rPr/>
      </w:pPr>
      <w:r w:rsidDel="00000000" w:rsidR="00000000" w:rsidRPr="00000000">
        <w:rPr>
          <w:rFonts w:ascii="Century Gothic" w:cs="Century Gothic" w:eastAsia="Century Gothic" w:hAnsi="Century Gothic"/>
          <w:b w:val="1"/>
          <w:bCs w:val="1"/>
          <w:rtl w:val="0"/>
        </w:rPr>
        <w:t xml:space="preserve">Control de cadena de frío</w:t>
      </w:r>
    </w:p>
    <w:p w:rsidR="00000000" w:rsidDel="00000000" w:rsidP="00000000" w:rsidRDefault="00000000" w:rsidRPr="00000000" w14:paraId="00000088">
      <w:pPr>
        <w:widowControl w:val="0"/>
        <w:spacing w:after="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IPS no cuenta con medicamentos que necesiten cadena de frío, por lo tanto este punto no aplica dentro de la institución.</w:t>
      </w:r>
      <w:r w:rsidDel="00000000" w:rsidR="00000000" w:rsidRPr="00000000">
        <w:rPr>
          <w:rtl w:val="0"/>
        </w:rPr>
      </w:r>
    </w:p>
    <w:p w:rsidR="00000000" w:rsidDel="00000000" w:rsidP="00000000" w:rsidRDefault="00000000" w:rsidRPr="00000000" w14:paraId="00000089">
      <w:pPr>
        <w:pStyle w:val="Heading1"/>
        <w:numPr>
          <w:ilvl w:val="0"/>
          <w:numId w:val="10"/>
        </w:numPr>
        <w:spacing w:line="276" w:lineRule="auto"/>
        <w:ind w:left="502" w:hanging="360"/>
        <w:rPr>
          <w:sz w:val="22"/>
          <w:szCs w:val="22"/>
        </w:rPr>
      </w:pPr>
      <w:bookmarkStart w:colFirst="0" w:colLast="0" w:name="_heading=h.17dp8vu" w:id="10"/>
      <w:bookmarkEnd w:id="10"/>
      <w:r w:rsidDel="00000000" w:rsidR="00000000" w:rsidRPr="00000000">
        <w:rPr>
          <w:rFonts w:ascii="Century Gothic" w:cs="Century Gothic" w:eastAsia="Century Gothic" w:hAnsi="Century Gothic"/>
          <w:sz w:val="22"/>
          <w:szCs w:val="22"/>
          <w:rtl w:val="0"/>
        </w:rPr>
        <w:t xml:space="preserve">DISTRIBUCIÓN </w:t>
      </w:r>
    </w:p>
    <w:p w:rsidR="00000000" w:rsidDel="00000000" w:rsidP="00000000" w:rsidRDefault="00000000" w:rsidRPr="00000000" w14:paraId="0000008A">
      <w:pPr>
        <w:spacing w:after="200" w:line="276" w:lineRule="auto"/>
        <w:ind w:right="334.133858267717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Los dispositivos médicos e insumos se mantienen en cada cubículo para el profesional que lo requiera sin restricción alguna.</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02" w:right="0" w:hanging="360"/>
        <w:jc w:val="both"/>
        <w:rPr>
          <w:i w:val="0"/>
          <w:iCs w:val="0"/>
          <w:smallCaps w:val="0"/>
          <w:strike w:val="0"/>
          <w:color w:val="000000"/>
          <w:shd w:fill="auto" w:val="clear"/>
          <w:vertAlign w:val="baseline"/>
        </w:rPr>
      </w:pPr>
      <w:r w:rsidDel="00000000" w:rsidR="00000000" w:rsidRPr="00000000">
        <w:rPr>
          <w:rFonts w:ascii="Century Gothic" w:cs="Century Gothic" w:eastAsia="Century Gothic" w:hAnsi="Century Gothic"/>
          <w:b w:val="1"/>
          <w:bCs w:val="1"/>
          <w:rtl w:val="0"/>
        </w:rPr>
        <w:t xml:space="preserve">DISPENSACIÓN</w:t>
      </w:r>
    </w:p>
    <w:p w:rsidR="00000000" w:rsidDel="00000000" w:rsidP="00000000" w:rsidRDefault="00000000" w:rsidRPr="00000000" w14:paraId="0000008C">
      <w:pPr>
        <w:spacing w:after="240" w:before="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Los insumos y dispositivos médicos se adquieren de manera racional, determinando las cantidades de dotación según el consumo promedio histórico. La reposición de insumos en los consultorios se realizará cuando estén próximos a agotarse, considerando el agendamiento de los profesionales.</w:t>
      </w:r>
    </w:p>
    <w:p w:rsidR="00000000" w:rsidDel="00000000" w:rsidP="00000000" w:rsidRDefault="00000000" w:rsidRPr="00000000" w14:paraId="0000008D">
      <w:pPr>
        <w:spacing w:after="240" w:before="24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Una vez finalizada la consulta y completado el proceso de limpieza y desinfección, los insumos y dispositivos médicos deben ser devueltos al área de almacenamiento, garantizando su adecuada organización y disponibilidad para su próximo uso.</w:t>
      </w:r>
    </w:p>
    <w:p w:rsidR="00000000" w:rsidDel="00000000" w:rsidP="00000000" w:rsidRDefault="00000000" w:rsidRPr="00000000" w14:paraId="00000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02" w:right="0" w:hanging="360"/>
        <w:jc w:val="both"/>
        <w:rPr>
          <w:i w:val="0"/>
          <w:iCs w:val="0"/>
          <w:smallCaps w:val="0"/>
          <w:strike w:val="0"/>
          <w:color w:val="000000"/>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DEVOLUCIÓN</w:t>
      </w:r>
    </w:p>
    <w:p w:rsidR="00000000" w:rsidDel="00000000" w:rsidP="00000000" w:rsidRDefault="00000000" w:rsidRPr="00000000" w14:paraId="0000008F">
      <w:pPr>
        <w:spacing w:after="200" w:line="276" w:lineRule="auto"/>
        <w:ind w:right="334.133858267717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devolución de medicamentos, dispositivos médicos e insumos a los proveedores por incumplimiento de alguno de los criterios definidos en los numerales 1, 2 y 4 del presente documento, se realizará de manera inmediata a la recepción del pedido, con el fin de evitar confusiones o malentendidos con el proveedor.</w:t>
      </w:r>
    </w:p>
    <w:p w:rsidR="00000000" w:rsidDel="00000000" w:rsidP="00000000" w:rsidRDefault="00000000" w:rsidRPr="00000000" w14:paraId="00000090">
      <w:pPr>
        <w:spacing w:after="200" w:line="276" w:lineRule="auto"/>
        <w:ind w:right="334.133858267717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Las devoluciones deben quedar registradas en la factura y/o remisión.</w:t>
      </w:r>
    </w:p>
    <w:p w:rsidR="00000000" w:rsidDel="00000000" w:rsidP="00000000" w:rsidRDefault="00000000" w:rsidRPr="00000000" w14:paraId="00000091">
      <w:pPr>
        <w:spacing w:after="200" w:line="276" w:lineRule="auto"/>
        <w:ind w:right="334.1338582677173"/>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La devolución de los cubículos al área de almacenamiento se realizará una vez termine la atención, y se haya realizado el proceso de limpieza y desinfección.</w:t>
      </w:r>
      <w:r w:rsidDel="00000000" w:rsidR="00000000" w:rsidRPr="00000000">
        <w:rPr>
          <w:rtl w:val="0"/>
        </w:rPr>
      </w:r>
    </w:p>
    <w:p w:rsidR="00000000" w:rsidDel="00000000" w:rsidP="00000000" w:rsidRDefault="00000000" w:rsidRPr="00000000" w14:paraId="00000092">
      <w:pPr>
        <w:pStyle w:val="Heading1"/>
        <w:numPr>
          <w:ilvl w:val="0"/>
          <w:numId w:val="10"/>
        </w:numPr>
        <w:spacing w:after="200" w:line="276" w:lineRule="auto"/>
        <w:ind w:left="502" w:hanging="360"/>
        <w:jc w:val="both"/>
        <w:rPr>
          <w:sz w:val="22"/>
          <w:szCs w:val="22"/>
        </w:rPr>
      </w:pPr>
      <w:bookmarkStart w:colFirst="0" w:colLast="0" w:name="_heading=h.3rdcrjn" w:id="11"/>
      <w:bookmarkEnd w:id="11"/>
      <w:r w:rsidDel="00000000" w:rsidR="00000000" w:rsidRPr="00000000">
        <w:rPr>
          <w:rFonts w:ascii="Century Gothic" w:cs="Century Gothic" w:eastAsia="Century Gothic" w:hAnsi="Century Gothic"/>
          <w:sz w:val="22"/>
          <w:szCs w:val="22"/>
          <w:rtl w:val="0"/>
        </w:rPr>
        <w:t xml:space="preserve">DISPOSICIÓN FINAL</w:t>
      </w:r>
    </w:p>
    <w:p w:rsidR="00000000" w:rsidDel="00000000" w:rsidP="00000000" w:rsidRDefault="00000000" w:rsidRPr="00000000" w14:paraId="00000093">
      <w:pPr>
        <w:spacing w:after="20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implementa el siguiente procedimiento para garantizar el cumplimiento normativo en la disposición final de dispositivos médicos e insumos: Los residuos clasificados como negros (no aprovechables) y blancos (aprovechables) son llevados al Almacenamiento Central de Residuos del edificio. Los residuos clasificados como rojos (biosanitarios), correspondientes a insumos contaminados, son sacados en bolsas rojas debidamente rotuladas y se entregan directamente al proveedor autorizado. Toda la información relacionada con la disposición final es registrada en el formato RH1.</w:t>
      </w:r>
      <w:r w:rsidDel="00000000" w:rsidR="00000000" w:rsidRPr="00000000">
        <w:rPr>
          <w:rtl w:val="0"/>
        </w:rPr>
      </w:r>
    </w:p>
    <w:p w:rsidR="00000000" w:rsidDel="00000000" w:rsidP="00000000" w:rsidRDefault="00000000" w:rsidRPr="00000000" w14:paraId="00000094">
      <w:pPr>
        <w:numPr>
          <w:ilvl w:val="0"/>
          <w:numId w:val="10"/>
        </w:numPr>
        <w:spacing w:after="200" w:line="276" w:lineRule="auto"/>
        <w:ind w:left="502" w:right="334.1338582677173" w:hanging="360"/>
        <w:jc w:val="both"/>
      </w:pPr>
      <w:r w:rsidDel="00000000" w:rsidR="00000000" w:rsidRPr="00000000">
        <w:rPr>
          <w:rFonts w:ascii="Century Gothic" w:cs="Century Gothic" w:eastAsia="Century Gothic" w:hAnsi="Century Gothic"/>
          <w:b w:val="1"/>
          <w:bCs w:val="1"/>
          <w:rtl w:val="0"/>
        </w:rPr>
        <w:t xml:space="preserve">SEGUIMIENTO Y CONTROL AL USO Y CALIDAD DE LOS MEDICAMENTOS, DISPOSITIVOS MÉDICOS E INSUMOS.</w:t>
      </w:r>
    </w:p>
    <w:p w:rsidR="00000000" w:rsidDel="00000000" w:rsidP="00000000" w:rsidRDefault="00000000" w:rsidRPr="00000000" w14:paraId="00000095">
      <w:pPr>
        <w:spacing w:after="200" w:line="276" w:lineRule="auto"/>
        <w:ind w:right="334.133858267717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Teniendo en cuenta que este ítem no aplica para la IPS, se toma en cuenta exclusivamente el siguiente concepto: Desde los programas institucionales de Farmacovigilancia y Tecnovigilancia se definen las estrategias para el seguimiento, control y medidas para disminuir el riesgo de ocurrencia de incidentes y/o eventos adversos relacionados con el uso de medicamentos, dispositivos médicos e insumos.</w:t>
      </w:r>
    </w:p>
    <w:p w:rsidR="00000000" w:rsidDel="00000000" w:rsidP="00000000" w:rsidRDefault="00000000" w:rsidRPr="00000000" w14:paraId="00000096">
      <w:pPr>
        <w:pStyle w:val="Heading1"/>
        <w:numPr>
          <w:ilvl w:val="0"/>
          <w:numId w:val="10"/>
        </w:numPr>
        <w:spacing w:line="276" w:lineRule="auto"/>
        <w:ind w:left="502" w:hanging="360"/>
        <w:rPr>
          <w:sz w:val="22"/>
          <w:szCs w:val="22"/>
        </w:rPr>
      </w:pPr>
      <w:bookmarkStart w:colFirst="0" w:colLast="0" w:name="_heading=h.26in1rg" w:id="12"/>
      <w:bookmarkEnd w:id="12"/>
      <w:r w:rsidDel="00000000" w:rsidR="00000000" w:rsidRPr="00000000">
        <w:rPr>
          <w:rFonts w:ascii="Century Gothic" w:cs="Century Gothic" w:eastAsia="Century Gothic" w:hAnsi="Century Gothic"/>
          <w:sz w:val="22"/>
          <w:szCs w:val="22"/>
          <w:rtl w:val="0"/>
        </w:rPr>
        <w:t xml:space="preserve">BIBLIOGRAFÍA </w:t>
      </w:r>
    </w:p>
    <w:p w:rsidR="00000000" w:rsidDel="00000000" w:rsidP="00000000" w:rsidRDefault="00000000" w:rsidRPr="00000000" w14:paraId="00000097">
      <w:pPr>
        <w:numPr>
          <w:ilvl w:val="0"/>
          <w:numId w:val="18"/>
        </w:numPr>
        <w:spacing w:after="0" w:line="276" w:lineRule="auto"/>
        <w:ind w:left="720" w:right="334.1338582677173" w:hanging="360"/>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rtl w:val="0"/>
        </w:rPr>
        <w:t xml:space="preserve">Resolución 1403 del Ministerio de la protección social. “Por la cual se determina el Modelo de Gestión del Servicio Farmac eutico, se adopta el Manual de Condiciones Esenciales y Procedimientos y se dictan otras  disposiciones”. (14 de mayo  de 2007).</w:t>
      </w:r>
    </w:p>
    <w:p w:rsidR="00000000" w:rsidDel="00000000" w:rsidP="00000000" w:rsidRDefault="00000000" w:rsidRPr="00000000" w14:paraId="00000098">
      <w:pPr>
        <w:numPr>
          <w:ilvl w:val="0"/>
          <w:numId w:val="18"/>
        </w:numPr>
        <w:spacing w:after="0" w:line="276" w:lineRule="auto"/>
        <w:ind w:left="720" w:right="334.1338582677173" w:hanging="360"/>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rtl w:val="0"/>
        </w:rPr>
        <w:t xml:space="preserve">Resolución 1403 del Ministerio de la protección social. “Por la cual se determina el modelo de gestión del servicio farmacéutico, se adopta el manual de condiciones esenciales y procedimientos y se dictan otras disposiciones”. (14 de mayo  de 2007).</w:t>
      </w:r>
    </w:p>
    <w:p w:rsidR="00000000" w:rsidDel="00000000" w:rsidP="00000000" w:rsidRDefault="00000000" w:rsidRPr="00000000" w14:paraId="00000099">
      <w:pPr>
        <w:numPr>
          <w:ilvl w:val="0"/>
          <w:numId w:val="18"/>
        </w:numPr>
        <w:spacing w:after="0" w:line="276" w:lineRule="auto"/>
        <w:ind w:left="720" w:right="334.1338582677173" w:hanging="360"/>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rtl w:val="0"/>
        </w:rPr>
        <w:t xml:space="preserve">Acuerdo 228 del Ministerio de Salud “Por medio del cual se actualiza el Manual de Medicamentos del Plan Obligatorio de Salud y se dictan otras disposiciones”. (2002).</w:t>
      </w:r>
    </w:p>
    <w:p w:rsidR="00000000" w:rsidDel="00000000" w:rsidP="00000000" w:rsidRDefault="00000000" w:rsidRPr="00000000" w14:paraId="0000009A">
      <w:pPr>
        <w:numPr>
          <w:ilvl w:val="0"/>
          <w:numId w:val="18"/>
        </w:numPr>
        <w:spacing w:after="0" w:line="276" w:lineRule="auto"/>
        <w:ind w:left="720" w:right="334.1338582677173" w:hanging="360"/>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rtl w:val="0"/>
        </w:rPr>
        <w:t xml:space="preserve">Jaramillo G. (1997). Selección de medicamentos y estimación de las necesidades para atención farmacéutica. </w:t>
      </w:r>
      <w:r w:rsidDel="00000000" w:rsidR="00000000" w:rsidRPr="00000000">
        <w:rPr>
          <w:rFonts w:ascii="Century Gothic" w:cs="Century Gothic" w:eastAsia="Century Gothic" w:hAnsi="Century Gothic"/>
          <w:i w:val="1"/>
          <w:iCs w:val="1"/>
          <w:rtl w:val="0"/>
        </w:rPr>
        <w:t xml:space="preserve">Revista Vitae</w:t>
      </w:r>
      <w:r w:rsidDel="00000000" w:rsidR="00000000" w:rsidRPr="00000000">
        <w:rPr>
          <w:rFonts w:ascii="Century Gothic" w:cs="Century Gothic" w:eastAsia="Century Gothic" w:hAnsi="Century Gothic"/>
          <w:rtl w:val="0"/>
        </w:rPr>
        <w:t xml:space="preserve">. 5 (1).</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C">
      <w:pPr>
        <w:rPr>
          <w:rFonts w:ascii="Century Gothic" w:cs="Century Gothic" w:eastAsia="Century Gothic" w:hAnsi="Century Gothic"/>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891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85"/>
      <w:gridCol w:w="3885"/>
      <w:gridCol w:w="2340"/>
      <w:tblGridChange w:id="0">
        <w:tblGrid>
          <w:gridCol w:w="2685"/>
          <w:gridCol w:w="3885"/>
          <w:gridCol w:w="2340"/>
        </w:tblGrid>
      </w:tblGridChange>
    </w:tblGrid>
    <w:tr>
      <w:trPr>
        <w:cantSplit w:val="0"/>
        <w:trHeight w:val="1125" w:hRule="atLeast"/>
        <w:tblHeader w:val="0"/>
      </w:trPr>
      <w:tc>
        <w:tcPr>
          <w:vAlign w:val="center"/>
        </w:tcPr>
        <w:p w:rsidR="00000000" w:rsidDel="00000000" w:rsidP="00000000" w:rsidRDefault="00000000" w:rsidRPr="00000000" w14:paraId="0000009E">
          <w:pPr>
            <w:widowControl w:val="0"/>
            <w:spacing w:after="0" w:line="240" w:lineRule="auto"/>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rPr>
            <w:drawing>
              <wp:inline distB="114300" distT="114300" distL="114300" distR="114300">
                <wp:extent cx="1463040" cy="54620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63040" cy="54620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F">
          <w:pPr>
            <w:tabs>
              <w:tab w:val="center" w:leader="none" w:pos="4252"/>
              <w:tab w:val="right" w:leader="none" w:pos="8504"/>
            </w:tabs>
            <w:spacing w:after="0" w:line="240" w:lineRule="auto"/>
            <w:ind w:left="10" w:right="7" w:firstLine="0"/>
            <w:jc w:val="center"/>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rtl w:val="0"/>
            </w:rPr>
            <w:t xml:space="preserve">PROCEDIMIENTO PARA LA GESTIÓN DE MEDICAMENTOS, DISPOSITIVOS MÉDICOS E INSUMOS</w:t>
          </w:r>
          <w:r w:rsidDel="00000000" w:rsidR="00000000" w:rsidRPr="00000000">
            <w:rPr>
              <w:rtl w:val="0"/>
            </w:rPr>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Century Gothic" w:cs="Century Gothic" w:eastAsia="Century Gothic" w:hAnsi="Century Gothic"/>
              <w:b w:val="1"/>
              <w:bCs w:val="1"/>
              <w:i w:val="0"/>
              <w:iCs w:val="0"/>
              <w:smallCaps w:val="0"/>
              <w:strike w:val="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sz w:val="18"/>
              <w:szCs w:val="18"/>
              <w:u w:val="none"/>
              <w:shd w:fill="auto" w:val="clear"/>
              <w:vertAlign w:val="baseline"/>
              <w:rtl w:val="0"/>
            </w:rPr>
            <w:t xml:space="preserve">Código: </w:t>
          </w:r>
          <w:r w:rsidDel="00000000" w:rsidR="00000000" w:rsidRPr="00000000">
            <w:rPr>
              <w:rFonts w:ascii="Century Gothic" w:cs="Century Gothic" w:eastAsia="Century Gothic" w:hAnsi="Century Gothic"/>
              <w:b w:val="1"/>
              <w:bCs w:val="1"/>
              <w:sz w:val="16"/>
              <w:szCs w:val="16"/>
              <w:highlight w:val="white"/>
              <w:rtl w:val="0"/>
            </w:rPr>
            <w:t xml:space="preserve">MD-PR-001</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Century Gothic" w:cs="Century Gothic" w:eastAsia="Century Gothic" w:hAnsi="Century Gothic"/>
              <w:b w:val="1"/>
              <w:bCs w:val="1"/>
              <w:i w:val="0"/>
              <w:iCs w:val="0"/>
              <w:smallCaps w:val="0"/>
              <w:strike w:val="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sz w:val="18"/>
              <w:szCs w:val="18"/>
              <w:u w:val="none"/>
              <w:shd w:fill="auto" w:val="clear"/>
              <w:vertAlign w:val="baseline"/>
              <w:rtl w:val="0"/>
            </w:rPr>
            <w:t xml:space="preserve">Emisión: </w:t>
          </w:r>
          <w:r w:rsidDel="00000000" w:rsidR="00000000" w:rsidRPr="00000000">
            <w:rPr>
              <w:rFonts w:ascii="Century Gothic" w:cs="Century Gothic" w:eastAsia="Century Gothic" w:hAnsi="Century Gothic"/>
              <w:b w:val="1"/>
              <w:bCs w:val="1"/>
              <w:sz w:val="18"/>
              <w:szCs w:val="18"/>
              <w:rtl w:val="0"/>
            </w:rPr>
            <w:t xml:space="preserve">Enero 2025</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Century Gothic" w:cs="Century Gothic" w:eastAsia="Century Gothic" w:hAnsi="Century Gothic"/>
              <w:i w:val="0"/>
              <w:iCs w:val="0"/>
              <w:smallCaps w:val="0"/>
              <w:strike w:val="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sz w:val="18"/>
              <w:szCs w:val="18"/>
              <w:u w:val="none"/>
              <w:shd w:fill="auto" w:val="clear"/>
              <w:vertAlign w:val="baseline"/>
              <w:rtl w:val="0"/>
            </w:rPr>
            <w:t xml:space="preserve">Versión: </w:t>
          </w:r>
          <w:r w:rsidDel="00000000" w:rsidR="00000000" w:rsidRPr="00000000">
            <w:rPr>
              <w:rFonts w:ascii="Century Gothic" w:cs="Century Gothic" w:eastAsia="Century Gothic" w:hAnsi="Century Gothic"/>
              <w:b w:val="1"/>
              <w:bCs w:val="1"/>
              <w:sz w:val="18"/>
              <w:szCs w:val="18"/>
              <w:rtl w:val="0"/>
            </w:rPr>
            <w:t xml:space="preserve">2</w:t>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36" w:hanging="360"/>
      </w:pPr>
      <w:rPr>
        <w:u w:val="none"/>
      </w:rPr>
    </w:lvl>
    <w:lvl w:ilvl="1">
      <w:start w:val="1"/>
      <w:numFmt w:val="bullet"/>
      <w:lvlText w:val="o"/>
      <w:lvlJc w:val="left"/>
      <w:pPr>
        <w:ind w:left="2856" w:hanging="360"/>
      </w:pPr>
      <w:rPr>
        <w:u w:val="none"/>
      </w:rPr>
    </w:lvl>
    <w:lvl w:ilvl="2">
      <w:start w:val="1"/>
      <w:numFmt w:val="bullet"/>
      <w:lvlText w:val="▪"/>
      <w:lvlJc w:val="left"/>
      <w:pPr>
        <w:ind w:left="3576" w:hanging="360"/>
      </w:pPr>
      <w:rPr>
        <w:u w:val="none"/>
      </w:rPr>
    </w:lvl>
    <w:lvl w:ilvl="3">
      <w:start w:val="1"/>
      <w:numFmt w:val="bullet"/>
      <w:lvlText w:val="●"/>
      <w:lvlJc w:val="left"/>
      <w:pPr>
        <w:ind w:left="4296" w:hanging="360"/>
      </w:pPr>
      <w:rPr>
        <w:u w:val="none"/>
      </w:rPr>
    </w:lvl>
    <w:lvl w:ilvl="4">
      <w:start w:val="1"/>
      <w:numFmt w:val="bullet"/>
      <w:lvlText w:val="o"/>
      <w:lvlJc w:val="left"/>
      <w:pPr>
        <w:ind w:left="5016" w:hanging="360"/>
      </w:pPr>
      <w:rPr>
        <w:u w:val="none"/>
      </w:rPr>
    </w:lvl>
    <w:lvl w:ilvl="5">
      <w:start w:val="1"/>
      <w:numFmt w:val="bullet"/>
      <w:lvlText w:val="▪"/>
      <w:lvlJc w:val="left"/>
      <w:pPr>
        <w:ind w:left="5736" w:hanging="360"/>
      </w:pPr>
      <w:rPr>
        <w:u w:val="none"/>
      </w:rPr>
    </w:lvl>
    <w:lvl w:ilvl="6">
      <w:start w:val="1"/>
      <w:numFmt w:val="bullet"/>
      <w:lvlText w:val="●"/>
      <w:lvlJc w:val="left"/>
      <w:pPr>
        <w:ind w:left="6456" w:hanging="360"/>
      </w:pPr>
      <w:rPr>
        <w:u w:val="none"/>
      </w:rPr>
    </w:lvl>
    <w:lvl w:ilvl="7">
      <w:start w:val="1"/>
      <w:numFmt w:val="bullet"/>
      <w:lvlText w:val="o"/>
      <w:lvlJc w:val="left"/>
      <w:pPr>
        <w:ind w:left="7176" w:hanging="360"/>
      </w:pPr>
      <w:rPr>
        <w:u w:val="none"/>
      </w:rPr>
    </w:lvl>
    <w:lvl w:ilvl="8">
      <w:start w:val="1"/>
      <w:numFmt w:val="bullet"/>
      <w:lvlText w:val="▪"/>
      <w:lvlJc w:val="left"/>
      <w:pPr>
        <w:ind w:left="7896" w:hanging="360"/>
      </w:pPr>
      <w:rPr>
        <w:u w:val="none"/>
      </w:rPr>
    </w:lvl>
  </w:abstractNum>
  <w:abstractNum w:abstractNumId="5">
    <w:lvl w:ilvl="0">
      <w:start w:val="1"/>
      <w:numFmt w:val="lowerLetter"/>
      <w:lvlText w:val="%1)"/>
      <w:lvlJc w:val="left"/>
      <w:pPr>
        <w:ind w:left="2856" w:hanging="360"/>
      </w:pPr>
      <w:rPr>
        <w:u w:val="none"/>
      </w:rPr>
    </w:lvl>
    <w:lvl w:ilvl="1">
      <w:start w:val="1"/>
      <w:numFmt w:val="lowerLetter"/>
      <w:lvlText w:val="%2."/>
      <w:lvlJc w:val="left"/>
      <w:pPr>
        <w:ind w:left="3576" w:hanging="360"/>
      </w:pPr>
      <w:rPr>
        <w:u w:val="none"/>
      </w:rPr>
    </w:lvl>
    <w:lvl w:ilvl="2">
      <w:start w:val="1"/>
      <w:numFmt w:val="lowerRoman"/>
      <w:lvlText w:val="%3."/>
      <w:lvlJc w:val="right"/>
      <w:pPr>
        <w:ind w:left="4296" w:hanging="180"/>
      </w:pPr>
      <w:rPr>
        <w:u w:val="none"/>
      </w:rPr>
    </w:lvl>
    <w:lvl w:ilvl="3">
      <w:start w:val="1"/>
      <w:numFmt w:val="decimal"/>
      <w:lvlText w:val="%4."/>
      <w:lvlJc w:val="left"/>
      <w:pPr>
        <w:ind w:left="5016" w:hanging="360"/>
      </w:pPr>
      <w:rPr>
        <w:u w:val="none"/>
      </w:rPr>
    </w:lvl>
    <w:lvl w:ilvl="4">
      <w:start w:val="1"/>
      <w:numFmt w:val="lowerLetter"/>
      <w:lvlText w:val="%5."/>
      <w:lvlJc w:val="left"/>
      <w:pPr>
        <w:ind w:left="5736" w:hanging="360"/>
      </w:pPr>
      <w:rPr>
        <w:u w:val="none"/>
      </w:rPr>
    </w:lvl>
    <w:lvl w:ilvl="5">
      <w:start w:val="1"/>
      <w:numFmt w:val="lowerRoman"/>
      <w:lvlText w:val="%6."/>
      <w:lvlJc w:val="right"/>
      <w:pPr>
        <w:ind w:left="6456" w:hanging="180"/>
      </w:pPr>
      <w:rPr>
        <w:u w:val="none"/>
      </w:rPr>
    </w:lvl>
    <w:lvl w:ilvl="6">
      <w:start w:val="1"/>
      <w:numFmt w:val="decimal"/>
      <w:lvlText w:val="%7."/>
      <w:lvlJc w:val="left"/>
      <w:pPr>
        <w:ind w:left="7176" w:hanging="360"/>
      </w:pPr>
      <w:rPr>
        <w:u w:val="none"/>
      </w:rPr>
    </w:lvl>
    <w:lvl w:ilvl="7">
      <w:start w:val="1"/>
      <w:numFmt w:val="lowerLetter"/>
      <w:lvlText w:val="%8."/>
      <w:lvlJc w:val="left"/>
      <w:pPr>
        <w:ind w:left="7896" w:hanging="360"/>
      </w:pPr>
      <w:rPr>
        <w:u w:val="none"/>
      </w:rPr>
    </w:lvl>
    <w:lvl w:ilvl="8">
      <w:start w:val="1"/>
      <w:numFmt w:val="lowerRoman"/>
      <w:lvlText w:val="%9."/>
      <w:lvlJc w:val="right"/>
      <w:pPr>
        <w:ind w:left="8616"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rFonts w:ascii="Century Gothic" w:cs="Century Gothic" w:eastAsia="Century Gothic" w:hAnsi="Century Gothic"/>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502" w:hanging="360"/>
      </w:pPr>
      <w:rPr>
        <w:rFonts w:ascii="Century Gothic" w:cs="Century Gothic" w:eastAsia="Century Gothic" w:hAnsi="Century Gothic"/>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3"/>
      <w:numFmt w:val="bullet"/>
      <w:lvlText w:val="-"/>
      <w:lvlJc w:val="left"/>
      <w:pPr>
        <w:ind w:left="360" w:firstLine="0"/>
      </w:pPr>
      <w:rPr>
        <w:rFonts w:ascii="Arial" w:cs="Arial" w:eastAsia="Arial" w:hAnsi="Arial"/>
        <w:vertAlign w:val="baseline"/>
      </w:rPr>
    </w:lvl>
    <w:lvl w:ilvl="1">
      <w:start w:val="1"/>
      <w:numFmt w:val="bullet"/>
      <w:lvlText w:val="o"/>
      <w:lvlJc w:val="left"/>
      <w:pPr>
        <w:ind w:left="1080" w:firstLine="720"/>
      </w:pPr>
      <w:rPr>
        <w:rFonts w:ascii="Arial" w:cs="Arial" w:eastAsia="Arial" w:hAnsi="Arial"/>
        <w:vertAlign w:val="baseline"/>
      </w:rPr>
    </w:lvl>
    <w:lvl w:ilvl="2">
      <w:start w:val="1"/>
      <w:numFmt w:val="bullet"/>
      <w:lvlText w:val="▪"/>
      <w:lvlJc w:val="left"/>
      <w:pPr>
        <w:ind w:left="1800" w:firstLine="1440"/>
      </w:pPr>
      <w:rPr>
        <w:rFonts w:ascii="Arial" w:cs="Arial" w:eastAsia="Arial" w:hAnsi="Arial"/>
        <w:vertAlign w:val="baseline"/>
      </w:rPr>
    </w:lvl>
    <w:lvl w:ilvl="3">
      <w:start w:val="1"/>
      <w:numFmt w:val="bullet"/>
      <w:lvlText w:val="●"/>
      <w:lvlJc w:val="left"/>
      <w:pPr>
        <w:ind w:left="2520" w:firstLine="2160"/>
      </w:pPr>
      <w:rPr>
        <w:rFonts w:ascii="Arial" w:cs="Arial" w:eastAsia="Arial" w:hAnsi="Arial"/>
        <w:vertAlign w:val="baseline"/>
      </w:rPr>
    </w:lvl>
    <w:lvl w:ilvl="4">
      <w:start w:val="1"/>
      <w:numFmt w:val="bullet"/>
      <w:lvlText w:val="o"/>
      <w:lvlJc w:val="left"/>
      <w:pPr>
        <w:ind w:left="3240" w:firstLine="2880"/>
      </w:pPr>
      <w:rPr>
        <w:rFonts w:ascii="Arial" w:cs="Arial" w:eastAsia="Arial" w:hAnsi="Arial"/>
        <w:vertAlign w:val="baseline"/>
      </w:rPr>
    </w:lvl>
    <w:lvl w:ilvl="5">
      <w:start w:val="1"/>
      <w:numFmt w:val="bullet"/>
      <w:lvlText w:val="▪"/>
      <w:lvlJc w:val="left"/>
      <w:pPr>
        <w:ind w:left="3960" w:firstLine="3600"/>
      </w:pPr>
      <w:rPr>
        <w:rFonts w:ascii="Arial" w:cs="Arial" w:eastAsia="Arial" w:hAnsi="Arial"/>
        <w:vertAlign w:val="baseline"/>
      </w:rPr>
    </w:lvl>
    <w:lvl w:ilvl="6">
      <w:start w:val="1"/>
      <w:numFmt w:val="bullet"/>
      <w:lvlText w:val="●"/>
      <w:lvlJc w:val="left"/>
      <w:pPr>
        <w:ind w:left="4680" w:firstLine="4320"/>
      </w:pPr>
      <w:rPr>
        <w:rFonts w:ascii="Arial" w:cs="Arial" w:eastAsia="Arial" w:hAnsi="Arial"/>
        <w:vertAlign w:val="baseline"/>
      </w:rPr>
    </w:lvl>
    <w:lvl w:ilvl="7">
      <w:start w:val="1"/>
      <w:numFmt w:val="bullet"/>
      <w:lvlText w:val="o"/>
      <w:lvlJc w:val="left"/>
      <w:pPr>
        <w:ind w:left="5400" w:firstLine="5040"/>
      </w:pPr>
      <w:rPr>
        <w:rFonts w:ascii="Arial" w:cs="Arial" w:eastAsia="Arial" w:hAnsi="Arial"/>
        <w:vertAlign w:val="baseline"/>
      </w:rPr>
    </w:lvl>
    <w:lvl w:ilvl="8">
      <w:start w:val="1"/>
      <w:numFmt w:val="bullet"/>
      <w:lvlText w:val="▪"/>
      <w:lvlJc w:val="left"/>
      <w:pPr>
        <w:ind w:left="6120" w:firstLine="5760"/>
      </w:pPr>
      <w:rPr>
        <w:rFonts w:ascii="Arial" w:cs="Arial" w:eastAsia="Arial" w:hAnsi="Arial"/>
        <w:vertAlign w:val="baseline"/>
      </w:rPr>
    </w:lvl>
  </w:abstractNum>
  <w:abstractNum w:abstractNumId="12">
    <w:lvl w:ilvl="0">
      <w:start w:val="1"/>
      <w:numFmt w:val="bullet"/>
      <w:lvlText w:val="✔"/>
      <w:lvlJc w:val="left"/>
      <w:pPr>
        <w:ind w:left="720" w:firstLine="360"/>
      </w:pPr>
      <w:rPr>
        <w:rFonts w:ascii="Noto Sans Symbols" w:cs="Noto Sans Symbols" w:eastAsia="Noto Sans Symbols" w:hAnsi="Noto Sans Symbols"/>
        <w:vertAlign w:val="baseline"/>
      </w:rPr>
    </w:lvl>
    <w:lvl w:ilvl="1">
      <w:start w:val="1"/>
      <w:numFmt w:val="bullet"/>
      <w:lvlText w:val="o"/>
      <w:lvlJc w:val="left"/>
      <w:pPr>
        <w:ind w:left="1440" w:firstLine="1080"/>
      </w:pPr>
      <w:rPr>
        <w:rFonts w:ascii="Arial" w:cs="Arial" w:eastAsia="Arial" w:hAnsi="Arial"/>
        <w:vertAlign w:val="baseline"/>
      </w:rPr>
    </w:lvl>
    <w:lvl w:ilvl="2">
      <w:start w:val="1"/>
      <w:numFmt w:val="bullet"/>
      <w:lvlText w:val="▪"/>
      <w:lvlJc w:val="left"/>
      <w:pPr>
        <w:ind w:left="2160" w:firstLine="1800"/>
      </w:pPr>
      <w:rPr>
        <w:rFonts w:ascii="Arial" w:cs="Arial" w:eastAsia="Arial" w:hAnsi="Arial"/>
        <w:vertAlign w:val="baseline"/>
      </w:rPr>
    </w:lvl>
    <w:lvl w:ilvl="3">
      <w:start w:val="1"/>
      <w:numFmt w:val="bullet"/>
      <w:lvlText w:val="●"/>
      <w:lvlJc w:val="left"/>
      <w:pPr>
        <w:ind w:left="2880" w:firstLine="2520"/>
      </w:pPr>
      <w:rPr>
        <w:rFonts w:ascii="Arial" w:cs="Arial" w:eastAsia="Arial" w:hAnsi="Arial"/>
        <w:vertAlign w:val="baseline"/>
      </w:rPr>
    </w:lvl>
    <w:lvl w:ilvl="4">
      <w:start w:val="1"/>
      <w:numFmt w:val="bullet"/>
      <w:lvlText w:val="o"/>
      <w:lvlJc w:val="left"/>
      <w:pPr>
        <w:ind w:left="3600" w:firstLine="3240"/>
      </w:pPr>
      <w:rPr>
        <w:rFonts w:ascii="Arial" w:cs="Arial" w:eastAsia="Arial" w:hAnsi="Arial"/>
        <w:vertAlign w:val="baseline"/>
      </w:rPr>
    </w:lvl>
    <w:lvl w:ilvl="5">
      <w:start w:val="1"/>
      <w:numFmt w:val="bullet"/>
      <w:lvlText w:val="▪"/>
      <w:lvlJc w:val="left"/>
      <w:pPr>
        <w:ind w:left="4320" w:firstLine="3960"/>
      </w:pPr>
      <w:rPr>
        <w:rFonts w:ascii="Arial" w:cs="Arial" w:eastAsia="Arial" w:hAnsi="Arial"/>
        <w:vertAlign w:val="baseline"/>
      </w:rPr>
    </w:lvl>
    <w:lvl w:ilvl="6">
      <w:start w:val="1"/>
      <w:numFmt w:val="bullet"/>
      <w:lvlText w:val="●"/>
      <w:lvlJc w:val="left"/>
      <w:pPr>
        <w:ind w:left="5040" w:firstLine="4680"/>
      </w:pPr>
      <w:rPr>
        <w:rFonts w:ascii="Arial" w:cs="Arial" w:eastAsia="Arial" w:hAnsi="Arial"/>
        <w:vertAlign w:val="baseline"/>
      </w:rPr>
    </w:lvl>
    <w:lvl w:ilvl="7">
      <w:start w:val="1"/>
      <w:numFmt w:val="bullet"/>
      <w:lvlText w:val="o"/>
      <w:lvlJc w:val="left"/>
      <w:pPr>
        <w:ind w:left="5760" w:firstLine="5400"/>
      </w:pPr>
      <w:rPr>
        <w:rFonts w:ascii="Arial" w:cs="Arial" w:eastAsia="Arial" w:hAnsi="Arial"/>
        <w:vertAlign w:val="baseline"/>
      </w:rPr>
    </w:lvl>
    <w:lvl w:ilvl="8">
      <w:start w:val="1"/>
      <w:numFmt w:val="bullet"/>
      <w:lvlText w:val="▪"/>
      <w:lvlJc w:val="left"/>
      <w:pPr>
        <w:ind w:left="6480" w:firstLine="6120"/>
      </w:pPr>
      <w:rPr>
        <w:rFonts w:ascii="Arial" w:cs="Arial" w:eastAsia="Arial" w:hAnsi="Arial"/>
        <w:vertAlign w:val="baseline"/>
      </w:rPr>
    </w:lvl>
  </w:abstractNum>
  <w:abstractNum w:abstractNumId="13">
    <w:lvl w:ilvl="0">
      <w:start w:val="0"/>
      <w:numFmt w:val="bullet"/>
      <w:lvlText w:val="●"/>
      <w:lvlJc w:val="left"/>
      <w:pPr>
        <w:ind w:left="2205" w:hanging="360"/>
      </w:pPr>
      <w:rPr>
        <w:u w:val="none"/>
      </w:rPr>
    </w:lvl>
    <w:lvl w:ilvl="1">
      <w:start w:val="0"/>
      <w:numFmt w:val="bullet"/>
      <w:lvlText w:val="o"/>
      <w:lvlJc w:val="left"/>
      <w:pPr>
        <w:ind w:left="2925" w:hanging="360"/>
      </w:pPr>
      <w:rPr>
        <w:u w:val="none"/>
      </w:rPr>
    </w:lvl>
    <w:lvl w:ilvl="2">
      <w:start w:val="0"/>
      <w:numFmt w:val="bullet"/>
      <w:lvlText w:val="▪"/>
      <w:lvlJc w:val="left"/>
      <w:pPr>
        <w:ind w:left="3645" w:hanging="360"/>
      </w:pPr>
      <w:rPr>
        <w:u w:val="none"/>
      </w:rPr>
    </w:lvl>
    <w:lvl w:ilvl="3">
      <w:start w:val="0"/>
      <w:numFmt w:val="bullet"/>
      <w:lvlText w:val="●"/>
      <w:lvlJc w:val="left"/>
      <w:pPr>
        <w:ind w:left="4365" w:hanging="360"/>
      </w:pPr>
      <w:rPr>
        <w:u w:val="none"/>
      </w:rPr>
    </w:lvl>
    <w:lvl w:ilvl="4">
      <w:start w:val="0"/>
      <w:numFmt w:val="bullet"/>
      <w:lvlText w:val="o"/>
      <w:lvlJc w:val="left"/>
      <w:pPr>
        <w:ind w:left="5085" w:hanging="360"/>
      </w:pPr>
      <w:rPr>
        <w:u w:val="none"/>
      </w:rPr>
    </w:lvl>
    <w:lvl w:ilvl="5">
      <w:start w:val="0"/>
      <w:numFmt w:val="bullet"/>
      <w:lvlText w:val="▪"/>
      <w:lvlJc w:val="left"/>
      <w:pPr>
        <w:ind w:left="5805" w:hanging="360"/>
      </w:pPr>
      <w:rPr>
        <w:u w:val="none"/>
      </w:rPr>
    </w:lvl>
    <w:lvl w:ilvl="6">
      <w:start w:val="0"/>
      <w:numFmt w:val="bullet"/>
      <w:lvlText w:val="●"/>
      <w:lvlJc w:val="left"/>
      <w:pPr>
        <w:ind w:left="6525" w:hanging="360"/>
      </w:pPr>
      <w:rPr>
        <w:u w:val="none"/>
      </w:rPr>
    </w:lvl>
    <w:lvl w:ilvl="7">
      <w:start w:val="0"/>
      <w:numFmt w:val="bullet"/>
      <w:lvlText w:val="o"/>
      <w:lvlJc w:val="left"/>
      <w:pPr>
        <w:ind w:left="7245" w:hanging="360"/>
      </w:pPr>
      <w:rPr>
        <w:u w:val="none"/>
      </w:rPr>
    </w:lvl>
    <w:lvl w:ilvl="8">
      <w:start w:val="0"/>
      <w:numFmt w:val="bullet"/>
      <w:lvlText w:val="▪"/>
      <w:lvlJc w:val="left"/>
      <w:pPr>
        <w:ind w:left="7965"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0"/>
      <w:numFmt w:val="bullet"/>
      <w:lvlText w:val="●"/>
      <w:lvlJc w:val="left"/>
      <w:pPr>
        <w:ind w:left="1440" w:hanging="360"/>
      </w:pPr>
      <w:rPr>
        <w:u w:val="none"/>
      </w:rPr>
    </w:lvl>
    <w:lvl w:ilvl="1">
      <w:start w:val="0"/>
      <w:numFmt w:val="bullet"/>
      <w:lvlText w:val="o"/>
      <w:lvlJc w:val="left"/>
      <w:pPr>
        <w:ind w:left="2160" w:hanging="360"/>
      </w:pPr>
      <w:rPr>
        <w:u w:val="none"/>
      </w:rPr>
    </w:lvl>
    <w:lvl w:ilvl="2">
      <w:start w:val="0"/>
      <w:numFmt w:val="bullet"/>
      <w:lvlText w:val="▪"/>
      <w:lvlJc w:val="left"/>
      <w:pPr>
        <w:ind w:left="2880" w:hanging="360"/>
      </w:pPr>
      <w:rPr>
        <w:u w:val="none"/>
      </w:rPr>
    </w:lvl>
    <w:lvl w:ilvl="3">
      <w:start w:val="0"/>
      <w:numFmt w:val="bullet"/>
      <w:lvlText w:val="●"/>
      <w:lvlJc w:val="left"/>
      <w:pPr>
        <w:ind w:left="3600" w:hanging="360"/>
      </w:pPr>
      <w:rPr>
        <w:u w:val="none"/>
      </w:rPr>
    </w:lvl>
    <w:lvl w:ilvl="4">
      <w:start w:val="0"/>
      <w:numFmt w:val="bullet"/>
      <w:lvlText w:val="o"/>
      <w:lvlJc w:val="left"/>
      <w:pPr>
        <w:ind w:left="4320" w:hanging="360"/>
      </w:pPr>
      <w:rPr>
        <w:u w:val="none"/>
      </w:rPr>
    </w:lvl>
    <w:lvl w:ilvl="5">
      <w:start w:val="0"/>
      <w:numFmt w:val="bullet"/>
      <w:lvlText w:val="▪"/>
      <w:lvlJc w:val="left"/>
      <w:pPr>
        <w:ind w:left="5040" w:hanging="360"/>
      </w:pPr>
      <w:rPr>
        <w:u w:val="none"/>
      </w:rPr>
    </w:lvl>
    <w:lvl w:ilvl="6">
      <w:start w:val="0"/>
      <w:numFmt w:val="bullet"/>
      <w:lvlText w:val="●"/>
      <w:lvlJc w:val="left"/>
      <w:pPr>
        <w:ind w:left="5760" w:hanging="360"/>
      </w:pPr>
      <w:rPr>
        <w:u w:val="none"/>
      </w:rPr>
    </w:lvl>
    <w:lvl w:ilvl="7">
      <w:start w:val="0"/>
      <w:numFmt w:val="bullet"/>
      <w:lvlText w:val="o"/>
      <w:lvlJc w:val="left"/>
      <w:pPr>
        <w:ind w:left="6480" w:hanging="360"/>
      </w:pPr>
      <w:rPr>
        <w:u w:val="none"/>
      </w:rPr>
    </w:lvl>
    <w:lvl w:ilvl="8">
      <w:start w:val="0"/>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o"/>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o"/>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o"/>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rFonts w:ascii="Century Gothic" w:cs="Century Gothic" w:eastAsia="Century Gothic" w:hAnsi="Century Gothic"/>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DF16E2"/>
    <w:pPr>
      <w:keepNext w:val="1"/>
      <w:keepLines w:val="1"/>
      <w:spacing w:after="0" w:before="240"/>
      <w:outlineLvl w:val="0"/>
    </w:pPr>
    <w:rPr>
      <w:rFonts w:ascii="Arial" w:hAnsi="Arial" w:cstheme="majorBidi" w:eastAsiaTheme="majorEastAsia"/>
      <w:b w:val="1"/>
      <w:color w:val="000000" w:themeColor="text1"/>
      <w:sz w:val="24"/>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AD1765"/>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AD1765"/>
  </w:style>
  <w:style w:type="paragraph" w:styleId="Piedepgina">
    <w:name w:val="footer"/>
    <w:basedOn w:val="Normal"/>
    <w:link w:val="PiedepginaCar"/>
    <w:uiPriority w:val="99"/>
    <w:unhideWhenUsed w:val="1"/>
    <w:rsid w:val="00AD1765"/>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AD1765"/>
  </w:style>
  <w:style w:type="paragraph" w:styleId="Normal1" w:customStyle="1">
    <w:name w:val="Normal1"/>
    <w:rsid w:val="00AD1765"/>
    <w:pPr>
      <w:spacing w:after="0" w:line="240" w:lineRule="auto"/>
    </w:pPr>
    <w:rPr>
      <w:rFonts w:ascii="Times New Roman" w:cs="Times New Roman" w:eastAsia="Times New Roman" w:hAnsi="Times New Roman"/>
      <w:color w:val="000000"/>
      <w:sz w:val="20"/>
      <w:szCs w:val="20"/>
      <w:lang w:eastAsia="es-ES" w:val="en-US"/>
    </w:rPr>
  </w:style>
  <w:style w:type="paragraph" w:styleId="Prrafodelista">
    <w:name w:val="List Paragraph"/>
    <w:basedOn w:val="Normal"/>
    <w:uiPriority w:val="34"/>
    <w:qFormat w:val="1"/>
    <w:rsid w:val="00D1597D"/>
    <w:pPr>
      <w:ind w:left="720"/>
      <w:contextualSpacing w:val="1"/>
    </w:pPr>
  </w:style>
  <w:style w:type="paragraph" w:styleId="NormalWeb">
    <w:name w:val="Normal (Web)"/>
    <w:basedOn w:val="Normal"/>
    <w:uiPriority w:val="99"/>
    <w:unhideWhenUsed w:val="1"/>
    <w:rsid w:val="008A70B5"/>
    <w:pPr>
      <w:spacing w:after="100" w:afterAutospacing="1" w:before="100" w:beforeAutospacing="1" w:line="240" w:lineRule="auto"/>
    </w:pPr>
    <w:rPr>
      <w:rFonts w:ascii="Times New Roman" w:cs="Times New Roman" w:eastAsia="Times New Roman" w:hAnsi="Times New Roman"/>
      <w:sz w:val="24"/>
      <w:szCs w:val="24"/>
      <w:lang w:eastAsia="es-ES"/>
    </w:rPr>
  </w:style>
  <w:style w:type="character" w:styleId="Ttulo1Car" w:customStyle="1">
    <w:name w:val="Título 1 Car"/>
    <w:basedOn w:val="Fuentedeprrafopredeter"/>
    <w:link w:val="Ttulo1"/>
    <w:uiPriority w:val="9"/>
    <w:rsid w:val="00DF16E2"/>
    <w:rPr>
      <w:rFonts w:ascii="Arial" w:hAnsi="Arial" w:cstheme="majorBidi" w:eastAsiaTheme="majorEastAsia"/>
      <w:b w:val="1"/>
      <w:color w:val="000000" w:themeColor="text1"/>
      <w:sz w:val="24"/>
      <w:szCs w:val="32"/>
    </w:rPr>
  </w:style>
  <w:style w:type="paragraph" w:styleId="TtuloTDC">
    <w:name w:val="TOC Heading"/>
    <w:basedOn w:val="Ttulo1"/>
    <w:next w:val="Normal"/>
    <w:uiPriority w:val="39"/>
    <w:unhideWhenUsed w:val="1"/>
    <w:qFormat w:val="1"/>
    <w:rsid w:val="00DA2BF5"/>
    <w:pPr>
      <w:outlineLvl w:val="9"/>
    </w:pPr>
    <w:rPr>
      <w:rFonts w:asciiTheme="majorHAnsi" w:hAnsiTheme="majorHAnsi"/>
      <w:b w:val="0"/>
      <w:color w:val="2f5496" w:themeColor="accent1" w:themeShade="0000BF"/>
      <w:sz w:val="32"/>
      <w:lang w:eastAsia="es-CO" w:val="es-CO"/>
    </w:rPr>
  </w:style>
  <w:style w:type="paragraph" w:styleId="TDC1">
    <w:name w:val="toc 1"/>
    <w:basedOn w:val="Normal"/>
    <w:next w:val="Normal"/>
    <w:autoRedefine w:val="1"/>
    <w:uiPriority w:val="39"/>
    <w:unhideWhenUsed w:val="1"/>
    <w:rsid w:val="00DA2BF5"/>
    <w:pPr>
      <w:spacing w:after="100"/>
    </w:pPr>
  </w:style>
  <w:style w:type="character" w:styleId="Hipervnculo">
    <w:name w:val="Hyperlink"/>
    <w:basedOn w:val="Fuentedeprrafopredeter"/>
    <w:uiPriority w:val="99"/>
    <w:unhideWhenUsed w:val="1"/>
    <w:rsid w:val="00DA2BF5"/>
    <w:rPr>
      <w:color w:val="0563c1" w:themeColor="hyperlink"/>
      <w:u w:val="single"/>
    </w:rPr>
  </w:style>
  <w:style w:type="paragraph" w:styleId="Default" w:customStyle="1">
    <w:name w:val="Default"/>
    <w:rsid w:val="003366D4"/>
    <w:pPr>
      <w:autoSpaceDE w:val="0"/>
      <w:autoSpaceDN w:val="0"/>
      <w:adjustRightInd w:val="0"/>
      <w:spacing w:after="0" w:line="240" w:lineRule="auto"/>
    </w:pPr>
    <w:rPr>
      <w:rFonts w:ascii="Arial" w:cs="Arial" w:hAnsi="Arial"/>
      <w:color w:val="000000"/>
      <w:sz w:val="24"/>
      <w:szCs w:val="24"/>
      <w:lang w:val="es-CO"/>
    </w:rPr>
  </w:style>
  <w:style w:type="paragraph" w:styleId="Textodeglobo">
    <w:name w:val="Balloon Text"/>
    <w:basedOn w:val="Normal"/>
    <w:link w:val="TextodegloboCar"/>
    <w:uiPriority w:val="99"/>
    <w:semiHidden w:val="1"/>
    <w:unhideWhenUsed w:val="1"/>
    <w:rsid w:val="00E5428F"/>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5428F"/>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docs.google.com/spreadsheets/d/11t8vOkNkyx0z3vqTzVvPkOlFo4TIJvyS/edit?usp=drive_link&amp;ouid=108215786033386757953&amp;rtpof=true&amp;sd=true" TargetMode="External"/><Relationship Id="rId12" Type="http://schemas.openxmlformats.org/officeDocument/2006/relationships/header" Target="header1.xml"/><Relationship Id="rId9" Type="http://schemas.openxmlformats.org/officeDocument/2006/relationships/hyperlink" Target="https://docs.google.com/spreadsheets/d/1sPa-pqjckO1dSKia3o52EOCKGvCpG82E/edit?usp=drive_link&amp;ouid=108215786033386757953&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sPa-pqjckO1dSKia3o52EOCKGvCpG82E/edit?usp=drive_link&amp;ouid=108215786033386757953&amp;rtpof=true&amp;sd=true" TargetMode="External"/><Relationship Id="rId8" Type="http://schemas.openxmlformats.org/officeDocument/2006/relationships/hyperlink" Target="https://docs.google.com/spreadsheets/d/11t8vOkNkyx0z3vqTzVvPkOlFo4TIJvyS/edit?usp=drive_link&amp;ouid=108215786033386757953&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CenturyGothic-italic.ttf"/><Relationship Id="rId6" Type="http://schemas.openxmlformats.org/officeDocument/2006/relationships/font" Target="fonts/CenturyGothic-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6tN+iKNooadXWkbuUgOuxIlgw==">CgMxLjAyCGguZ2pkZ3hzMgloLjMwajB6bGwyCWguMWZvYjl0ZTIJaC4yZXQ5MnAwMghoLnR5amN3dDIJaC4zZHk2dmttMgloLjF0M2g1c2YyCWguNGQzNG9nODIJaC4yczhleW8xMg5oLmJwc3k0c2EyY3lpdjIIaC5namRneHMyCWguMTdkcDh2dTIJaC4zcmRjcmpuMgloLjI2aW4xcmc4AHIhMTA3TnFXMUVON1hSSG9vTkpUYzRaU2ZyLTdNaVpSVzht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2018-08-10T15:27:00Z</dcterms:created>
  <dc:creator>Daniela De la Cruz</dc:creator>
</cp:coreProperties>
</file>