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33.45454129305753" w:lineRule="auto"/>
        <w:ind w:left="0" w:firstLine="0"/>
        <w:jc w:val="center"/>
        <w:rPr>
          <w:rFonts w:ascii="Arial" w:cs="Arial" w:eastAsia="Arial" w:hAnsi="Arial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33.45454129305753" w:lineRule="auto"/>
        <w:ind w:left="0" w:firstLine="0"/>
        <w:jc w:val="center"/>
        <w:rPr>
          <w:rFonts w:ascii="Arial" w:cs="Arial" w:eastAsia="Arial" w:hAnsi="Arial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33.45454129305753" w:lineRule="auto"/>
        <w:ind w:left="0" w:firstLine="0"/>
        <w:jc w:val="center"/>
        <w:rPr>
          <w:rFonts w:ascii="Arial" w:cs="Arial" w:eastAsia="Arial" w:hAnsi="Arial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33.45454129305753" w:lineRule="auto"/>
        <w:ind w:left="0" w:firstLine="0"/>
        <w:jc w:val="center"/>
        <w:rPr>
          <w:rFonts w:ascii="Century Gothic" w:cs="Century Gothic" w:eastAsia="Century Gothic" w:hAnsi="Century Gothic"/>
          <w:b w:val="1"/>
          <w:bCs w:val="1"/>
          <w:sz w:val="72"/>
          <w:szCs w:val="7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72"/>
          <w:szCs w:val="72"/>
          <w:rtl w:val="0"/>
        </w:rPr>
        <w:t xml:space="preserve">PROTOCOLO PARA DERRAME DE SANGRE Y OTROS FLUIDOS CORPORALES</w:t>
      </w:r>
    </w:p>
    <w:p w:rsidR="00000000" w:rsidDel="00000000" w:rsidP="00000000" w:rsidRDefault="00000000" w:rsidRPr="00000000" w14:paraId="00000005">
      <w:pPr>
        <w:spacing w:line="233.45454129305753" w:lineRule="auto"/>
        <w:ind w:left="0" w:firstLine="0"/>
        <w:jc w:val="center"/>
        <w:rPr>
          <w:rFonts w:ascii="Arial" w:cs="Arial" w:eastAsia="Arial" w:hAnsi="Arial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33.45454129305753" w:lineRule="auto"/>
        <w:ind w:left="0" w:firstLine="0"/>
        <w:jc w:val="left"/>
        <w:rPr>
          <w:rFonts w:ascii="Arial" w:cs="Arial" w:eastAsia="Arial" w:hAnsi="Arial"/>
          <w:sz w:val="96"/>
          <w:szCs w:val="9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33.45454129305753" w:lineRule="auto"/>
        <w:ind w:lef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33.45454129305753" w:lineRule="auto"/>
        <w:ind w:lef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9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jc w:val="both"/>
        <w:rPr>
          <w:rFonts w:ascii="Century Gothic" w:cs="Century Gothic" w:eastAsia="Century Gothic" w:hAnsi="Century Gothic"/>
          <w:b w:val="1"/>
          <w:bCs w:val="1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2"/>
          <w:szCs w:val="22"/>
          <w:rtl w:val="0"/>
        </w:rPr>
        <w:t xml:space="preserve">OBJETIVO</w:t>
      </w:r>
    </w:p>
    <w:p w:rsidR="00000000" w:rsidDel="00000000" w:rsidP="00000000" w:rsidRDefault="00000000" w:rsidRPr="00000000" w14:paraId="0000000E">
      <w:pPr>
        <w:spacing w:after="160" w:line="259" w:lineRule="auto"/>
        <w:jc w:val="both"/>
        <w:rPr>
          <w:rFonts w:ascii="Century Gothic" w:cs="Century Gothic" w:eastAsia="Century Gothic" w:hAnsi="Century Gothic"/>
          <w:sz w:val="22"/>
          <w:szCs w:val="22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highlight w:val="white"/>
          <w:rtl w:val="0"/>
        </w:rPr>
        <w:t xml:space="preserve">Minimizar los riesgos causados por el derrame de sangre y otros fluidos corporales en la IPS ENDOCRINOLOGY &amp; HEALTH.</w:t>
      </w:r>
    </w:p>
    <w:p w:rsidR="00000000" w:rsidDel="00000000" w:rsidP="00000000" w:rsidRDefault="00000000" w:rsidRPr="00000000" w14:paraId="0000000F">
      <w:pPr>
        <w:spacing w:after="160" w:line="259" w:lineRule="auto"/>
        <w:jc w:val="both"/>
        <w:rPr>
          <w:rFonts w:ascii="Century Gothic" w:cs="Century Gothic" w:eastAsia="Century Gothic" w:hAnsi="Century Gothic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2"/>
          <w:szCs w:val="22"/>
          <w:rtl w:val="0"/>
        </w:rPr>
        <w:t xml:space="preserve">OBJETIVOS ESPECÍFICOS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160" w:line="259" w:lineRule="auto"/>
        <w:ind w:left="720" w:hanging="360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Establecer las medidas de prevención de accidentes en el personal de la salud que está expuesto a riesgo biológico, en el contacto con sangre u otros tipos de fluidos corporales y a todos los microorganismos que pueden causar algún tipo de patología en el servicio del área asistencial. 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160" w:line="259" w:lineRule="auto"/>
        <w:ind w:left="720" w:hanging="360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Socializar con el personal de los procesos y procedimientos de Bioseguridad con el fin de que se conozca, se aplique y se constituya en una práctica permanente y en una herramienta de prevención relacionada con las infecciones derivadas de la atención en salud.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160" w:line="259" w:lineRule="auto"/>
        <w:ind w:left="720" w:hanging="360"/>
        <w:jc w:val="both"/>
        <w:rPr>
          <w:rFonts w:ascii="Century Gothic" w:cs="Century Gothic" w:eastAsia="Century Gothic" w:hAnsi="Century Gothic"/>
          <w:sz w:val="22"/>
          <w:szCs w:val="22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highlight w:val="white"/>
          <w:rtl w:val="0"/>
        </w:rPr>
        <w:t xml:space="preserve">Crear una cultura organizacional de seguridad, responsabilidad, conocimientos y conciencia a través de la prevención, el autocuidado y la autogestión de sus procesos, lo que conlleva a un cambio gradual en actitudes, comportamientos y prácticas en Bioseguridad, garantizando la integridad física de los funcionarios, profesionales, trabajadores y usuarios que se encuentran en ENDOCRINOLOGY &amp; HEALTH.</w:t>
      </w:r>
    </w:p>
    <w:p w:rsidR="00000000" w:rsidDel="00000000" w:rsidP="00000000" w:rsidRDefault="00000000" w:rsidRPr="00000000" w14:paraId="00000014">
      <w:pPr>
        <w:spacing w:after="160" w:line="259" w:lineRule="auto"/>
        <w:ind w:left="0" w:firstLine="0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jc w:val="both"/>
        <w:rPr>
          <w:rFonts w:ascii="Century Gothic" w:cs="Century Gothic" w:eastAsia="Century Gothic" w:hAnsi="Century Gothic"/>
          <w:b w:val="1"/>
          <w:bCs w:val="1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2"/>
          <w:szCs w:val="22"/>
          <w:rtl w:val="0"/>
        </w:rPr>
        <w:t xml:space="preserve">MATERIALES</w:t>
      </w:r>
    </w:p>
    <w:p w:rsidR="00000000" w:rsidDel="00000000" w:rsidP="00000000" w:rsidRDefault="00000000" w:rsidRPr="00000000" w14:paraId="00000016">
      <w:pPr>
        <w:spacing w:after="160" w:line="259" w:lineRule="auto"/>
        <w:jc w:val="both"/>
        <w:rPr>
          <w:rFonts w:ascii="Century Gothic" w:cs="Century Gothic" w:eastAsia="Century Gothic" w:hAnsi="Century Gothic"/>
          <w:b w:val="1"/>
          <w:bCs w:val="1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Los materiales que se van a utilizar para ejecutar el protocolo en caso de presentarse una situación de derrame de fluidos, serán los que se encuentran en el kit de derrames.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160" w:line="259" w:lineRule="auto"/>
        <w:jc w:val="both"/>
        <w:rPr>
          <w:rFonts w:ascii="Century Gothic" w:cs="Century Gothic" w:eastAsia="Century Gothic" w:hAnsi="Century Gothic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="259" w:lineRule="auto"/>
        <w:jc w:val="center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2"/>
          <w:szCs w:val="22"/>
          <w:rtl w:val="0"/>
        </w:rPr>
        <w:t xml:space="preserve">MEDIDAS DE LIMPIEZA EN CASO DE DERRAMES DE SANGRE Y LÍQUIDOS CORPORALES ÁREA DE ATENCIÓN DEL PACIENTE</w:t>
      </w: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="259" w:lineRule="auto"/>
        <w:jc w:val="both"/>
        <w:rPr>
          <w:rFonts w:ascii="Century Gothic" w:cs="Century Gothic" w:eastAsia="Century Gothic" w:hAnsi="Century Gothic"/>
          <w:b w:val="1"/>
          <w:bCs w:val="1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En la IPS ENDOCRINOLOGY &amp; HEALTH, se tomarán medidas utilizando el kit de derrames.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="259" w:lineRule="auto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2"/>
          <w:szCs w:val="22"/>
          <w:rtl w:val="0"/>
        </w:rPr>
        <w:t xml:space="preserve">KIT DE DERRAMES:</w:t>
      </w: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="259" w:lineRule="auto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El kit se encuentra en un contenedor plástico con tapa, marcado como kit de derrames el cual es producido por la compañía EUFAR bajo la ficha técnica (se anexa ficha técnica).</w:t>
      </w:r>
      <w:hyperlink r:id="rId7">
        <w:r w:rsidDel="00000000" w:rsidR="00000000" w:rsidRPr="00000000">
          <w:rPr>
            <w:rFonts w:ascii="Century Gothic" w:cs="Century Gothic" w:eastAsia="Century Gothic" w:hAnsi="Century Gothic"/>
            <w:sz w:val="22"/>
            <w:szCs w:val="22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="259" w:lineRule="auto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Contenido: 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9" w:lineRule="auto"/>
        <w:ind w:left="720" w:hanging="360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1 estuche plástico con identificación 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9" w:lineRule="auto"/>
        <w:ind w:left="720" w:hanging="360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1 polvo o solidificador de liquidos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9" w:lineRule="auto"/>
        <w:ind w:left="720" w:hanging="360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2 pares de guantes de cuaucho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9" w:lineRule="auto"/>
        <w:ind w:left="720" w:hanging="360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1 Detergente/Desinfectante inactivador.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9" w:lineRule="auto"/>
        <w:ind w:left="720" w:hanging="360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1 bolsa roja marcada con riesgo biológico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9" w:lineRule="auto"/>
        <w:ind w:left="720" w:hanging="360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2 paños absorbentes 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9" w:lineRule="auto"/>
        <w:ind w:left="720" w:hanging="360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1 espátula plástica 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9" w:lineRule="auto"/>
        <w:ind w:left="720" w:hanging="360"/>
        <w:jc w:val="both"/>
        <w:rPr>
          <w:rFonts w:ascii="Century Gothic" w:cs="Century Gothic" w:eastAsia="Century Gothic" w:hAnsi="Century Gothic"/>
          <w:sz w:val="22"/>
          <w:szCs w:val="22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1 recogedor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9" w:lineRule="auto"/>
        <w:ind w:left="720" w:hanging="360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1 tapaboca KN95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9" w:lineRule="auto"/>
        <w:ind w:left="720" w:hanging="360"/>
        <w:jc w:val="both"/>
        <w:rPr>
          <w:rFonts w:ascii="Century Gothic" w:cs="Century Gothic" w:eastAsia="Century Gothic" w:hAnsi="Century Gothic"/>
          <w:sz w:val="22"/>
          <w:szCs w:val="22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1 bata desechable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9" w:lineRule="auto"/>
        <w:ind w:left="720" w:hanging="360"/>
        <w:jc w:val="both"/>
        <w:rPr>
          <w:rFonts w:ascii="Century Gothic" w:cs="Century Gothic" w:eastAsia="Century Gothic" w:hAnsi="Century Gothic"/>
          <w:sz w:val="22"/>
          <w:szCs w:val="22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1 Toallas o compresas absorbentes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9" w:lineRule="auto"/>
        <w:ind w:left="720" w:hanging="360"/>
        <w:jc w:val="both"/>
        <w:rPr>
          <w:rFonts w:ascii="Century Gothic" w:cs="Century Gothic" w:eastAsia="Century Gothic" w:hAnsi="Century Gothic"/>
          <w:sz w:val="22"/>
          <w:szCs w:val="22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1 cinta, letrero o aviso de no pase, para delimitar el área</w:t>
      </w:r>
    </w:p>
    <w:p w:rsidR="00000000" w:rsidDel="00000000" w:rsidP="00000000" w:rsidRDefault="00000000" w:rsidRPr="00000000" w14:paraId="0000002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59" w:lineRule="auto"/>
        <w:ind w:left="360" w:firstLine="0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2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="259" w:lineRule="auto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2"/>
          <w:szCs w:val="22"/>
          <w:rtl w:val="0"/>
        </w:rPr>
        <w:t xml:space="preserve">PROCEDIMIENTO DE LIMPIEZA Y DESINFECCIÓN DE FLUIDOS</w:t>
      </w: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9" w:lineRule="auto"/>
        <w:ind w:left="720" w:hanging="360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Colocar la identificación de que se produjo un derrame  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9" w:lineRule="auto"/>
        <w:ind w:left="720" w:hanging="360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Usar elementos de protección personal (EPP) : Tapabocas, guantes y bata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9" w:lineRule="auto"/>
        <w:ind w:left="720" w:hanging="360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Marcar la bolsa roja con los datos: institución, área, consultorio. 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9" w:lineRule="auto"/>
        <w:ind w:left="720" w:hanging="360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Esparcir GELIFICANTE INACTIVADOR de manera uniforme sobre el derrame de periferia hacia el centro, y esperar unos segundos mientras se absorbe el líquido.  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9" w:lineRule="auto"/>
        <w:ind w:left="720" w:hanging="360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Esperar unos segundos mientras se absorbe el líquido 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9" w:lineRule="auto"/>
        <w:ind w:left="720" w:hanging="360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con la espátula plástica o recogedor, se recoge el producto solidificado y se deposita dentro de la bolsa roja. 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9" w:lineRule="auto"/>
        <w:ind w:left="720" w:hanging="360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Una vez se recoge el producto gelificado, se aplica BENZALDINA QXS sobre el área para desinfectar, se termina de limpiar con paños absorbentes y se depositan dentro de la bolsa roja. 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9" w:lineRule="auto"/>
        <w:ind w:left="720" w:hanging="360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Al finalizar la limpieza se deposita todo el material desechable en la bolsa roja, se cierra y se conduce al almacenamiento central de residuos. 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9" w:lineRule="auto"/>
        <w:ind w:left="1080" w:hanging="360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Se lava y desinfecta la espatula plastica.  </w:t>
      </w:r>
    </w:p>
    <w:p w:rsidR="00000000" w:rsidDel="00000000" w:rsidP="00000000" w:rsidRDefault="00000000" w:rsidRPr="00000000" w14:paraId="0000003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59" w:lineRule="auto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3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59" w:lineRule="auto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2"/>
          <w:szCs w:val="22"/>
          <w:rtl w:val="0"/>
        </w:rPr>
        <w:t xml:space="preserve">CONDICIONES DE ALMACENAMIENTO Y CONSERVACIÓN </w:t>
      </w: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3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59" w:lineRule="auto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En la IPS, en el espacio destinado para el mueble de almacenamiento que está debidamente rotulado, donde también se encuentra el kit en un apartado de este.</w:t>
      </w:r>
    </w:p>
    <w:p w:rsidR="00000000" w:rsidDel="00000000" w:rsidP="00000000" w:rsidRDefault="00000000" w:rsidRPr="00000000" w14:paraId="0000003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59" w:lineRule="auto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59" w:lineRule="auto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2"/>
          <w:szCs w:val="22"/>
          <w:rtl w:val="0"/>
        </w:rPr>
        <w:t xml:space="preserve">CONTROL DE FECHAS DE VENCIMIENTO </w:t>
      </w: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3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59" w:lineRule="auto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Para controlar las fechas de vencimiento de los dispositivos médicos, insumos y medicamentos se implementa el protocolo de semaforización, referido en este apartado. </w:t>
      </w:r>
      <w:hyperlink r:id="rId8">
        <w:r w:rsidDel="00000000" w:rsidR="00000000" w:rsidRPr="00000000">
          <w:rPr>
            <w:rFonts w:ascii="Century Gothic" w:cs="Century Gothic" w:eastAsia="Century Gothic" w:hAnsi="Century Gothic"/>
            <w:color w:val="0000ee"/>
            <w:sz w:val="22"/>
            <w:szCs w:val="22"/>
            <w:u w:val="single"/>
            <w:rtl w:val="0"/>
          </w:rPr>
          <w:t xml:space="preserve">PROTOCOLO DE SEMAFORIZACIÓN MEDICAMENTOS, DISPOSITIVOS MÉDICOS E INSUMOS.docx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59" w:lineRule="auto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3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59" w:lineRule="auto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2"/>
          <w:szCs w:val="22"/>
          <w:rtl w:val="0"/>
        </w:rPr>
        <w:t xml:space="preserve">USO Y CUSTODIA DE LOS INSUMOS, DISPOSITIVOS MÉDICOS Y MEDICAMENTOS DEL KIT DE DERRAMES. </w:t>
      </w: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3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59" w:lineRule="auto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El uso y custodia del contenido del kit de derrames, estará encargado por la persona asignada, en este caso será la Auxiliar Administrativa.</w:t>
      </w:r>
    </w:p>
    <w:p w:rsidR="00000000" w:rsidDel="00000000" w:rsidP="00000000" w:rsidRDefault="00000000" w:rsidRPr="00000000" w14:paraId="0000003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59" w:lineRule="auto"/>
        <w:jc w:val="both"/>
        <w:rPr>
          <w:rFonts w:ascii="Century Gothic" w:cs="Century Gothic" w:eastAsia="Century Gothic" w:hAnsi="Century Gothic"/>
          <w:b w:val="1"/>
          <w:bCs w:val="1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2"/>
          <w:szCs w:val="22"/>
          <w:rtl w:val="0"/>
        </w:rPr>
        <w:t xml:space="preserve">RESPONSABLE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sz w:val="22"/>
          <w:szCs w:val="22"/>
          <w:rtl w:val="0"/>
        </w:rPr>
        <w:t xml:space="preserve">La persona responsable de realizar el procedimiento de limpieza y desinfección es la profesional  y/o auxiliar administrativo. </w:t>
      </w:r>
    </w:p>
    <w:sectPr>
      <w:headerReference r:id="rId9" w:type="default"/>
      <w:headerReference r:id="rId10" w:type="first"/>
      <w:footerReference r:id="rId11" w:type="default"/>
      <w:footerReference r:id="rId12" w:type="even"/>
      <w:pgSz w:h="15840" w:w="12240" w:orient="portrait"/>
      <w:pgMar w:bottom="1417" w:top="1417" w:left="1701" w:right="1701" w:header="708" w:footer="708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Verdana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spacing w:line="276" w:lineRule="auto"/>
      <w:rPr>
        <w:sz w:val="8"/>
        <w:szCs w:val="8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36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widowControl w:val="0"/>
      <w:spacing w:line="276" w:lineRule="auto"/>
      <w:rPr>
        <w:rFonts w:ascii="Arial" w:cs="Arial" w:eastAsia="Arial" w:hAnsi="Arial"/>
        <w:sz w:val="2"/>
        <w:szCs w:val="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1">
    <w:pPr>
      <w:widowControl w:val="0"/>
      <w:spacing w:line="276" w:lineRule="auto"/>
      <w:rPr>
        <w:sz w:val="22"/>
        <w:szCs w:val="22"/>
      </w:rPr>
    </w:pPr>
    <w:r w:rsidDel="00000000" w:rsidR="00000000" w:rsidRPr="00000000">
      <w:rPr>
        <w:rtl w:val="0"/>
      </w:rPr>
    </w:r>
  </w:p>
  <w:tbl>
    <w:tblPr>
      <w:tblStyle w:val="Table1"/>
      <w:tblW w:w="9600.0" w:type="dxa"/>
      <w:jc w:val="left"/>
      <w:tblInd w:w="-36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000"/>
    </w:tblPr>
    <w:tblGrid>
      <w:gridCol w:w="2700"/>
      <w:gridCol w:w="4515"/>
      <w:gridCol w:w="2385"/>
      <w:tblGridChange w:id="0">
        <w:tblGrid>
          <w:gridCol w:w="2700"/>
          <w:gridCol w:w="4515"/>
          <w:gridCol w:w="2385"/>
        </w:tblGrid>
      </w:tblGridChange>
    </w:tblGrid>
    <w:tr>
      <w:trPr>
        <w:cantSplit w:val="0"/>
        <w:trHeight w:val="1125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42">
          <w:pPr>
            <w:widowControl w:val="0"/>
            <w:jc w:val="center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</w:rPr>
            <w:drawing>
              <wp:inline distB="114300" distT="114300" distL="114300" distR="114300">
                <wp:extent cx="1463040" cy="546202"/>
                <wp:effectExtent b="0" l="0" r="0" t="0"/>
                <wp:docPr id="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3040" cy="54620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43">
          <w:pPr>
            <w:tabs>
              <w:tab w:val="center" w:leader="none" w:pos="4252"/>
              <w:tab w:val="right" w:leader="none" w:pos="8504"/>
            </w:tabs>
            <w:ind w:left="10" w:right="7" w:firstLine="0"/>
            <w:jc w:val="center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22"/>
              <w:szCs w:val="22"/>
              <w:rtl w:val="0"/>
            </w:rPr>
            <w:t xml:space="preserve">PROTOCOLO PARA DERRAME DE SANGRE Y OTROS FLUIDOS CORPORALES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44">
          <w:pPr>
            <w:ind w:right="-69"/>
            <w:rPr>
              <w:rFonts w:ascii="Century Gothic" w:cs="Century Gothic" w:eastAsia="Century Gothic" w:hAnsi="Century Gothic"/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18"/>
              <w:szCs w:val="18"/>
              <w:rtl w:val="0"/>
            </w:rPr>
            <w:t xml:space="preserve">Código: </w:t>
          </w: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16"/>
              <w:szCs w:val="16"/>
              <w:highlight w:val="white"/>
              <w:rtl w:val="0"/>
            </w:rPr>
            <w:t xml:space="preserve">MD-PT-001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ind w:right="-69"/>
            <w:rPr>
              <w:rFonts w:ascii="Century Gothic" w:cs="Century Gothic" w:eastAsia="Century Gothic" w:hAnsi="Century Gothic"/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18"/>
              <w:szCs w:val="18"/>
              <w:rtl w:val="0"/>
            </w:rPr>
            <w:t xml:space="preserve">Emisión: Enero 2025</w:t>
          </w:r>
        </w:p>
        <w:p w:rsidR="00000000" w:rsidDel="00000000" w:rsidP="00000000" w:rsidRDefault="00000000" w:rsidRPr="00000000" w14:paraId="00000046">
          <w:pPr>
            <w:ind w:right="-69"/>
            <w:rPr>
              <w:rFonts w:ascii="Century Gothic" w:cs="Century Gothic" w:eastAsia="Century Gothic" w:hAnsi="Century Gothic"/>
              <w:sz w:val="18"/>
              <w:szCs w:val="18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18"/>
              <w:szCs w:val="18"/>
              <w:rtl w:val="0"/>
            </w:rPr>
            <w:t xml:space="preserve">Versión: 2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7">
    <w:pPr>
      <w:tabs>
        <w:tab w:val="center" w:leader="none" w:pos="4252"/>
        <w:tab w:val="right" w:leader="none" w:pos="8504"/>
      </w:tabs>
      <w:rPr>
        <w:rFonts w:ascii="Arial" w:cs="Arial" w:eastAsia="Arial" w:hAnsi="Arial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6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C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C518A4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C518A4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es-MX"/>
    </w:rPr>
  </w:style>
  <w:style w:type="paragraph" w:styleId="Encabezado">
    <w:name w:val="header"/>
    <w:basedOn w:val="Normal"/>
    <w:link w:val="EncabezadoCar"/>
    <w:uiPriority w:val="99"/>
    <w:unhideWhenUsed w:val="1"/>
    <w:rsid w:val="00A44414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A44414"/>
  </w:style>
  <w:style w:type="paragraph" w:styleId="Piedepgina">
    <w:name w:val="footer"/>
    <w:basedOn w:val="Normal"/>
    <w:link w:val="PiedepginaCar"/>
    <w:uiPriority w:val="99"/>
    <w:unhideWhenUsed w:val="1"/>
    <w:rsid w:val="00A44414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A44414"/>
  </w:style>
  <w:style w:type="table" w:styleId="Tablaconcuadrcula">
    <w:name w:val="Table Grid"/>
    <w:basedOn w:val="Tablanormal"/>
    <w:uiPriority w:val="39"/>
    <w:rsid w:val="00A44414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Nmerodepgina">
    <w:name w:val="page number"/>
    <w:basedOn w:val="Fuentedeprrafopredeter"/>
    <w:uiPriority w:val="99"/>
    <w:semiHidden w:val="1"/>
    <w:unhideWhenUsed w:val="1"/>
    <w:rsid w:val="00D47709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fill="ffffff" w:val="clear"/>
    </w:tc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fill="ffffff" w:val="clear"/>
    </w:tc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fff" w:val="clear"/>
    </w:tc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fff" w:val="clear"/>
    </w:tc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fff" w:val="clear"/>
    </w:tc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fff" w:val="clear"/>
    </w:tc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fff" w:val="clear"/>
    </w:tc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fff" w:val="clear"/>
    </w:tc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fff" w:val="clear"/>
    </w:tc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fff" w:val="clear"/>
    </w:tc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fff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fff" w:val="clear"/>
    </w:tc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kimedapp.sharepoint.com/:b:/r/sites/EMPRESARUTAVITALSAS/Documentos%20compartidos/%C3%81rea%20de%20habilitacion/2%20-%20Infraestructura/2%20-%20Soportes%20Legales/0%20-%20Insumos%20de%20aseo%20y%20fichas%20t%C3%A9cnicas/Hoja%20tecnica_kit%20de%20bioseguridad%20inactividad.pdf?csf=1&amp;web=1&amp;e=Q1YEIu" TargetMode="External"/><Relationship Id="rId8" Type="http://schemas.openxmlformats.org/officeDocument/2006/relationships/hyperlink" Target="https://docs.google.com/document/d/112nyY-kpLmuNROazvm0WOJmv0LZe2iiE/edit?usp=drive_link&amp;ouid=108215786033386757953&amp;rtpof=true&amp;sd=tru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8or6g2g2At6ZOsNPFuoCoVPsOA==">CgMxLjA4AHIhMTFZZnV1TE9HVWdPVlR3Y0Z4Zm9hcFZSWV9BZG45LVZY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2022-06-03T02:51:00Z</dcterms:created>
  <dc:creator>Microsoft Office User</dc:creator>
</cp:coreProperties>
</file>