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i w:val="0"/>
          <w:smallCaps w:val="0"/>
          <w:strike w:val="0"/>
          <w:color w:val="2f5496"/>
          <w:sz w:val="24"/>
          <w:szCs w:val="24"/>
          <w:u w:val="none"/>
          <w:shd w:fill="auto" w:val="clear"/>
          <w:vertAlign w:val="baseline"/>
        </w:rPr>
      </w:pPr>
      <w:r w:rsidDel="00000000" w:rsidR="00000000" w:rsidRPr="00000000">
        <w:rPr>
          <w:rFonts w:ascii="Arial" w:cs="Arial" w:eastAsia="Arial" w:hAnsi="Arial"/>
          <w:b w:val="0"/>
          <w:i w:val="0"/>
          <w:smallCaps w:val="0"/>
          <w:strike w:val="0"/>
          <w:color w:val="2f5496"/>
          <w:sz w:val="24"/>
          <w:szCs w:val="24"/>
          <w:u w:val="none"/>
          <w:shd w:fill="auto" w:val="clear"/>
          <w:vertAlign w:val="baseline"/>
          <w:rtl w:val="0"/>
        </w:rPr>
        <w:t xml:space="preserve">Contenido</w:t>
      </w:r>
    </w:p>
    <w:p w:rsidR="00000000" w:rsidDel="00000000" w:rsidP="00000000" w:rsidRDefault="00000000" w:rsidRPr="00000000" w14:paraId="0000000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OBJETIVO</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ALCANCE</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DEFINICIONES</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¿POR QUÉ ES IMPORTANTE TRABAJAR LA PROMOCIÓN DEL AUTOCUIDADO Y LA AUTONOMÍA DEL PACIENTE?</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ACCIONES INSEGURAS MÁS COMUNES QUE PERJUDICAN EL INVOLUCRAMIENTO DEL PACIENTE EN SU AUTOCUIDADO</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PRÁCTICAS SEGURAS MÁS EFICACES PARA PROMOVER EL AUTOCUIDADO EN EL PACIENTE</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tab/>
            </w:r>
          </w:hyperlink>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ACTIVIDADES DONDE SE ILUSTRA AL PACIENTE Y SUS ALLEGADOS EN EL AUTOCUIDADO DE SU SEGURIDAD.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ind w:left="720" w:hanging="360"/>
        <w:jc w:val="both"/>
        <w:rPr/>
      </w:pPr>
      <w:r w:rsidDel="00000000" w:rsidR="00000000" w:rsidRPr="00000000">
        <w:rPr>
          <w:rtl w:val="0"/>
        </w:rPr>
      </w:r>
    </w:p>
    <w:tbl>
      <w:tblPr>
        <w:tblStyle w:val="Table1"/>
        <w:tblW w:w="8838.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150"/>
        <w:gridCol w:w="1439"/>
        <w:gridCol w:w="2655"/>
        <w:gridCol w:w="3594"/>
        <w:tblGridChange w:id="0">
          <w:tblGrid>
            <w:gridCol w:w="1150"/>
            <w:gridCol w:w="1439"/>
            <w:gridCol w:w="2655"/>
            <w:gridCol w:w="3594"/>
          </w:tblGrid>
        </w:tblGridChange>
      </w:tblGrid>
      <w:tr>
        <w:trPr>
          <w:cantSplit w:val="0"/>
          <w:trHeight w:val="413" w:hRule="atLeast"/>
          <w:tblHeader w:val="0"/>
        </w:trPr>
        <w:tc>
          <w:tcPr>
            <w:gridSpan w:val="4"/>
          </w:tcPr>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rtl w:val="0"/>
              </w:rPr>
              <w:t xml:space="preserve">  Control de Cambios</w:t>
            </w:r>
          </w:p>
        </w:tc>
      </w:tr>
      <w:tr>
        <w:trPr>
          <w:cantSplit w:val="0"/>
          <w:trHeight w:val="850" w:hRule="atLeast"/>
          <w:tblHeader w:val="0"/>
        </w:trPr>
        <w:tc>
          <w:tcPr/>
          <w:p w:rsidR="00000000" w:rsidDel="00000000" w:rsidP="00000000" w:rsidRDefault="00000000" w:rsidRPr="00000000" w14:paraId="00000010">
            <w:pPr>
              <w:jc w:val="center"/>
              <w:rPr>
                <w:rFonts w:ascii="Arial" w:cs="Arial" w:eastAsia="Arial" w:hAnsi="Arial"/>
              </w:rPr>
            </w:pPr>
            <w:r w:rsidDel="00000000" w:rsidR="00000000" w:rsidRPr="00000000">
              <w:rPr>
                <w:rFonts w:ascii="Arial" w:cs="Arial" w:eastAsia="Arial" w:hAnsi="Arial"/>
                <w:rtl w:val="0"/>
              </w:rPr>
              <w:t xml:space="preserve">Versión N°</w:t>
            </w:r>
          </w:p>
        </w:tc>
        <w:tc>
          <w:tcPr/>
          <w:p w:rsidR="00000000" w:rsidDel="00000000" w:rsidP="00000000" w:rsidRDefault="00000000" w:rsidRPr="00000000" w14:paraId="00000011">
            <w:pPr>
              <w:jc w:val="center"/>
              <w:rPr>
                <w:rFonts w:ascii="Arial" w:cs="Arial" w:eastAsia="Arial" w:hAnsi="Arial"/>
              </w:rPr>
            </w:pPr>
            <w:r w:rsidDel="00000000" w:rsidR="00000000" w:rsidRPr="00000000">
              <w:rPr>
                <w:rFonts w:ascii="Arial" w:cs="Arial" w:eastAsia="Arial" w:hAnsi="Arial"/>
                <w:rtl w:val="0"/>
              </w:rPr>
              <w:t xml:space="preserve">Fecha de modificación</w:t>
            </w:r>
          </w:p>
        </w:tc>
        <w:tc>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Aprobó</w:t>
            </w:r>
          </w:p>
        </w:tc>
        <w:tc>
          <w:tcPr/>
          <w:p w:rsidR="00000000" w:rsidDel="00000000" w:rsidP="00000000" w:rsidRDefault="00000000" w:rsidRPr="00000000" w14:paraId="00000013">
            <w:pPr>
              <w:jc w:val="center"/>
              <w:rPr>
                <w:rFonts w:ascii="Arial" w:cs="Arial" w:eastAsia="Arial" w:hAnsi="Arial"/>
              </w:rPr>
            </w:pPr>
            <w:r w:rsidDel="00000000" w:rsidR="00000000" w:rsidRPr="00000000">
              <w:rPr>
                <w:rFonts w:ascii="Arial" w:cs="Arial" w:eastAsia="Arial" w:hAnsi="Arial"/>
                <w:rtl w:val="0"/>
              </w:rPr>
              <w:t xml:space="preserve">Descripción del cambio</w:t>
            </w:r>
          </w:p>
        </w:tc>
      </w:tr>
      <w:tr>
        <w:trPr>
          <w:cantSplit w:val="0"/>
          <w:trHeight w:val="413" w:hRule="atLeast"/>
          <w:tblHeader w:val="0"/>
        </w:trPr>
        <w:tc>
          <w:tcPr/>
          <w:p w:rsidR="00000000" w:rsidDel="00000000" w:rsidP="00000000" w:rsidRDefault="00000000" w:rsidRPr="00000000" w14:paraId="00000014">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1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1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17">
            <w:pPr>
              <w:jc w:val="both"/>
              <w:rPr>
                <w:rFonts w:ascii="Arial" w:cs="Arial" w:eastAsia="Arial" w:hAnsi="Arial"/>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18">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19">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1A">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1B">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1C">
      <w:pPr>
        <w:ind w:left="720" w:hanging="360"/>
        <w:jc w:val="both"/>
        <w:rPr/>
      </w:pPr>
      <w:r w:rsidDel="00000000" w:rsidR="00000000" w:rsidRPr="00000000">
        <w:rPr>
          <w:rtl w:val="0"/>
        </w:rPr>
      </w:r>
    </w:p>
    <w:p w:rsidR="00000000" w:rsidDel="00000000" w:rsidP="00000000" w:rsidRDefault="00000000" w:rsidRPr="00000000" w14:paraId="0000001D">
      <w:pPr>
        <w:ind w:left="720" w:hanging="360"/>
        <w:jc w:val="both"/>
        <w:rPr/>
      </w:pPr>
      <w:r w:rsidDel="00000000" w:rsidR="00000000" w:rsidRPr="00000000">
        <w:rPr>
          <w:rtl w:val="0"/>
        </w:rPr>
      </w:r>
    </w:p>
    <w:p w:rsidR="00000000" w:rsidDel="00000000" w:rsidP="00000000" w:rsidRDefault="00000000" w:rsidRPr="00000000" w14:paraId="0000001E">
      <w:pPr>
        <w:ind w:left="720" w:hanging="360"/>
        <w:jc w:val="both"/>
        <w:rPr/>
      </w:pPr>
      <w:r w:rsidDel="00000000" w:rsidR="00000000" w:rsidRPr="00000000">
        <w:rPr>
          <w:rtl w:val="0"/>
        </w:rPr>
      </w:r>
    </w:p>
    <w:p w:rsidR="00000000" w:rsidDel="00000000" w:rsidP="00000000" w:rsidRDefault="00000000" w:rsidRPr="00000000" w14:paraId="0000001F">
      <w:pPr>
        <w:ind w:left="720" w:hanging="360"/>
        <w:jc w:val="both"/>
        <w:rPr/>
      </w:pPr>
      <w:r w:rsidDel="00000000" w:rsidR="00000000" w:rsidRPr="00000000">
        <w:rPr>
          <w:rtl w:val="0"/>
        </w:rPr>
      </w:r>
    </w:p>
    <w:p w:rsidR="00000000" w:rsidDel="00000000" w:rsidP="00000000" w:rsidRDefault="00000000" w:rsidRPr="00000000" w14:paraId="00000020">
      <w:pPr>
        <w:ind w:left="720" w:hanging="360"/>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w:t>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y fortalecer destrezas y competencias para lograr involucrar a los pacientes en el autocuidado de su seguridad.</w:t>
      </w:r>
    </w:p>
    <w:p w:rsidR="00000000" w:rsidDel="00000000" w:rsidP="00000000" w:rsidRDefault="00000000" w:rsidRPr="00000000" w14:paraId="00000025">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ALCANCE </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 al personal de salud de la IPS Endocrinology &amp; Health, los cuales estarán encargados de ilustrar al paciente en el autocuidado de su seguridad. </w:t>
      </w:r>
    </w:p>
    <w:p w:rsidR="00000000" w:rsidDel="00000000" w:rsidP="00000000" w:rsidRDefault="00000000" w:rsidRPr="00000000" w14:paraId="00000027">
      <w:pPr>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DEFINICIONES</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AUTONOMÍA: hacer que las personas vivan libres de una o varias situaciones que les haga perder su capacidad para desarrollar las actividades básicas de la vida diaria. </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APOYO SOCIAL: el apoyo social se materializa en el trabajo en las redes de apoyo social. Las redes sociales conforman el principal sistema de apoyo natural que tiene una persona. El apoyo social en el trabajo aumenta la realización personal en el trabajo, disminuye el agotamiento emocional y mejora las actitudes y conductas negativas del sujeto hacia los demás (Gil Monte &amp; Peiró, 1997 citado en Tonon, 2003). </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AUTOCUIDADO: se refiere a las prácticas cotidianas y a las decisiones sobre ellas que realiza una persona, familia o grupo para cuidar de su salud; estas prácticas son ‘destrezas’ aprendidas a través de toda la vida, de uso continuo, que se emplean por libre decisión, con el propósito de fortalecer o restablecer la salud y prevenir la enfermedad; ellas responden a la capacidad de supervivencia y a las prácticas habituales de la cultura a la que se pertenece.</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AUTOCONTROL: es la capacidad que tiene una persona para controlar sus decisiones. El control tiene un papel fundamental sobre las decisiones en torno al autocuidado, es así como el control interno está relacionado con las creencias que tiene la persona y la capacidad de influir en el medio y en el curso de la propia salud. </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RESILIENCIA: aquella “capacidad humana para hacer frente a las adversidades de la vida, superarlas y salir de ellas fortalecido o incluso transformado”. Permite focalizar los aspectos que protegen a las personas ante las adversidades y trabajar sobre sus recursos y fortalezas, promoviendo el desarrollo humano como posibilidad de aproximarse a sus condiciones de calidad de vida. La resiliencia es importante en el autocuidado porque facilita a las personas actuar de manera más ‘sana’ frente a los obstáculos a la calidad de vida.</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FALLAS LATENTES: son acciones u omisiones que se dan durante el proceso de atención en salud por miembros de los procesos de apoyo (personal administrativo)7</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EVENTO ADVERSO: es el resultado de una atención en salud que de manera no intencional produjo daño. Los eventos adversos pueden ser prevenibles y no prevenibles:</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-EVENTO ADVERSO PREVENIBLE: resultado no deseado, no intencional, que se habría evitado mediante el cumplimiento de los estándares del cuidado asistencial disponibles en un momento determinado.</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EVENTO ADVERSO NO PREVENIBLE: resultado no deseado, no intencional, que se presenta a pesar del cumplimiento de los estándares del cuidado asistencial.</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INCIDENTE: es un evento o circunstancia que sucede en la atención clínica de un paciente que no le genera daño, pero que en su ocurrencia se incorporan fallas en los procesos de atención.</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znysh7"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¿POR QUÉ ES IMPORTANTE TRABAJAR LA PROMOCIÓN DEL AUTOCUIDADO Y LA AUTONOMÍA DEL PACIENTE?</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importancia del autocuidado radica en ser una función inherente al ser humano e indispensable para la vida de todos los seres vivos. Resulta del crecimiento de la persona en el diario vivir, en cada experiencia como cuidador de sí mismo y de quienes hacen parte de su entorno. </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del proceso de atención en salud en las instituciones, se debe trabajar en los pacientes y su familia, en el fomento del autocuidado, en la responsabilidad sobre su salud para que participen en el proceso de atención intrainstitucional. La importancia de este proceso es que el paciente se asume como partícipe de la atención, con el fin de prevenir la ocurrencia de eventos adversos. Asimismo, la mayoría de estos eventos resultan de problemas creados por la complejidad del sistema de cuidado médico de hoy en día. Pero también ocurren errores cuando los pacientes y sus médicos tienen problemas de comunicación.</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cual es importante trabajar la promoción del autocuidado y la autonomía del paciente dentro por las siguientes razones:</w:t>
      </w:r>
    </w:p>
    <w:p w:rsidR="00000000" w:rsidDel="00000000" w:rsidP="00000000" w:rsidRDefault="00000000" w:rsidRPr="00000000" w14:paraId="0000003A">
      <w:pPr>
        <w:numPr>
          <w:ilvl w:val="0"/>
          <w:numId w:val="5"/>
        </w:numPr>
        <w:spacing w:after="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Mejora de la comunicación: Al fomentar el autocuidado y la autonomía del paciente, se fortalece la comunicación entre el profesional de la salud y el paciente. Esto permite una mejor comprensión de las necesidades, preocupaciones y expectativas del paciente. Cuando los pacientes se sienten escuchados y tienen la oportunidad de participar activamente en su atención, se establece una relación de confianza y colaboración.</w:t>
      </w:r>
      <w:r w:rsidDel="00000000" w:rsidR="00000000" w:rsidRPr="00000000">
        <w:rPr>
          <w:rtl w:val="0"/>
        </w:rPr>
      </w:r>
    </w:p>
    <w:p w:rsidR="00000000" w:rsidDel="00000000" w:rsidP="00000000" w:rsidRDefault="00000000" w:rsidRPr="00000000" w14:paraId="0000003B">
      <w:pPr>
        <w:numPr>
          <w:ilvl w:val="0"/>
          <w:numId w:val="1"/>
        </w:numPr>
        <w:spacing w:after="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Identificación de riesgos y prevención de errores: Al promover el autocuidado, se alienta a los pacientes a participar en la identificación de riesgos y la prevención de errores dentro del consultorio. Los pacientes pueden brindar información importante sobre alergias, medicamentos previos, problemas de salud y otros factores relevantes para su atención. Esto ayuda a minimizar los riesgos asociados con diagnósticos incorrectos, medicación inadecuada o procedimientos inapropiados.</w:t>
      </w:r>
      <w:r w:rsidDel="00000000" w:rsidR="00000000" w:rsidRPr="00000000">
        <w:rPr>
          <w:rtl w:val="0"/>
        </w:rPr>
      </w:r>
    </w:p>
    <w:p w:rsidR="00000000" w:rsidDel="00000000" w:rsidP="00000000" w:rsidRDefault="00000000" w:rsidRPr="00000000" w14:paraId="0000003C">
      <w:pPr>
        <w:numPr>
          <w:ilvl w:val="0"/>
          <w:numId w:val="2"/>
        </w:numPr>
        <w:spacing w:after="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Educación y capacitación: La promoción del autocuidado y la autonomía del paciente brinda una oportunidad para educar y capacitar a los pacientes. Los profesionales de la salud pueden proporcionar información relevante sobre la enfermedad, el tratamiento y las medidas preventivas. Esto permite a los pacientes comprender mejor su condición de salud y adquirir las habilidades necesarias para cuidarse de manera adecuada.</w:t>
      </w:r>
      <w:r w:rsidDel="00000000" w:rsidR="00000000" w:rsidRPr="00000000">
        <w:rPr>
          <w:rtl w:val="0"/>
        </w:rPr>
      </w:r>
    </w:p>
    <w:p w:rsidR="00000000" w:rsidDel="00000000" w:rsidP="00000000" w:rsidRDefault="00000000" w:rsidRPr="00000000" w14:paraId="0000003D">
      <w:pPr>
        <w:numPr>
          <w:ilvl w:val="0"/>
          <w:numId w:val="7"/>
        </w:numPr>
        <w:spacing w:after="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Adherencia al tratamiento: Trabajar en la promoción del autocuidado y la autonomía del paciente dentro del consultorio puede mejorar la adherencia al tratamiento. Al involucrar activamente a los pacientes en la toma de decisiones y proporcionarles las herramientas y el conocimiento necesarios, es más probable que sigan las recomendaciones médicas. Esto contribuye a una mejor gestión de la enfermedad y a resultados de salud más positivos.</w:t>
      </w:r>
      <w:r w:rsidDel="00000000" w:rsidR="00000000" w:rsidRPr="00000000">
        <w:rPr>
          <w:rtl w:val="0"/>
        </w:rPr>
      </w:r>
    </w:p>
    <w:p w:rsidR="00000000" w:rsidDel="00000000" w:rsidP="00000000" w:rsidRDefault="00000000" w:rsidRPr="00000000" w14:paraId="0000003E">
      <w:pPr>
        <w:numPr>
          <w:ilvl w:val="0"/>
          <w:numId w:val="6"/>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Empoderamiento del paciente: Promover el autocuidado y la autonomía del paciente en el consultorio permite empoderar a los pacientes para que sean responsables de su propia salud. Los pacientes se convierten en socios activos en su atención médica y toman medidas proactivas para mantener y mejorar su bienestar. Esto aumenta la confianza y la satisfacción del paciente, y contribuye a una mejor experiencia general de atención médica.</w:t>
      </w:r>
      <w:r w:rsidDel="00000000" w:rsidR="00000000" w:rsidRPr="00000000">
        <w:rPr>
          <w:rtl w:val="0"/>
        </w:rPr>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pocas palabras, la importancia de abordar el autocuidado se fundamenta en que los pacientes que no están involucrados ni informados completamente tienen menores probabilidades de tomar decisiones conscientes acerca de su tratamiento y las recomendaciones del personal asistencial, por lo tanto tienen menor probabilidad de hacer lo que deben para aprobar y alertar al personal asistencial en su diferentes tratamientos.</w:t>
      </w:r>
    </w:p>
    <w:p w:rsidR="00000000" w:rsidDel="00000000" w:rsidP="00000000" w:rsidRDefault="00000000" w:rsidRPr="00000000" w14:paraId="00000041">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2et92p0"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ACCIONES INSEGURAS MÁS COMUNES QUE PERJUDICAN EL INVOLUCRAMIENTO DEL PACIENTE EN SU AUTOCUIDADO</w:t>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Desestimar la información y recomendaciones que suministran los pacientes, sus familiares y/o cuidadores, considerándolos sobreprotectores.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Deficiente ilustración al paciente acerca del autocuidado de su seguridad, específicamente se le debe enseñar a interrogar sobre su situación, los pasos a seguir y las consecuencias de cada una de sus decisiones. </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Inadecuada verificación de la comprensión de las actividades de cuidado en casa al paciente y/o su cuidador.</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Limitado acceso a servicios de salud de buena calidad. </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Deficiente educación interinstitucional dirigida a promover un mejor autocuidado.</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Desinterés o evasión de responsabilidad del paciente en el autocuidado de su salud.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escasa promoción sostenida de estilos de vida saludables.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Comunicación no efectiva entre los pacientes y los equipos de salud que los atienden.</w:t>
      </w:r>
    </w:p>
    <w:p w:rsidR="00000000" w:rsidDel="00000000" w:rsidP="00000000" w:rsidRDefault="00000000" w:rsidRPr="00000000" w14:paraId="0000004B">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tyjcwt" w:id="4"/>
      <w:bookmarkEnd w:id="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PRÁCTICAS SEGURAS MÁS EFICACES PARA PROMOVER EL AUTOCUIDADO EN EL PACIENTE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Parafraseo para verificar el nivel de entendimiento por el paciente y/o cuidador.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Promover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técnicas de comunicación con el paciente y comunicación asertiva.</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apoyo mediante cuidadores informales.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atención por vía telefónica o “telecuidado” y el contacto con enfermos a través del teléfono puede dar una mayor continuidad al tratamiento y apoyar a los pacientes a adoptar y mantener un estilo de vida que contribuya a controlar su enfermedad.</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Enseñar a los pacientes a estar alertas para identificar síntomas e ir modificando gradualmente el comportamiento hacia un correcto autocuidado.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educación del paciente y el aprendizaje de técnicas de autocuidado son esenciales para mejorar el desenlace de los tratamientos y evitar hospitalizaciones innecesarias. </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entrevistas motivacionales son un estilo directo focalizado sobre el paciente para lograr cambios de comportamiento. </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programas educativos que enseñan habilidades prácticas de autocuidado son más eficaces que el suministro de información por sí sola. </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Manejar el impacto emocional de la enfermedad sobre el paciente.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dy6vkm" w:id="5"/>
      <w:bookmarkEnd w:id="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ACTIVIDADES DONDE SE ILUSTRA AL PACIENTE Y SUS ALLEGADOS EN EL AUTOCUIDADO DE SU SEGURIDAD. </w:t>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deben considerar los pacientes o sus allegados que en el pasado han sido objeto de la ocurrencia de un evento adverso y que se involucran de manera proactiva en los procesos de seguridad del paciente. </w:t>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deben realizar entre otras las siguientes acciones:</w:t>
      </w:r>
    </w:p>
    <w:p w:rsidR="00000000" w:rsidDel="00000000" w:rsidP="00000000" w:rsidRDefault="00000000" w:rsidRPr="00000000" w14:paraId="0000005A">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Ilustrar al paciente en el autocuidado de su seguridad, en particular se debe enseñar a interrogar sobre aspectos como:</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¿Cuál es mi problema principal? (¿Qué enfermedad tengo?) </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¿Qué debo hacer? (¿Qué tratamiento debo seguir?) </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¿Por qué es importante para mí hacer eso, qué beneficios y riesgos tiene?</w:t>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¿A quién acudir cuando hay sospecha de riesgos para la atención? </w:t>
      </w:r>
    </w:p>
    <w:p w:rsidR="00000000" w:rsidDel="00000000" w:rsidP="00000000" w:rsidRDefault="00000000" w:rsidRPr="00000000" w14:paraId="000000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Ilustrar sobre la importancia de la identificación y el llamado por su nombre. </w:t>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Ilustrar sobre la importancia del lavado de manos de los profesionales antes de ser atendido </w:t>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Ilustrar sobre la vigilancia y participación en el proceso de administración de medicamento </w:t>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Ilustrar sobre la importancia del consentimiento informado </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Ilustrar sobre lo que es un evento adverso y la comunicación que debe dar el profesional de salud en caso de ocurrencia del evento. </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2"/>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4500"/>
      <w:gridCol w:w="2145"/>
      <w:tblGridChange w:id="0">
        <w:tblGrid>
          <w:gridCol w:w="2505"/>
          <w:gridCol w:w="4500"/>
          <w:gridCol w:w="2145"/>
        </w:tblGrid>
      </w:tblGridChange>
    </w:tblGrid>
    <w:tr>
      <w:trPr>
        <w:cantSplit w:val="0"/>
        <w:trHeight w:val="1458" w:hRule="atLeast"/>
        <w:tblHeader w:val="0"/>
      </w:trPr>
      <w:tc>
        <w:tcPr>
          <w:shd w:fill="auto" w:val="clear"/>
        </w:tcPr>
        <w:p w:rsidR="00000000" w:rsidDel="00000000" w:rsidP="00000000" w:rsidRDefault="00000000" w:rsidRPr="00000000" w14:paraId="00000065">
          <w:pPr>
            <w:tabs>
              <w:tab w:val="right" w:leader="none" w:pos="9003"/>
            </w:tabs>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Pr>
            <w:drawing>
              <wp:inline distB="114300" distT="114300" distL="114300" distR="114300">
                <wp:extent cx="1285875" cy="4318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85875" cy="4318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PROTOCOLO</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ILUSTRAR A</w:t>
          </w:r>
          <w:r w:rsidDel="00000000" w:rsidR="00000000" w:rsidRPr="00000000">
            <w:rPr>
              <w:rFonts w:ascii="Arial" w:cs="Arial" w:eastAsia="Arial" w:hAnsi="Arial"/>
              <w:b w:val="1"/>
              <w:sz w:val="24"/>
              <w:szCs w:val="24"/>
              <w:rtl w:val="0"/>
            </w:rPr>
            <w:t xml:space="preserve">L</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PACIENTE EN EL AUTOCUIDADO DE SU SEGURIDAD </w:t>
          </w:r>
        </w:p>
      </w:tc>
      <w:tc>
        <w:tcPr>
          <w:shd w:fill="auto" w:val="clea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rPr>
          </w:pPr>
          <w:r w:rsidDel="00000000" w:rsidR="00000000" w:rsidRPr="00000000">
            <w:rPr>
              <w:b w:val="1"/>
              <w:rtl w:val="0"/>
            </w:rPr>
            <w:t xml:space="preserve">Código: </w:t>
          </w:r>
          <w:r w:rsidDel="00000000" w:rsidR="00000000" w:rsidRPr="00000000">
            <w:rPr>
              <w:rFonts w:ascii="Roboto" w:cs="Roboto" w:eastAsia="Roboto" w:hAnsi="Roboto"/>
              <w:b w:val="1"/>
              <w:color w:val="1f1f1f"/>
              <w:sz w:val="18"/>
              <w:szCs w:val="18"/>
              <w:highlight w:val="white"/>
              <w:rtl w:val="0"/>
            </w:rPr>
            <w:t xml:space="preserve">EH-D-032</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rPr>
          </w:pPr>
          <w:r w:rsidDel="00000000" w:rsidR="00000000" w:rsidRPr="00000000">
            <w:rPr>
              <w:b w:val="1"/>
              <w:rtl w:val="0"/>
            </w:rPr>
            <w:t xml:space="preserve">Versión: 1</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rPr>
          </w:pPr>
          <w:r w:rsidDel="00000000" w:rsidR="00000000" w:rsidRPr="00000000">
            <w:rPr>
              <w:b w:val="1"/>
              <w:rtl w:val="0"/>
            </w:rPr>
            <w:t xml:space="preserve">Emisión: ago 2023</w:t>
          </w:r>
        </w:p>
      </w:tc>
    </w:tr>
  </w:tbl>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C47182"/>
    <w:pPr>
      <w:keepNext w:val="1"/>
      <w:keepLines w:val="1"/>
      <w:spacing w:after="0" w:before="240"/>
      <w:outlineLvl w:val="0"/>
    </w:pPr>
    <w:rPr>
      <w:rFonts w:ascii="Arial" w:hAnsi="Arial" w:cstheme="majorBidi" w:eastAsiaTheme="majorEastAsia"/>
      <w:b w:val="1"/>
      <w:sz w:val="24"/>
      <w:szCs w:val="32"/>
    </w:rPr>
  </w:style>
  <w:style w:type="paragraph" w:styleId="Ttulo2">
    <w:name w:val="heading 2"/>
    <w:basedOn w:val="Normal"/>
    <w:next w:val="Normal"/>
    <w:link w:val="Ttulo2Car"/>
    <w:uiPriority w:val="9"/>
    <w:unhideWhenUsed w:val="1"/>
    <w:qFormat w:val="1"/>
    <w:rsid w:val="0075372B"/>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6200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6200F"/>
  </w:style>
  <w:style w:type="paragraph" w:styleId="Piedepgina">
    <w:name w:val="footer"/>
    <w:basedOn w:val="Normal"/>
    <w:link w:val="PiedepginaCar"/>
    <w:uiPriority w:val="99"/>
    <w:unhideWhenUsed w:val="1"/>
    <w:rsid w:val="0036200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6200F"/>
  </w:style>
  <w:style w:type="paragraph" w:styleId="Prrafodelista">
    <w:name w:val="List Paragraph"/>
    <w:basedOn w:val="Normal"/>
    <w:uiPriority w:val="34"/>
    <w:qFormat w:val="1"/>
    <w:rsid w:val="002A76EF"/>
    <w:pPr>
      <w:ind w:left="720"/>
      <w:contextualSpacing w:val="1"/>
    </w:pPr>
  </w:style>
  <w:style w:type="character" w:styleId="Ttulo1Car" w:customStyle="1">
    <w:name w:val="Título 1 Car"/>
    <w:basedOn w:val="Fuentedeprrafopredeter"/>
    <w:link w:val="Ttulo1"/>
    <w:uiPriority w:val="9"/>
    <w:rsid w:val="00C47182"/>
    <w:rPr>
      <w:rFonts w:ascii="Arial" w:hAnsi="Arial" w:cstheme="majorBidi" w:eastAsiaTheme="majorEastAsia"/>
      <w:b w:val="1"/>
      <w:sz w:val="24"/>
      <w:szCs w:val="32"/>
    </w:rPr>
  </w:style>
  <w:style w:type="character" w:styleId="Ttulo2Car" w:customStyle="1">
    <w:name w:val="Título 2 Car"/>
    <w:basedOn w:val="Fuentedeprrafopredeter"/>
    <w:link w:val="Ttulo2"/>
    <w:uiPriority w:val="9"/>
    <w:rsid w:val="0075372B"/>
    <w:rPr>
      <w:rFonts w:asciiTheme="majorHAnsi" w:cstheme="majorBidi" w:eastAsiaTheme="majorEastAsia" w:hAnsiTheme="majorHAnsi"/>
      <w:color w:val="2f5496" w:themeColor="accent1" w:themeShade="0000BF"/>
      <w:sz w:val="26"/>
      <w:szCs w:val="26"/>
    </w:rPr>
  </w:style>
  <w:style w:type="paragraph" w:styleId="Default" w:customStyle="1">
    <w:name w:val="Default"/>
    <w:rsid w:val="00FC6F7B"/>
    <w:pPr>
      <w:autoSpaceDE w:val="0"/>
      <w:autoSpaceDN w:val="0"/>
      <w:adjustRightInd w:val="0"/>
      <w:spacing w:after="0" w:line="240" w:lineRule="auto"/>
    </w:pPr>
    <w:rPr>
      <w:rFonts w:ascii="Arial" w:cs="Arial" w:hAnsi="Arial"/>
      <w:color w:val="000000"/>
      <w:sz w:val="24"/>
      <w:szCs w:val="24"/>
    </w:rPr>
  </w:style>
  <w:style w:type="paragraph" w:styleId="TtuloTDC">
    <w:name w:val="TOC Heading"/>
    <w:basedOn w:val="Ttulo1"/>
    <w:next w:val="Normal"/>
    <w:uiPriority w:val="39"/>
    <w:unhideWhenUsed w:val="1"/>
    <w:qFormat w:val="1"/>
    <w:rsid w:val="00056BBF"/>
    <w:pPr>
      <w:outlineLvl w:val="9"/>
    </w:pPr>
    <w:rPr>
      <w:rFonts w:asciiTheme="majorHAnsi" w:hAnsiTheme="majorHAnsi"/>
      <w:b w:val="0"/>
      <w:color w:val="2f5496" w:themeColor="accent1" w:themeShade="0000BF"/>
      <w:sz w:val="32"/>
      <w:lang w:eastAsia="es-CO"/>
    </w:rPr>
  </w:style>
  <w:style w:type="paragraph" w:styleId="TDC1">
    <w:name w:val="toc 1"/>
    <w:basedOn w:val="Normal"/>
    <w:next w:val="Normal"/>
    <w:autoRedefine w:val="1"/>
    <w:uiPriority w:val="39"/>
    <w:unhideWhenUsed w:val="1"/>
    <w:rsid w:val="00056BBF"/>
    <w:pPr>
      <w:spacing w:after="100"/>
    </w:pPr>
  </w:style>
  <w:style w:type="character" w:styleId="Hipervnculo">
    <w:name w:val="Hyperlink"/>
    <w:basedOn w:val="Fuentedeprrafopredeter"/>
    <w:uiPriority w:val="99"/>
    <w:unhideWhenUsed w:val="1"/>
    <w:rsid w:val="00056BBF"/>
    <w:rPr>
      <w:color w:val="0563c1" w:themeColor="hyperlink"/>
      <w:u w:val="single"/>
    </w:rPr>
  </w:style>
  <w:style w:type="table" w:styleId="Tablaconcuadrcula5oscura-nfasis2">
    <w:name w:val="Grid Table 5 Dark Accent 2"/>
    <w:basedOn w:val="Tablanormal"/>
    <w:uiPriority w:val="50"/>
    <w:rsid w:val="00DB6534"/>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d7d31"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d7d31"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d7d31"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d7d31" w:themeFill="accent2" w:val="clear"/>
      </w:tcPr>
    </w:tblStylePr>
    <w:tblStylePr w:type="band1Vert">
      <w:tblPr/>
      <w:tcPr>
        <w:shd w:color="auto" w:fill="f7caac" w:themeFill="accent2" w:themeFillTint="000066" w:val="clear"/>
      </w:tcPr>
    </w:tblStylePr>
    <w:tblStylePr w:type="band1Horz">
      <w:tblPr/>
      <w:tcPr>
        <w:shd w:color="auto" w:fill="f7caac" w:themeFill="accent2" w:themeFillTint="000066" w:val="clear"/>
      </w:tcPr>
    </w:tblStylePr>
  </w:style>
  <w:style w:type="table" w:styleId="Tablaconcuadrcula3-nfasis6">
    <w:name w:val="Grid Table 3 Accent 6"/>
    <w:basedOn w:val="Tablanormal"/>
    <w:uiPriority w:val="48"/>
    <w:rsid w:val="001D1902"/>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bottom w:color="a8d08d" w:space="0" w:sz="4" w:themeColor="accent6" w:themeTint="000099" w:val="single"/>
        </w:tcBorders>
      </w:tcPr>
    </w:tblStylePr>
    <w:tblStylePr w:type="nwCell">
      <w:tblPr/>
      <w:tcPr>
        <w:tcBorders>
          <w:bottom w:color="a8d08d" w:space="0" w:sz="4" w:themeColor="accent6" w:themeTint="000099" w:val="single"/>
        </w:tcBorders>
      </w:tcPr>
    </w:tblStylePr>
    <w:tblStylePr w:type="seCell">
      <w:tblPr/>
      <w:tcPr>
        <w:tcBorders>
          <w:top w:color="a8d08d" w:space="0" w:sz="4" w:themeColor="accent6" w:themeTint="000099" w:val="single"/>
        </w:tcBorders>
      </w:tcPr>
    </w:tblStylePr>
    <w:tblStylePr w:type="swCell">
      <w:tblPr/>
      <w:tcPr>
        <w:tcBorders>
          <w:top w:color="a8d08d" w:space="0" w:sz="4" w:themeColor="accent6" w:themeTint="000099" w:val="single"/>
        </w:tcBorders>
      </w:tcPr>
    </w:tblStylePr>
  </w:style>
  <w:style w:type="table" w:styleId="Tablaconcuadrcula3-nfasis5">
    <w:name w:val="Grid Table 3 Accent 5"/>
    <w:basedOn w:val="Tablanormal"/>
    <w:uiPriority w:val="48"/>
    <w:rsid w:val="001D1902"/>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tblStylePr w:type="band1Horz">
      <w:tcPr>
        <w:shd w:fill="deebf6" w:val="clear"/>
      </w:tcPr>
    </w:tblStylePr>
    <w:tblStylePr w:type="band1Vert">
      <w:tcPr>
        <w:shd w:fill="deebf6"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be5d5"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9SZOjhCB3GJ7HGnJ0eHELDWyow==">CgMxLjAyCGguZ2pkZ3hzMgloLjMwajB6bGwyCWguM3pueXNoNzIJaC4yZXQ5MnAwMghoLnR5amN3dDIJaC4zZHk2dmttOAByITFuTlRodUt3UG5INWN4dmd4VjFtQWR1UTEzUEVuRThoVg==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2022-07-21T14:40:00Z</dcterms:created>
  <dc:creator>Angela Maria</dc:creator>
</cp:coreProperties>
</file>