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259" w:lineRule="auto"/>
        <w:jc w:val="both"/>
        <w:rPr>
          <w:color w:val="2f5496"/>
          <w:sz w:val="32"/>
          <w:szCs w:val="32"/>
        </w:rPr>
      </w:pPr>
      <w:r w:rsidDel="00000000" w:rsidR="00000000" w:rsidRPr="00000000">
        <w:rPr>
          <w:color w:val="2f5496"/>
          <w:sz w:val="32"/>
          <w:szCs w:val="32"/>
          <w:rtl w:val="0"/>
        </w:rPr>
        <w:t xml:space="preserve">Contenido</w:t>
      </w:r>
    </w:p>
    <w:sdt>
      <w:sdtPr>
        <w:docPartObj>
          <w:docPartGallery w:val="Table of Contents"/>
          <w:docPartUnique w:val="1"/>
        </w:docPartObj>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color w:val="000000"/>
                <w:rtl w:val="0"/>
              </w:rPr>
              <w:t xml:space="preserve">1.</w:t>
            </w:r>
          </w:hyperlink>
          <w:hyperlink w:anchor="_heading=h.30j0zll">
            <w:r w:rsidDel="00000000" w:rsidR="00000000" w:rsidRPr="00000000">
              <w:rPr>
                <w:color w:val="000000"/>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1"/>
              <w:color w:val="000000"/>
              <w:rtl w:val="0"/>
            </w:rPr>
            <w:t xml:space="preserve">INTRODUCCIÓN</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color w:val="000000"/>
              <w:rtl w:val="0"/>
            </w:rPr>
            <w:tab/>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r w:rsidDel="00000000" w:rsidR="00000000" w:rsidRPr="00000000">
            <w:fldChar w:fldCharType="end"/>
          </w:r>
          <w:hyperlink w:anchor="_heading=h.1fob9te">
            <w:r w:rsidDel="00000000" w:rsidR="00000000" w:rsidRPr="00000000">
              <w:rPr>
                <w:rFonts w:ascii="Arial" w:cs="Arial" w:eastAsia="Arial" w:hAnsi="Arial"/>
                <w:b w:val="1"/>
                <w:color w:val="000000"/>
                <w:rtl w:val="0"/>
              </w:rPr>
              <w:t xml:space="preserve">1.</w:t>
            </w:r>
          </w:hyperlink>
          <w:hyperlink w:anchor="_heading=h.1fob9te">
            <w:r w:rsidDel="00000000" w:rsidR="00000000" w:rsidRPr="00000000">
              <w:rPr>
                <w:color w:val="000000"/>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1"/>
              <w:color w:val="000000"/>
              <w:rtl w:val="0"/>
            </w:rPr>
            <w:t xml:space="preserve">OBJETIVO GENERAL</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color w:val="000000"/>
              <w:rtl w:val="0"/>
            </w:rPr>
            <w:tab/>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r w:rsidDel="00000000" w:rsidR="00000000" w:rsidRPr="00000000">
            <w:fldChar w:fldCharType="end"/>
          </w:r>
          <w:hyperlink w:anchor="_heading=h.3znysh7">
            <w:r w:rsidDel="00000000" w:rsidR="00000000" w:rsidRPr="00000000">
              <w:rPr>
                <w:rFonts w:ascii="Arial" w:cs="Arial" w:eastAsia="Arial" w:hAnsi="Arial"/>
                <w:b w:val="1"/>
                <w:color w:val="000000"/>
                <w:rtl w:val="0"/>
              </w:rPr>
              <w:t xml:space="preserve">2.</w:t>
            </w:r>
          </w:hyperlink>
          <w:hyperlink w:anchor="_heading=h.3znysh7">
            <w:r w:rsidDel="00000000" w:rsidR="00000000" w:rsidRPr="00000000">
              <w:rPr>
                <w:color w:val="000000"/>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color w:val="000000"/>
              <w:rtl w:val="0"/>
            </w:rPr>
            <w:t xml:space="preserve">ALCANCE</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color w:val="000000"/>
              <w:rtl w:val="0"/>
            </w:rPr>
            <w:tab/>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r w:rsidDel="00000000" w:rsidR="00000000" w:rsidRPr="00000000">
            <w:fldChar w:fldCharType="end"/>
          </w:r>
          <w:hyperlink w:anchor="_heading=h.2et92p0">
            <w:r w:rsidDel="00000000" w:rsidR="00000000" w:rsidRPr="00000000">
              <w:rPr>
                <w:rFonts w:ascii="Arial" w:cs="Arial" w:eastAsia="Arial" w:hAnsi="Arial"/>
                <w:b w:val="1"/>
                <w:color w:val="000000"/>
                <w:rtl w:val="0"/>
              </w:rPr>
              <w:t xml:space="preserve">3.</w:t>
            </w:r>
          </w:hyperlink>
          <w:hyperlink w:anchor="_heading=h.2et92p0">
            <w:r w:rsidDel="00000000" w:rsidR="00000000" w:rsidRPr="00000000">
              <w:rPr>
                <w:color w:val="000000"/>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color w:val="000000"/>
              <w:rtl w:val="0"/>
            </w:rPr>
            <w:t xml:space="preserve">DEFINICIONES</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color w:val="000000"/>
              <w:rtl w:val="0"/>
            </w:rPr>
            <w:tab/>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r w:rsidDel="00000000" w:rsidR="00000000" w:rsidRPr="00000000">
            <w:fldChar w:fldCharType="end"/>
          </w:r>
          <w:hyperlink w:anchor="_heading=h.tyjcwt">
            <w:r w:rsidDel="00000000" w:rsidR="00000000" w:rsidRPr="00000000">
              <w:rPr>
                <w:rFonts w:ascii="Arial" w:cs="Arial" w:eastAsia="Arial" w:hAnsi="Arial"/>
                <w:b w:val="1"/>
                <w:color w:val="000000"/>
                <w:rtl w:val="0"/>
              </w:rPr>
              <w:t xml:space="preserve">4.</w:t>
            </w:r>
          </w:hyperlink>
          <w:hyperlink w:anchor="_heading=h.tyjcwt">
            <w:r w:rsidDel="00000000" w:rsidR="00000000" w:rsidRPr="00000000">
              <w:rPr>
                <w:color w:val="000000"/>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1"/>
              <w:color w:val="000000"/>
              <w:rtl w:val="0"/>
            </w:rPr>
            <w:t xml:space="preserve">ACCIONES INSEGURAS</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r w:rsidDel="00000000" w:rsidR="00000000" w:rsidRPr="00000000">
            <w:fldChar w:fldCharType="end"/>
          </w:r>
          <w:hyperlink w:anchor="_heading=h.3dy6vkm">
            <w:r w:rsidDel="00000000" w:rsidR="00000000" w:rsidRPr="00000000">
              <w:rPr>
                <w:rFonts w:ascii="Arial" w:cs="Arial" w:eastAsia="Arial" w:hAnsi="Arial"/>
                <w:b w:val="1"/>
                <w:color w:val="000000"/>
                <w:rtl w:val="0"/>
              </w:rPr>
              <w:t xml:space="preserve">6.</w:t>
            </w:r>
          </w:hyperlink>
          <w:hyperlink w:anchor="_heading=h.3dy6vkm">
            <w:r w:rsidDel="00000000" w:rsidR="00000000" w:rsidRPr="00000000">
              <w:rPr>
                <w:color w:val="000000"/>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1"/>
              <w:color w:val="000000"/>
              <w:rtl w:val="0"/>
            </w:rPr>
            <w:t xml:space="preserve">RESPONSABILIDAD Y AUTORIDAD</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09">
          <w:pPr>
            <w:jc w:val="both"/>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spacing w:after="0" w:line="360" w:lineRule="auto"/>
        <w:jc w:val="both"/>
        <w:rPr>
          <w:rFonts w:ascii="Arial" w:cs="Arial" w:eastAsia="Arial" w:hAnsi="Arial"/>
          <w:b w:val="1"/>
          <w:sz w:val="24"/>
          <w:szCs w:val="24"/>
        </w:rPr>
      </w:pPr>
      <w:r w:rsidDel="00000000" w:rsidR="00000000" w:rsidRPr="00000000">
        <w:rPr>
          <w:rtl w:val="0"/>
        </w:rPr>
      </w:r>
    </w:p>
    <w:tbl>
      <w:tblPr>
        <w:tblStyle w:val="Table1"/>
        <w:tblW w:w="8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148"/>
        <w:gridCol w:w="1439"/>
        <w:gridCol w:w="2651"/>
        <w:gridCol w:w="3590"/>
        <w:tblGridChange w:id="0">
          <w:tblGrid>
            <w:gridCol w:w="1148"/>
            <w:gridCol w:w="1439"/>
            <w:gridCol w:w="2651"/>
            <w:gridCol w:w="3590"/>
          </w:tblGrid>
        </w:tblGridChange>
      </w:tblGrid>
      <w:tr>
        <w:trPr>
          <w:cantSplit w:val="0"/>
          <w:trHeight w:val="413" w:hRule="atLeast"/>
          <w:tblHeader w:val="0"/>
        </w:trPr>
        <w:tc>
          <w:tcPr>
            <w:gridSpan w:val="4"/>
          </w:tcPr>
          <w:p w:rsidR="00000000" w:rsidDel="00000000" w:rsidP="00000000" w:rsidRDefault="00000000" w:rsidRPr="00000000" w14:paraId="0000000B">
            <w:pPr>
              <w:jc w:val="center"/>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  Control de Cambios</w:t>
            </w:r>
          </w:p>
        </w:tc>
      </w:tr>
      <w:tr>
        <w:trPr>
          <w:cantSplit w:val="0"/>
          <w:trHeight w:val="850" w:hRule="atLeast"/>
          <w:tblHeader w:val="0"/>
        </w:trPr>
        <w:tc>
          <w:tcPr/>
          <w:p w:rsidR="00000000" w:rsidDel="00000000" w:rsidP="00000000" w:rsidRDefault="00000000" w:rsidRPr="00000000" w14:paraId="0000000F">
            <w:pPr>
              <w:jc w:val="center"/>
              <w:rPr>
                <w:rFonts w:ascii="Arial" w:cs="Arial" w:eastAsia="Arial" w:hAnsi="Arial"/>
              </w:rPr>
            </w:pPr>
            <w:r w:rsidDel="00000000" w:rsidR="00000000" w:rsidRPr="00000000">
              <w:rPr>
                <w:rFonts w:ascii="Arial" w:cs="Arial" w:eastAsia="Arial" w:hAnsi="Arial"/>
                <w:rtl w:val="0"/>
              </w:rPr>
              <w:t xml:space="preserve">Versión N°</w:t>
            </w:r>
          </w:p>
        </w:tc>
        <w:tc>
          <w:tcPr/>
          <w:p w:rsidR="00000000" w:rsidDel="00000000" w:rsidP="00000000" w:rsidRDefault="00000000" w:rsidRPr="00000000" w14:paraId="00000010">
            <w:pPr>
              <w:jc w:val="center"/>
              <w:rPr>
                <w:rFonts w:ascii="Arial" w:cs="Arial" w:eastAsia="Arial" w:hAnsi="Arial"/>
              </w:rPr>
            </w:pPr>
            <w:r w:rsidDel="00000000" w:rsidR="00000000" w:rsidRPr="00000000">
              <w:rPr>
                <w:rFonts w:ascii="Arial" w:cs="Arial" w:eastAsia="Arial" w:hAnsi="Arial"/>
                <w:rtl w:val="0"/>
              </w:rPr>
              <w:t xml:space="preserve">Fecha de modificación</w:t>
            </w:r>
          </w:p>
        </w:tc>
        <w:tc>
          <w:tcPr/>
          <w:p w:rsidR="00000000" w:rsidDel="00000000" w:rsidP="00000000" w:rsidRDefault="00000000" w:rsidRPr="00000000" w14:paraId="00000011">
            <w:pPr>
              <w:jc w:val="center"/>
              <w:rPr>
                <w:rFonts w:ascii="Arial" w:cs="Arial" w:eastAsia="Arial" w:hAnsi="Arial"/>
              </w:rPr>
            </w:pPr>
            <w:r w:rsidDel="00000000" w:rsidR="00000000" w:rsidRPr="00000000">
              <w:rPr>
                <w:rFonts w:ascii="Arial" w:cs="Arial" w:eastAsia="Arial" w:hAnsi="Arial"/>
                <w:rtl w:val="0"/>
              </w:rPr>
              <w:t xml:space="preserve">Aprobó</w:t>
            </w:r>
          </w:p>
        </w:tc>
        <w:tc>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Descripción del cambio</w:t>
            </w:r>
          </w:p>
        </w:tc>
      </w:tr>
      <w:tr>
        <w:trPr>
          <w:cantSplit w:val="0"/>
          <w:trHeight w:val="413" w:hRule="atLeast"/>
          <w:tblHeader w:val="0"/>
        </w:trPr>
        <w:tc>
          <w:tcPr/>
          <w:p w:rsidR="00000000" w:rsidDel="00000000" w:rsidP="00000000" w:rsidRDefault="00000000" w:rsidRPr="00000000" w14:paraId="00000013">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1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1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16">
            <w:pPr>
              <w:jc w:val="both"/>
              <w:rPr>
                <w:rFonts w:ascii="Arial" w:cs="Arial" w:eastAsia="Arial" w:hAnsi="Arial"/>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17">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18">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19">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1A">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1B">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pStyle w:val="Heading1"/>
        <w:numPr>
          <w:ilvl w:val="0"/>
          <w:numId w:val="3"/>
        </w:numPr>
        <w:ind w:left="720" w:hanging="360"/>
        <w:jc w:val="both"/>
        <w:rPr>
          <w:rFonts w:ascii="Arial" w:cs="Arial" w:eastAsia="Arial" w:hAnsi="Arial"/>
          <w:b w:val="1"/>
          <w:color w:val="000000"/>
          <w:sz w:val="24"/>
          <w:szCs w:val="24"/>
        </w:rPr>
      </w:pPr>
      <w:bookmarkStart w:colFirst="0" w:colLast="0" w:name="_heading=h.30j0zll" w:id="1"/>
      <w:bookmarkEnd w:id="1"/>
      <w:r w:rsidDel="00000000" w:rsidR="00000000" w:rsidRPr="00000000">
        <w:rPr>
          <w:rFonts w:ascii="Arial" w:cs="Arial" w:eastAsia="Arial" w:hAnsi="Arial"/>
          <w:b w:val="1"/>
          <w:color w:val="000000"/>
          <w:sz w:val="24"/>
          <w:szCs w:val="24"/>
          <w:rtl w:val="0"/>
        </w:rPr>
        <w:t xml:space="preserve">INTRODUCCIÓN</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caídas son la segunda causa mundial de muerte por lesiones accidentales o no intencionales, la Organización Mundial de la Salud (OMS) define la caída como: “La consecuencia de cualquier acontecimiento que precipite al individuo hacia el suelo contra su voluntad” Las revisiones bibliográficas más recientes realizadas en hospitales confirman una alta incidencia de caídas en la población anciana que se mantiene a lo largo de los años, aunque se ha constatado que la incidencia de caídas prácticamente se duplica frente al sistema de notificación que realiza el personal de la salud. Las caídas se encuentran dentro de los eventos adversos de la atención en salud, ya que se trata de un daño, lesión o complicación que acontece durante el proceso de atención en salud y que no está directamente producido por la enfermedad que ha motivado el ingreso. La estancia hospitalaria supone siempre un riesgo añadido al proceso de atención poniendo en peligro la seguridad de los pacientes. La mayoría de estas caídas no tienen consecuencias o éstas son leves, pero también pueden tener consecuencias importantes como fracturas. Se estima que cerca de un 5% de las caídas causan lesiones graves, cuyas consecuencias son:</w:t>
      </w:r>
    </w:p>
    <w:p w:rsidR="00000000" w:rsidDel="00000000" w:rsidP="00000000" w:rsidRDefault="00000000" w:rsidRPr="00000000" w14:paraId="0000002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-Discapacidad temporal o permanente </w:t>
      </w:r>
    </w:p>
    <w:p w:rsidR="00000000" w:rsidDel="00000000" w:rsidP="00000000" w:rsidRDefault="00000000" w:rsidRPr="00000000" w14:paraId="0000002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-Aumento de estancias hospitalarias </w:t>
      </w:r>
    </w:p>
    <w:p w:rsidR="00000000" w:rsidDel="00000000" w:rsidP="00000000" w:rsidRDefault="00000000" w:rsidRPr="00000000" w14:paraId="0000002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-Complicación del pronóstico, acciones diagnósticas y tratamientos adecuados </w:t>
      </w:r>
    </w:p>
    <w:p w:rsidR="00000000" w:rsidDel="00000000" w:rsidP="00000000" w:rsidRDefault="00000000" w:rsidRPr="00000000" w14:paraId="0000002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-Psicosociales (Síndrome post caídas).</w:t>
      </w:r>
    </w:p>
    <w:p w:rsidR="00000000" w:rsidDel="00000000" w:rsidP="00000000" w:rsidRDefault="00000000" w:rsidRPr="00000000" w14:paraId="0000002D">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pStyle w:val="Heading1"/>
        <w:numPr>
          <w:ilvl w:val="0"/>
          <w:numId w:val="2"/>
        </w:numPr>
        <w:spacing w:line="360" w:lineRule="auto"/>
        <w:ind w:left="720" w:hanging="360"/>
        <w:jc w:val="both"/>
        <w:rPr>
          <w:rFonts w:ascii="Arial" w:cs="Arial" w:eastAsia="Arial" w:hAnsi="Arial"/>
          <w:b w:val="1"/>
          <w:color w:val="000000"/>
          <w:sz w:val="24"/>
          <w:szCs w:val="24"/>
        </w:rPr>
      </w:pPr>
      <w:bookmarkStart w:colFirst="0" w:colLast="0" w:name="_heading=h.1fob9te" w:id="2"/>
      <w:bookmarkEnd w:id="2"/>
      <w:r w:rsidDel="00000000" w:rsidR="00000000" w:rsidRPr="00000000">
        <w:rPr>
          <w:rFonts w:ascii="Arial" w:cs="Arial" w:eastAsia="Arial" w:hAnsi="Arial"/>
          <w:b w:val="1"/>
          <w:color w:val="000000"/>
          <w:sz w:val="24"/>
          <w:szCs w:val="24"/>
          <w:rtl w:val="0"/>
        </w:rPr>
        <w:t xml:space="preserve">OBJETIVO GENERAL</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Fortalecer destrezas, competencias y desarrollar habilidades en todos los integrantes del equipo de salud, los pacientes y sus cuidadores para prevenir y reducir la frecuencia de caídas en la IPS Endocrinology &amp; Health.</w:t>
      </w:r>
    </w:p>
    <w:p w:rsidR="00000000" w:rsidDel="00000000" w:rsidP="00000000" w:rsidRDefault="00000000" w:rsidRPr="00000000" w14:paraId="0000003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Objetivos Específicos </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Identificar los errores o fallas más comunes que pueden ocasionar caídas durante la atención. </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Implementar buenas prácticas (políticas, administrativas y asistenciales), que favorezcan la creación de una cultura institucional que vele por la prevención de la aparición de caídas durante el proceso de atención.</w:t>
      </w:r>
      <w:r w:rsidDel="00000000" w:rsidR="00000000" w:rsidRPr="00000000">
        <w:rPr>
          <w:rtl w:val="0"/>
        </w:rPr>
      </w:r>
    </w:p>
    <w:p w:rsidR="00000000" w:rsidDel="00000000" w:rsidP="00000000" w:rsidRDefault="00000000" w:rsidRPr="00000000" w14:paraId="00000037">
      <w:pPr>
        <w:pStyle w:val="Heading1"/>
        <w:numPr>
          <w:ilvl w:val="0"/>
          <w:numId w:val="2"/>
        </w:numPr>
        <w:spacing w:line="360" w:lineRule="auto"/>
        <w:ind w:left="720" w:hanging="360"/>
        <w:jc w:val="both"/>
        <w:rPr>
          <w:rFonts w:ascii="Arial" w:cs="Arial" w:eastAsia="Arial" w:hAnsi="Arial"/>
          <w:b w:val="1"/>
          <w:color w:val="000000"/>
          <w:sz w:val="24"/>
          <w:szCs w:val="24"/>
        </w:rPr>
      </w:pPr>
      <w:bookmarkStart w:colFirst="0" w:colLast="0" w:name="_heading=h.3znysh7" w:id="3"/>
      <w:bookmarkEnd w:id="3"/>
      <w:r w:rsidDel="00000000" w:rsidR="00000000" w:rsidRPr="00000000">
        <w:rPr>
          <w:rFonts w:ascii="Arial" w:cs="Arial" w:eastAsia="Arial" w:hAnsi="Arial"/>
          <w:b w:val="1"/>
          <w:color w:val="000000"/>
          <w:sz w:val="24"/>
          <w:szCs w:val="24"/>
          <w:rtl w:val="0"/>
        </w:rPr>
        <w:t xml:space="preserve">ALCANCE</w:t>
      </w:r>
    </w:p>
    <w:p w:rsidR="00000000" w:rsidDel="00000000" w:rsidP="00000000" w:rsidRDefault="00000000" w:rsidRPr="00000000" w14:paraId="0000003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protocolo es aplicable a todos los pacientes que ingresa a atención a los servicios de IPS </w:t>
      </w:r>
    </w:p>
    <w:p w:rsidR="00000000" w:rsidDel="00000000" w:rsidP="00000000" w:rsidRDefault="00000000" w:rsidRPr="00000000" w14:paraId="00000039">
      <w:pPr>
        <w:pStyle w:val="Heading1"/>
        <w:numPr>
          <w:ilvl w:val="0"/>
          <w:numId w:val="2"/>
        </w:numPr>
        <w:spacing w:line="360" w:lineRule="auto"/>
        <w:ind w:left="720" w:hanging="360"/>
        <w:jc w:val="both"/>
        <w:rPr>
          <w:rFonts w:ascii="Arial" w:cs="Arial" w:eastAsia="Arial" w:hAnsi="Arial"/>
          <w:b w:val="1"/>
          <w:color w:val="000000"/>
          <w:sz w:val="24"/>
          <w:szCs w:val="24"/>
        </w:rPr>
      </w:pPr>
      <w:bookmarkStart w:colFirst="0" w:colLast="0" w:name="_heading=h.2et92p0" w:id="4"/>
      <w:bookmarkEnd w:id="4"/>
      <w:r w:rsidDel="00000000" w:rsidR="00000000" w:rsidRPr="00000000">
        <w:rPr>
          <w:rFonts w:ascii="Arial" w:cs="Arial" w:eastAsia="Arial" w:hAnsi="Arial"/>
          <w:b w:val="1"/>
          <w:color w:val="000000"/>
          <w:sz w:val="24"/>
          <w:szCs w:val="24"/>
          <w:rtl w:val="0"/>
        </w:rPr>
        <w:t xml:space="preserve">DEFINICIONES</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CAÍDA:</w:t>
      </w:r>
      <w:r w:rsidDel="00000000" w:rsidR="00000000" w:rsidRPr="00000000">
        <w:rPr>
          <w:rFonts w:ascii="Arial" w:cs="Arial" w:eastAsia="Arial" w:hAnsi="Arial"/>
          <w:sz w:val="24"/>
          <w:szCs w:val="24"/>
          <w:rtl w:val="0"/>
        </w:rPr>
        <w:t xml:space="preserve"> la consecuencia de cualquier acontecimiento que precipita al individuo al suelo en contra de su voluntad. Para el tema que nos convoca en el presente paquete instruccional, ocurre con ocasión de la atención en salud. </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RIESGO DE CAÍDA:</w:t>
      </w:r>
      <w:r w:rsidDel="00000000" w:rsidR="00000000" w:rsidRPr="00000000">
        <w:rPr>
          <w:rFonts w:ascii="Arial" w:cs="Arial" w:eastAsia="Arial" w:hAnsi="Arial"/>
          <w:sz w:val="24"/>
          <w:szCs w:val="24"/>
          <w:rtl w:val="0"/>
        </w:rPr>
        <w:t xml:space="preserve"> se define como el aumento de la susceptibilidad a las caídas que pueden causar daño físico.</w:t>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FACTORES INTRÍNSECOS:</w:t>
      </w:r>
      <w:r w:rsidDel="00000000" w:rsidR="00000000" w:rsidRPr="00000000">
        <w:rPr>
          <w:rFonts w:ascii="Arial" w:cs="Arial" w:eastAsia="Arial" w:hAnsi="Arial"/>
          <w:sz w:val="24"/>
          <w:szCs w:val="24"/>
          <w:rtl w:val="0"/>
        </w:rPr>
        <w:t xml:space="preserve"> factores relacionados con el propio sujeto que cae. </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FACTORES EXTRÍNSECOS:</w:t>
      </w:r>
      <w:r w:rsidDel="00000000" w:rsidR="00000000" w:rsidRPr="00000000">
        <w:rPr>
          <w:rFonts w:ascii="Arial" w:cs="Arial" w:eastAsia="Arial" w:hAnsi="Arial"/>
          <w:sz w:val="24"/>
          <w:szCs w:val="24"/>
          <w:rtl w:val="0"/>
        </w:rPr>
        <w:t xml:space="preserve"> factores relacionados con la actividad que realiza o el ambiente en el que se encuentra. </w:t>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FACTORES EXTRÍNSECOS POR TRATAMIENTO:</w:t>
      </w:r>
      <w:r w:rsidDel="00000000" w:rsidR="00000000" w:rsidRPr="00000000">
        <w:rPr>
          <w:rFonts w:ascii="Arial" w:cs="Arial" w:eastAsia="Arial" w:hAnsi="Arial"/>
          <w:sz w:val="24"/>
          <w:szCs w:val="24"/>
          <w:rtl w:val="0"/>
        </w:rPr>
        <w:t xml:space="preserve"> - Farmacológico: son aquellos relacionados con los medicamentos que consume el paciente que tienen efectos colaterales y producen alteraciones mentales, de la estabilidad o la marcha. - Prótesis: extensión artificial que reemplaza o provee una parte del cuerpo que falta por diversas razones. - Multifactorial: debido a la interacción de varias causas. - Deambulación: se refiere a la forma como el paciente camina. </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HIPOTENSIÓN ORTOSTÁTICA:</w:t>
      </w:r>
      <w:r w:rsidDel="00000000" w:rsidR="00000000" w:rsidRPr="00000000">
        <w:rPr>
          <w:rFonts w:ascii="Arial" w:cs="Arial" w:eastAsia="Arial" w:hAnsi="Arial"/>
          <w:sz w:val="24"/>
          <w:szCs w:val="24"/>
          <w:rtl w:val="0"/>
        </w:rPr>
        <w:t xml:space="preserve"> se define como una reducción de presión arterial dentro de los tres minutos después de haber asumido la posición erecta o de pie después de haber estado en posición supina o acostada. </w:t>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SÍNCOPE:</w:t>
      </w:r>
      <w:r w:rsidDel="00000000" w:rsidR="00000000" w:rsidRPr="00000000">
        <w:rPr>
          <w:rFonts w:ascii="Arial" w:cs="Arial" w:eastAsia="Arial" w:hAnsi="Arial"/>
          <w:sz w:val="24"/>
          <w:szCs w:val="24"/>
          <w:rtl w:val="0"/>
        </w:rPr>
        <w:t xml:space="preserve"> es una pérdida de conocimiento repentina y por lo general breve y reversible.</w:t>
      </w:r>
    </w:p>
    <w:p w:rsidR="00000000" w:rsidDel="00000000" w:rsidP="00000000" w:rsidRDefault="00000000" w:rsidRPr="00000000" w14:paraId="00000041">
      <w:pPr>
        <w:pStyle w:val="Heading1"/>
        <w:numPr>
          <w:ilvl w:val="0"/>
          <w:numId w:val="2"/>
        </w:numPr>
        <w:spacing w:line="360" w:lineRule="auto"/>
        <w:ind w:left="720" w:hanging="360"/>
        <w:jc w:val="both"/>
        <w:rPr>
          <w:rFonts w:ascii="Arial" w:cs="Arial" w:eastAsia="Arial" w:hAnsi="Arial"/>
          <w:b w:val="1"/>
          <w:color w:val="000000"/>
          <w:sz w:val="24"/>
          <w:szCs w:val="24"/>
        </w:rPr>
      </w:pPr>
      <w:bookmarkStart w:colFirst="0" w:colLast="0" w:name="_heading=h.tyjcwt" w:id="5"/>
      <w:bookmarkEnd w:id="5"/>
      <w:r w:rsidDel="00000000" w:rsidR="00000000" w:rsidRPr="00000000">
        <w:rPr>
          <w:rFonts w:ascii="Arial" w:cs="Arial" w:eastAsia="Arial" w:hAnsi="Arial"/>
          <w:b w:val="1"/>
          <w:color w:val="000000"/>
          <w:sz w:val="24"/>
          <w:szCs w:val="24"/>
          <w:rtl w:val="0"/>
        </w:rPr>
        <w:t xml:space="preserve">ACCIONES INSEGURAS</w:t>
      </w:r>
    </w:p>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Acciones inseguras que pueden provocar caída en los usuarios en DentaTech:</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Movilización inapropiada del paciente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Falta de acompañamiento y monitoreo al paciente</w:t>
      </w:r>
      <w:r w:rsidDel="00000000" w:rsidR="00000000" w:rsidRPr="00000000">
        <w:rPr>
          <w:rFonts w:ascii="Arial" w:cs="Arial" w:eastAsia="Arial" w:hAnsi="Arial"/>
          <w:sz w:val="24"/>
          <w:szCs w:val="24"/>
          <w:rtl w:val="0"/>
        </w:rPr>
        <w:t xml:space="preserve">, y en especial al bajar y subir de la unidad odontológica</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BARRERAS Y DEFENSA </w:t>
      </w:r>
    </w:p>
    <w:p w:rsidR="00000000" w:rsidDel="00000000" w:rsidP="00000000" w:rsidRDefault="00000000" w:rsidRPr="00000000" w14:paraId="00000047">
      <w:pPr>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Práctica o acciones que ayudan a la reducción y prevención de caídas:</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Realizar capacitaciones al personal asistencial</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Documentar, socializar, actualizar y hacer seguimiento a la adherencia de protocolos.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Diseño de instrumento para valorar el riesgo de caídas.</w:t>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D">
      <w:pPr>
        <w:pStyle w:val="Heading1"/>
        <w:numPr>
          <w:ilvl w:val="0"/>
          <w:numId w:val="2"/>
        </w:numPr>
        <w:spacing w:line="360" w:lineRule="auto"/>
        <w:ind w:left="720" w:hanging="360"/>
        <w:jc w:val="both"/>
        <w:rPr>
          <w:rFonts w:ascii="Arial" w:cs="Arial" w:eastAsia="Arial" w:hAnsi="Arial"/>
          <w:b w:val="1"/>
          <w:color w:val="000000"/>
          <w:sz w:val="24"/>
          <w:szCs w:val="24"/>
        </w:rPr>
      </w:pPr>
      <w:bookmarkStart w:colFirst="0" w:colLast="0" w:name="_heading=h.3dy6vkm" w:id="6"/>
      <w:bookmarkEnd w:id="6"/>
      <w:r w:rsidDel="00000000" w:rsidR="00000000" w:rsidRPr="00000000">
        <w:rPr>
          <w:rFonts w:ascii="Arial" w:cs="Arial" w:eastAsia="Arial" w:hAnsi="Arial"/>
          <w:b w:val="1"/>
          <w:color w:val="000000"/>
          <w:sz w:val="24"/>
          <w:szCs w:val="24"/>
          <w:rtl w:val="0"/>
        </w:rPr>
        <w:t xml:space="preserve">RESPONSABILIDAD Y AUTORIDAD </w:t>
      </w:r>
    </w:p>
    <w:p w:rsidR="00000000" w:rsidDel="00000000" w:rsidP="00000000" w:rsidRDefault="00000000" w:rsidRPr="00000000" w14:paraId="000000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responsable del proceso es el comité de seguridad del paciente quien es el encargado de garantizar el cumplimiento de las disposiciones y actividades establecidas en este procedimiento.</w:t>
      </w:r>
    </w:p>
    <w:p w:rsidR="00000000" w:rsidDel="00000000" w:rsidP="00000000" w:rsidRDefault="00000000" w:rsidRPr="00000000" w14:paraId="0000004F">
      <w:pPr>
        <w:spacing w:after="0" w:line="360" w:lineRule="auto"/>
        <w:jc w:val="both"/>
        <w:rPr>
          <w:rFonts w:ascii="Arial" w:cs="Arial" w:eastAsia="Arial" w:hAnsi="Arial"/>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r w:rsidDel="00000000" w:rsidR="00000000" w:rsidRPr="00000000">
      <w:rPr>
        <w:rtl w:val="0"/>
      </w:rPr>
    </w:r>
  </w:p>
  <w:tbl>
    <w:tblPr>
      <w:tblStyle w:val="Table2"/>
      <w:tblW w:w="89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3969"/>
      <w:gridCol w:w="2318"/>
      <w:tblGridChange w:id="0">
        <w:tblGrid>
          <w:gridCol w:w="2689"/>
          <w:gridCol w:w="3969"/>
          <w:gridCol w:w="2318"/>
        </w:tblGrid>
      </w:tblGridChange>
    </w:tblGrid>
    <w:tr>
      <w:trPr>
        <w:cantSplit w:val="0"/>
        <w:trHeight w:val="136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80" w:firstLine="0"/>
            <w:jc w:val="right"/>
            <w:rPr>
              <w:rFonts w:ascii="Arial" w:cs="Arial" w:eastAsia="Arial" w:hAnsi="Arial"/>
              <w:color w:val="000000"/>
            </w:rPr>
          </w:pPr>
          <w:bookmarkStart w:colFirst="0" w:colLast="0" w:name="_heading=h.1t3h5sf" w:id="7"/>
          <w:bookmarkEnd w:id="7"/>
          <w:r w:rsidDel="00000000" w:rsidR="00000000" w:rsidRPr="00000000">
            <w:rPr>
              <w:rFonts w:ascii="Arial" w:cs="Arial" w:eastAsia="Arial" w:hAnsi="Arial"/>
            </w:rPr>
            <w:drawing>
              <wp:inline distB="114300" distT="114300" distL="114300" distR="114300">
                <wp:extent cx="1609725" cy="571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09725" cy="571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3">
          <w:pPr>
            <w:tabs>
              <w:tab w:val="left" w:leader="none" w:pos="1755"/>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PROTOCOLO PREVENIR Y REDUCIR LA FRECUENCIA DE CAÍDAS</w:t>
          </w:r>
        </w:p>
      </w:tc>
      <w:tc>
        <w:tcPr>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80" w:firstLine="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0"/>
              <w:szCs w:val="20"/>
              <w:rtl w:val="0"/>
            </w:rPr>
            <w:t xml:space="preserve">CÓDIGO: </w:t>
          </w:r>
          <w:r w:rsidDel="00000000" w:rsidR="00000000" w:rsidRPr="00000000">
            <w:rPr>
              <w:rFonts w:ascii="Arial" w:cs="Arial" w:eastAsia="Arial" w:hAnsi="Arial"/>
              <w:sz w:val="20"/>
              <w:szCs w:val="20"/>
              <w:highlight w:val="white"/>
              <w:rtl w:val="0"/>
            </w:rPr>
            <w:t xml:space="preserve">EH-D-023</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EMISIÓN: Ago -2023</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VERSIÓN: 1</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765" w:hanging="405"/>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720" w:hanging="360"/>
      </w:pPr>
      <w:rPr/>
    </w:lvl>
    <w:lvl w:ilvl="1">
      <w:start w:val="1"/>
      <w:numFmt w:val="decimal"/>
      <w:lvlText w:val="%1.%2"/>
      <w:lvlJc w:val="left"/>
      <w:pPr>
        <w:ind w:left="765" w:hanging="405"/>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34B04"/>
  </w:style>
  <w:style w:type="paragraph" w:styleId="Ttulo1">
    <w:name w:val="heading 1"/>
    <w:basedOn w:val="Normal"/>
    <w:next w:val="Normal"/>
    <w:link w:val="Ttulo1Car"/>
    <w:uiPriority w:val="9"/>
    <w:qFormat w:val="1"/>
    <w:rsid w:val="00516060"/>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934B0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34B04"/>
  </w:style>
  <w:style w:type="paragraph" w:styleId="Piedepgina">
    <w:name w:val="footer"/>
    <w:basedOn w:val="Normal"/>
    <w:link w:val="PiedepginaCar"/>
    <w:uiPriority w:val="99"/>
    <w:unhideWhenUsed w:val="1"/>
    <w:rsid w:val="00934B0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34B04"/>
  </w:style>
  <w:style w:type="paragraph" w:styleId="Prrafodelista">
    <w:name w:val="List Paragraph"/>
    <w:basedOn w:val="Normal"/>
    <w:uiPriority w:val="34"/>
    <w:qFormat w:val="1"/>
    <w:rsid w:val="00934B04"/>
    <w:pPr>
      <w:ind w:left="720"/>
      <w:contextualSpacing w:val="1"/>
    </w:pPr>
  </w:style>
  <w:style w:type="paragraph" w:styleId="Default" w:customStyle="1">
    <w:name w:val="Default"/>
    <w:rsid w:val="00F804F1"/>
    <w:pPr>
      <w:autoSpaceDE w:val="0"/>
      <w:autoSpaceDN w:val="0"/>
      <w:adjustRightInd w:val="0"/>
      <w:spacing w:after="0" w:line="240" w:lineRule="auto"/>
    </w:pPr>
    <w:rPr>
      <w:color w:val="000000"/>
      <w:sz w:val="24"/>
      <w:szCs w:val="24"/>
    </w:rPr>
  </w:style>
  <w:style w:type="character" w:styleId="Hipervnculo">
    <w:name w:val="Hyperlink"/>
    <w:basedOn w:val="Fuentedeprrafopredeter"/>
    <w:uiPriority w:val="99"/>
    <w:unhideWhenUsed w:val="1"/>
    <w:rsid w:val="00FE272F"/>
    <w:rPr>
      <w:color w:val="0563c1" w:themeColor="hyperlink"/>
      <w:u w:val="single"/>
    </w:rPr>
  </w:style>
  <w:style w:type="character" w:styleId="Hipervnculovisitado">
    <w:name w:val="FollowedHyperlink"/>
    <w:basedOn w:val="Fuentedeprrafopredeter"/>
    <w:uiPriority w:val="99"/>
    <w:semiHidden w:val="1"/>
    <w:unhideWhenUsed w:val="1"/>
    <w:rsid w:val="00A06E0B"/>
    <w:rPr>
      <w:color w:val="954f72" w:themeColor="followedHyperlink"/>
      <w:u w:val="single"/>
    </w:rPr>
  </w:style>
  <w:style w:type="table" w:styleId="Tablaconcuadrcula">
    <w:name w:val="Table Grid"/>
    <w:basedOn w:val="Tablanormal"/>
    <w:uiPriority w:val="39"/>
    <w:rsid w:val="007E4E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C470FD"/>
    <w:rPr>
      <w:rFonts w:ascii="Times New Roman" w:cs="Times New Roman" w:hAnsi="Times New Roman"/>
      <w:sz w:val="24"/>
      <w:szCs w:val="24"/>
    </w:rPr>
  </w:style>
  <w:style w:type="character" w:styleId="Ttulo1Car" w:customStyle="1">
    <w:name w:val="Título 1 Car"/>
    <w:basedOn w:val="Fuentedeprrafopredeter"/>
    <w:link w:val="Ttulo1"/>
    <w:uiPriority w:val="9"/>
    <w:rsid w:val="00516060"/>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9D29AF"/>
    <w:pPr>
      <w:spacing w:line="259" w:lineRule="auto"/>
      <w:outlineLvl w:val="9"/>
    </w:pPr>
    <w:rPr>
      <w:lang w:val="en-US"/>
    </w:rPr>
  </w:style>
  <w:style w:type="paragraph" w:styleId="TDC1">
    <w:name w:val="toc 1"/>
    <w:basedOn w:val="Normal"/>
    <w:next w:val="Normal"/>
    <w:autoRedefine w:val="1"/>
    <w:uiPriority w:val="39"/>
    <w:unhideWhenUsed w:val="1"/>
    <w:rsid w:val="009D29AF"/>
    <w:pPr>
      <w:spacing w:after="100"/>
    </w:pPr>
  </w:style>
  <w:style w:type="table" w:styleId="Tablaconcuadrcula5oscura-nfasis2">
    <w:name w:val="Grid Table 5 Dark Accent 2"/>
    <w:basedOn w:val="Tablanormal"/>
    <w:uiPriority w:val="50"/>
    <w:rsid w:val="00B24875"/>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d7d31"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d7d31"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d7d31"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d7d31" w:themeFill="accent2" w:val="clear"/>
      </w:tcPr>
    </w:tblStylePr>
    <w:tblStylePr w:type="band1Vert">
      <w:tblPr/>
      <w:tcPr>
        <w:shd w:color="auto" w:fill="f7caac" w:themeFill="accent2" w:themeFillTint="000066" w:val="clear"/>
      </w:tcPr>
    </w:tblStylePr>
    <w:tblStylePr w:type="band1Horz">
      <w:tblPr/>
      <w:tcPr>
        <w:shd w:color="auto" w:fill="f7caac" w:themeFill="accent2" w:themeFillTint="000066" w:val="clear"/>
      </w:tcPr>
    </w:tblStyle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be5d5"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ed7d31"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ed7d31"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ed7d31"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ed7d31" w:val="clear"/>
      </w:tcPr>
    </w:tblStylePr>
    <w:tblStylePr w:type="band1Vert">
      <w:tblPr/>
      <w:tcPr>
        <w:shd w:color="auto" w:fill="f7cbac" w:val="clear"/>
      </w:tcPr>
    </w:tblStylePr>
    <w:tblStylePr w:type="band1Horz">
      <w:tblPr/>
      <w:tcPr>
        <w:shd w:color="auto" w:fill="f7cbac" w:val="clear"/>
      </w:tcPr>
    </w:tblStylePr>
  </w:style>
  <w:style w:type="table" w:styleId="a0" w:customSty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tcPr>
      <w:shd w:fill="fbe5d5" w:val="clear"/>
    </w:tcPr>
    <w:tblStylePr w:type="band1Horz">
      <w:tcPr>
        <w:shd w:fill="f7cbac" w:val="clear"/>
      </w:tcPr>
    </w:tblStylePr>
    <w:tblStylePr w:type="band1Vert">
      <w:tcPr>
        <w:shd w:fill="f7cbac"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ed7d31"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ed7d31"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ed7d31"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ed7d31" w:val="clear"/>
      </w:tcPr>
    </w:tblStyle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tcPr>
      <w:shd w:fill="fbe5d5"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5IstUw6R33NdbwX+TfFukdjFw==">CgMxLjAyCGguZ2pkZ3hzMgloLjMwajB6bGwyCWguMWZvYjl0ZTIJaC4zem55c2g3MgloLjJldDkycDAyCGgudHlqY3d0MgloLjNkeTZ2a20yCWguMXQzaDVzZjgAciExdUtYOHVYYVdGUXdyMmVCcWt0YzlGZGxoaWI5SDhFbzI=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2019-01-14T16:46:00Z</dcterms:created>
  <dc:creator>Maria del Mar</dc:creator>
</cp:coreProperties>
</file>