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entury Gothic" w:cs="Century Gothic" w:eastAsia="Century Gothic" w:hAnsi="Century Gothic"/>
          <w:b w:val="1"/>
          <w:bCs w:val="1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72"/>
          <w:szCs w:val="72"/>
          <w:rtl w:val="0"/>
        </w:rPr>
        <w:t xml:space="preserve">PROTOCOLO DE ASEGURAR LA CORRECTA IDENTIFICACIÓN DEL PACIENTE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5" w:line="249" w:lineRule="auto"/>
        <w:ind w:left="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5"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ÍNDICE</w:t>
      </w:r>
    </w:p>
    <w:p w:rsidR="00000000" w:rsidDel="00000000" w:rsidP="00000000" w:rsidRDefault="00000000" w:rsidRPr="00000000" w14:paraId="00000016">
      <w:pPr>
        <w:spacing w:after="5"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5"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18">
      <w:pPr>
        <w:spacing w:after="5"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OBJETIVOS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ALCANCE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RESPONSABLES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DOCUMENTOS Y/O PROCEDIMIENTOS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DEFINICIONES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DESCRIPCIÓN DEL PROCEDIMIENTO 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FORMATOS 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LISTA DE REFERENCIA</w:t>
      </w:r>
    </w:p>
    <w:p w:rsidR="00000000" w:rsidDel="00000000" w:rsidP="00000000" w:rsidRDefault="00000000" w:rsidRPr="00000000" w14:paraId="00000021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9" w:lineRule="auto"/>
        <w:ind w:left="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spacing w:before="240" w:line="249" w:lineRule="auto"/>
        <w:ind w:left="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spacing w:before="0" w:line="249" w:lineRule="auto"/>
        <w:ind w:left="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spacing w:before="0" w:line="249" w:lineRule="auto"/>
        <w:ind w:left="0" w:right="7" w:firstLine="0"/>
        <w:jc w:val="both"/>
        <w:rPr>
          <w:rFonts w:ascii="Century Gothic" w:cs="Century Gothic" w:eastAsia="Century Gothic" w:hAnsi="Century Gothic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spacing w:before="240" w:line="249" w:lineRule="auto"/>
        <w:ind w:left="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35">
      <w:pPr>
        <w:spacing w:after="5"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5"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 incorrecta identificación de pacientes continúa siendo la principal causa de error en la atención en salud, los problemas en la identificación de pacientes están asociados frecuentemente a errores en la atención. Afortunadamente, las intervenciones y estrategias disponibles pueden disminuir significativamente el riesgo de la identificación incorrecta de los pacientes.</w:t>
      </w:r>
    </w:p>
    <w:p w:rsidR="00000000" w:rsidDel="00000000" w:rsidP="00000000" w:rsidRDefault="00000000" w:rsidRPr="00000000" w14:paraId="00000037">
      <w:pPr>
        <w:spacing w:after="5"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5" w:line="240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 Endocrinology &amp; Health estamos comprometidos a brindar una atención segura a todos sus pacientes ha implementado el protocolo de identificación de pacientes teniendo en cuenta los parámetros establecidos por la Organización Mundial de la Salud OMS.</w:t>
      </w:r>
    </w:p>
    <w:p w:rsidR="00000000" w:rsidDel="00000000" w:rsidP="00000000" w:rsidRDefault="00000000" w:rsidRPr="00000000" w14:paraId="00000039">
      <w:pPr>
        <w:keepNext w:val="1"/>
        <w:keepLines w:val="1"/>
        <w:spacing w:before="480" w:lineRule="auto"/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3A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1.1 GENERAL</w:t>
      </w:r>
    </w:p>
    <w:p w:rsidR="00000000" w:rsidDel="00000000" w:rsidP="00000000" w:rsidRDefault="00000000" w:rsidRPr="00000000" w14:paraId="0000003C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Identificar correctamente al paciente que ingresa a la IPS con el fin de prevenir la ocurrencia de incidentes que desencadenan en eventos adversos.</w:t>
      </w:r>
    </w:p>
    <w:p w:rsidR="00000000" w:rsidDel="00000000" w:rsidP="00000000" w:rsidRDefault="00000000" w:rsidRPr="00000000" w14:paraId="0000003E">
      <w:pPr>
        <w:spacing w:line="249" w:lineRule="auto"/>
        <w:ind w:left="72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line="240" w:lineRule="auto"/>
        <w:ind w:right="7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1.2 OBJETIVOS ESPECÍFICOS</w:t>
      </w:r>
    </w:p>
    <w:p w:rsidR="00000000" w:rsidDel="00000000" w:rsidP="00000000" w:rsidRDefault="00000000" w:rsidRPr="00000000" w14:paraId="00000040">
      <w:pPr>
        <w:keepNext w:val="1"/>
        <w:spacing w:line="240" w:lineRule="auto"/>
        <w:ind w:right="7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Formular e implementar el sistema de identificación del paciente.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Apropiar mecanismos redundantes de identificación para la seguridad de la atención en salud.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Verificar el cumplimiento de las estrategias de identificación del paciente 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Insistir en la responsabilidad principal del profesional de verificar la identidad de los pacientes, haciendo coincidir los pacientes correctos con la atención correcta.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Utilizar al menos dos identificadores (nombre y documento de identidad) para verificar la identidad de un paciente.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Prevenir acciones inseguras y complicaciones en pacientes que presentan algún tipo de riesgo que puedan afectar aún más su estado de salud, mediante la identificación adecuada del riesgo y la aplicación de los protocolos ya establecidos.</w:t>
      </w:r>
    </w:p>
    <w:p w:rsidR="00000000" w:rsidDel="00000000" w:rsidP="00000000" w:rsidRDefault="00000000" w:rsidRPr="00000000" w14:paraId="00000047">
      <w:pPr>
        <w:keepNext w:val="1"/>
        <w:keepLines w:val="1"/>
        <w:spacing w:before="480" w:lineRule="auto"/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ALCANCE</w:t>
      </w:r>
    </w:p>
    <w:p w:rsidR="00000000" w:rsidDel="00000000" w:rsidP="00000000" w:rsidRDefault="00000000" w:rsidRPr="00000000" w14:paraId="00000048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Este programa se despliega en la IPS Endocrinology &amp; Health, tanto en áreas administrativas como asistenciales, en todos los procesos que éstas involucren cualquier tipo de atención al paciente, e inicia desde el ingreso hasta el egreso del paciente a la IPS. </w:t>
      </w:r>
    </w:p>
    <w:p w:rsidR="00000000" w:rsidDel="00000000" w:rsidP="00000000" w:rsidRDefault="00000000" w:rsidRPr="00000000" w14:paraId="0000004A">
      <w:pPr>
        <w:keepNext w:val="1"/>
        <w:keepLines w:val="1"/>
        <w:spacing w:before="480" w:lineRule="auto"/>
        <w:ind w:left="426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RESPONSABLES</w:t>
      </w:r>
    </w:p>
    <w:p w:rsidR="00000000" w:rsidDel="00000000" w:rsidP="00000000" w:rsidRDefault="00000000" w:rsidRPr="00000000" w14:paraId="0000004B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927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El gerente es el responsable de la aprobación del documento. 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927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El área de Calidad es la responsable de la revisión y actualización de este documento.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00" w:lineRule="auto"/>
        <w:ind w:left="927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  auxiliar administrativa que interviene en el proceso de atención del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spacing w:before="480" w:lineRule="auto"/>
        <w:ind w:left="426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DOCUMENTOS Y/O PROCEDIMIENTOS RELACIONADOS</w:t>
      </w:r>
    </w:p>
    <w:p w:rsidR="00000000" w:rsidDel="00000000" w:rsidP="00000000" w:rsidRDefault="00000000" w:rsidRPr="00000000" w14:paraId="00000050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Programa de Seguridad del Paciente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GUIA TECNICA PARA LAS  BUENA PRACTICAS DE SEGURIDAD EL PACIENTE EN LA ATENCIÓN EN SALUD- MINSALUD</w:t>
      </w:r>
    </w:p>
    <w:p w:rsidR="00000000" w:rsidDel="00000000" w:rsidP="00000000" w:rsidRDefault="00000000" w:rsidRPr="00000000" w14:paraId="00000053">
      <w:pPr>
        <w:keepNext w:val="1"/>
        <w:keepLines w:val="1"/>
        <w:spacing w:before="480" w:lineRule="auto"/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DEFINICIONES</w:t>
      </w:r>
    </w:p>
    <w:p w:rsidR="00000000" w:rsidDel="00000000" w:rsidP="00000000" w:rsidRDefault="00000000" w:rsidRPr="00000000" w14:paraId="00000054">
      <w:pPr>
        <w:spacing w:line="249" w:lineRule="auto"/>
        <w:ind w:left="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Falla de la atención en salud: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una deficiencia para realizar una acción prevista según lo programado o la utilización de un plan incorrecto, lo cual se puede manifestar mediante la ejecución de procesos incorrectos (falla de acción) o mediante la no ejecución de los procesos correctos (falla de omisión), en las fases de planeación o de ejecución. Las fallas son por definición no intencionales.</w:t>
      </w:r>
    </w:p>
    <w:p w:rsidR="00000000" w:rsidDel="00000000" w:rsidP="00000000" w:rsidRDefault="00000000" w:rsidRPr="00000000" w14:paraId="00000056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Identificación del Paciente: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Proceso realizado a todos los pacientes que ingresan al servicio de consulta</w:t>
      </w:r>
    </w:p>
    <w:p w:rsidR="00000000" w:rsidDel="00000000" w:rsidP="00000000" w:rsidRDefault="00000000" w:rsidRPr="00000000" w14:paraId="00000058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Indicio de atención insegura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 un acontecimiento o una circunstancia que puede alertar acerca del incremento del riesgo de ocurrencia de un incidente o evento adverso.</w:t>
      </w:r>
    </w:p>
    <w:p w:rsidR="00000000" w:rsidDel="00000000" w:rsidP="00000000" w:rsidRDefault="00000000" w:rsidRPr="00000000" w14:paraId="0000005A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Seguridad del paciente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 es el conjunto de elementos estructurales, procesos, instrumentos y metodologías basadas en evidencias científicamente probadas que propenden por minimizar el riesgo de sufrir un evento adverso en el proceso de atención de salud o de mitigar sus consecuencias.</w:t>
      </w:r>
    </w:p>
    <w:p w:rsidR="00000000" w:rsidDel="00000000" w:rsidP="00000000" w:rsidRDefault="00000000" w:rsidRPr="00000000" w14:paraId="0000005C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Verificación Cruzada: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Procedimiento mediante el cual se identifica a una persona determinada (paciente) a través de dos mecanismos como mínimo, ejemplo: verbal y a través de la validación del documento de identidad.</w:t>
      </w:r>
    </w:p>
    <w:p w:rsidR="00000000" w:rsidDel="00000000" w:rsidP="00000000" w:rsidRDefault="00000000" w:rsidRPr="00000000" w14:paraId="0000005E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spacing w:before="480" w:lineRule="auto"/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CONSIDERACIONES GENERALES</w:t>
      </w:r>
    </w:p>
    <w:p w:rsidR="00000000" w:rsidDel="00000000" w:rsidP="00000000" w:rsidRDefault="00000000" w:rsidRPr="00000000" w14:paraId="00000060">
      <w:pPr>
        <w:spacing w:after="5"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Al ingresar el paciente a la IPS se debe solicitar y revisar el documento de Identidad (cédula de ciudadanía, cédula de extranjería o permiso especial de permanencia) 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Verificar afiliación en la empresa contratante.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Todo paciente atendido en la IPS Endocrinology &amp; Health,  será identificado  con los siguientes datos:</w:t>
      </w:r>
    </w:p>
    <w:p w:rsidR="00000000" w:rsidDel="00000000" w:rsidP="00000000" w:rsidRDefault="00000000" w:rsidRPr="00000000" w14:paraId="00000064">
      <w:pPr>
        <w:spacing w:line="249" w:lineRule="auto"/>
        <w:ind w:left="72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2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22"/>
        <w:gridCol w:w="4490"/>
        <w:tblGridChange w:id="0">
          <w:tblGrid>
            <w:gridCol w:w="4522"/>
            <w:gridCol w:w="4490"/>
          </w:tblGrid>
        </w:tblGridChange>
      </w:tblGrid>
      <w:tr>
        <w:trPr>
          <w:cantSplit w:val="0"/>
          <w:trHeight w:val="913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DOCUMENTO DE IDENTIDAD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FECHA DE NACIMIENTO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GÉNERO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EDAD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OCUPACIÓN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ESTADO CIVIL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ASEGURADORA</w:t>
            </w:r>
          </w:p>
          <w:p w:rsidR="00000000" w:rsidDel="00000000" w:rsidP="00000000" w:rsidRDefault="00000000" w:rsidRPr="00000000" w14:paraId="0000006D">
            <w:pPr>
              <w:spacing w:after="5" w:lineRule="auto"/>
              <w:ind w:left="720" w:right="7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RÉGIMEN ACTUAL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DIRECCIÓN 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TELÉFONO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RESPONSABLE, TELÉFONO Y PARENTESCO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FECHA DE INGRESO 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ALERGIA 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RH</w:t>
            </w:r>
          </w:p>
          <w:p w:rsidR="00000000" w:rsidDel="00000000" w:rsidP="00000000" w:rsidRDefault="00000000" w:rsidRPr="00000000" w14:paraId="00000075">
            <w:pPr>
              <w:ind w:left="10" w:right="7" w:firstLine="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Al paciente que presente compromiso de conciencia, la auxiliar administrativa y luego el profesional deberán corroborar los datos correctos con el familiar responsable en caso de que venga acompañado.</w:t>
      </w:r>
    </w:p>
    <w:p w:rsidR="00000000" w:rsidDel="00000000" w:rsidP="00000000" w:rsidRDefault="00000000" w:rsidRPr="00000000" w14:paraId="00000077">
      <w:pPr>
        <w:ind w:left="72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Cuando se presente el caso de un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homónimo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en la historia clínica se emitirá una alerta desde el área administrativa y en el encabezado de la historia clínica se dejará un letrero que diga ¨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homónimo¨,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para evitar errores por identificación de pacientes.</w:t>
      </w:r>
    </w:p>
    <w:p w:rsidR="00000000" w:rsidDel="00000000" w:rsidP="00000000" w:rsidRDefault="00000000" w:rsidRPr="00000000" w14:paraId="00000079">
      <w:pPr>
        <w:ind w:left="72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Es responsabilidad de todo el equipo de salud a cargo del paciente, asegurar que el paciente cuente con los datos correctos durante toda la atención. </w:t>
      </w:r>
    </w:p>
    <w:p w:rsidR="00000000" w:rsidDel="00000000" w:rsidP="00000000" w:rsidRDefault="00000000" w:rsidRPr="00000000" w14:paraId="0000007B">
      <w:pPr>
        <w:ind w:left="72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Las políticas y los procedimientos de la organización deben reforzar la utilización de una práctica de identificación del paciente consistente en todas las situaciones y en todas las áreas de la IPS. 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Será responsabilidad de los usuarios o representantes aportar información veraz de los datos solicitados en el proceso de identificación. Siendo exigible por el personal encargado de la atención, el documento de identidad nacional vigente.</w:t>
      </w:r>
    </w:p>
    <w:p w:rsidR="00000000" w:rsidDel="00000000" w:rsidP="00000000" w:rsidRDefault="00000000" w:rsidRPr="00000000" w14:paraId="0000007E">
      <w:pPr>
        <w:keepNext w:val="1"/>
        <w:keepLines w:val="1"/>
        <w:spacing w:before="480" w:lineRule="auto"/>
        <w:ind w:left="426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DESCRIPCIÓN DEL PROCEDIMIENTO</w:t>
      </w:r>
    </w:p>
    <w:p w:rsidR="00000000" w:rsidDel="00000000" w:rsidP="00000000" w:rsidRDefault="00000000" w:rsidRPr="00000000" w14:paraId="0000007F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El paciente ingresa a la IPS y debe dirigirse hacia la recepción encargada de la admisión de los pacientes.</w:t>
      </w:r>
    </w:p>
    <w:p w:rsidR="00000000" w:rsidDel="00000000" w:rsidP="00000000" w:rsidRDefault="00000000" w:rsidRPr="00000000" w14:paraId="00000081">
      <w:pPr>
        <w:ind w:left="72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 auxiliar de admisiones deberá solicitar los documentos administrativos necesarios, como órdenes médicas, autorizaciones, documento de identidad.</w:t>
      </w:r>
    </w:p>
    <w:p w:rsidR="00000000" w:rsidDel="00000000" w:rsidP="00000000" w:rsidRDefault="00000000" w:rsidRPr="00000000" w14:paraId="00000083">
      <w:pPr>
        <w:ind w:left="72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El auxiliar ingresa a la Historia Clínica administrativa e inicia el registro de la identificación del paciente, si es paciente antiguo confirma datos y si se requiere realizará modificación.</w:t>
      </w:r>
    </w:p>
    <w:p w:rsidR="00000000" w:rsidDel="00000000" w:rsidP="00000000" w:rsidRDefault="00000000" w:rsidRPr="00000000" w14:paraId="00000085">
      <w:pPr>
        <w:ind w:left="72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 auxiliar de admisiones deberá realizar la identificación verbal y cruzada del usuario teniendo en cuenta las barreras establecidas y tomando los datos que se indicaron con anterioridad.</w:t>
      </w:r>
    </w:p>
    <w:p w:rsidR="00000000" w:rsidDel="00000000" w:rsidP="00000000" w:rsidRDefault="00000000" w:rsidRPr="00000000" w14:paraId="00000087">
      <w:pPr>
        <w:ind w:left="72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 auxiliar de admisiones deberá realizar el registro correcto de estos datos en la Historia Clínica.</w:t>
      </w:r>
    </w:p>
    <w:p w:rsidR="00000000" w:rsidDel="00000000" w:rsidP="00000000" w:rsidRDefault="00000000" w:rsidRPr="00000000" w14:paraId="00000089">
      <w:pPr>
        <w:ind w:left="72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Cuando el usuario ingresa a la IPS con el profesional, el profesional realizará la verificación que le queda registrado en la historia clínica  verificando los dos nombres  y los dos apellidos si aplica.</w:t>
      </w:r>
    </w:p>
    <w:p w:rsidR="00000000" w:rsidDel="00000000" w:rsidP="00000000" w:rsidRDefault="00000000" w:rsidRPr="00000000" w14:paraId="0000008B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EN CASO DE TENER IDENTIFICACIÒN DE UN USUARIO HOMÓNIMO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Los usuarios Homónimos pueden ser: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Con homonimia parcial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 quienes tienen los mismos nombres y el primer apellido.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Con homonimia total: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quienes tienen los mismos nombres y apellidos, estos pacientes se diferencian uno del otro con el documento de identidad, la edad, el sexo, el número de ingreso asignado al abrir la admisión, la fecha y hora de ingreso.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Para estos casos la auxiliar administrativa de la IPS debe ubicar a los pacientes homónimos en áreas distantes y registrar seguido del nombre y apellidos su condición de homonimia. Esta condición también la deberá registrar en todos los medios de identificación como: Prescripción de medicamentos y en el registro en la historia clínica. </w:t>
      </w:r>
    </w:p>
    <w:p w:rsidR="00000000" w:rsidDel="00000000" w:rsidP="00000000" w:rsidRDefault="00000000" w:rsidRPr="00000000" w14:paraId="00000093">
      <w:pPr>
        <w:spacing w:line="249" w:lineRule="auto"/>
        <w:ind w:left="72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7.3 Se debe realizar la verificación previa de la identidad del paciente para los siguientes casos:</w:t>
      </w:r>
    </w:p>
    <w:p w:rsidR="00000000" w:rsidDel="00000000" w:rsidP="00000000" w:rsidRDefault="00000000" w:rsidRPr="00000000" w14:paraId="00000095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Para todos los servicios prestados en la IPS Endocrinology &amp; Health.</w:t>
      </w:r>
    </w:p>
    <w:p w:rsidR="00000000" w:rsidDel="00000000" w:rsidP="00000000" w:rsidRDefault="00000000" w:rsidRPr="00000000" w14:paraId="00000097">
      <w:pPr>
        <w:spacing w:line="249" w:lineRule="auto"/>
        <w:ind w:left="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7.4 Cuando Modificar La Identificación Del Paciente</w:t>
      </w:r>
    </w:p>
    <w:p w:rsidR="00000000" w:rsidDel="00000000" w:rsidP="00000000" w:rsidRDefault="00000000" w:rsidRPr="00000000" w14:paraId="00000099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Cuando por expreso error humano se haya ingresado mal algún dato al sistema, para este caso se notificará como un incidente y se dará capacitación nuevamente al personal encargado.</w:t>
      </w:r>
    </w:p>
    <w:p w:rsidR="00000000" w:rsidDel="00000000" w:rsidP="00000000" w:rsidRDefault="00000000" w:rsidRPr="00000000" w14:paraId="0000009B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5" w:line="249" w:lineRule="auto"/>
        <w:ind w:left="10" w:right="7" w:firstLine="0"/>
        <w:jc w:val="both"/>
        <w:rPr>
          <w:rFonts w:ascii="Century Gothic" w:cs="Century Gothic" w:eastAsia="Century Gothic" w:hAnsi="Century Gothic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rtl w:val="0"/>
        </w:rPr>
        <w:t xml:space="preserve">LOS DATOS DE IDENTIFICACIÓN SIEMPRE SE CORROBORARON CON EL DOCUMENTO DE IDENTIDAD</w:t>
      </w:r>
    </w:p>
    <w:p w:rsidR="00000000" w:rsidDel="00000000" w:rsidP="00000000" w:rsidRDefault="00000000" w:rsidRPr="00000000" w14:paraId="0000009D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9. LISTA DE REFERENCIA</w:t>
      </w:r>
    </w:p>
    <w:p w:rsidR="00000000" w:rsidDel="00000000" w:rsidP="00000000" w:rsidRDefault="00000000" w:rsidRPr="00000000" w14:paraId="000000A0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9" w:lineRule="auto"/>
        <w:ind w:left="10" w:right="7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Asegurar la correcta identificación del paciente en los procesos asistenciales paquetes instruccionales guía técnica “buenas prácticas para la seguridad del paciente en la atención en salud”</w:t>
      </w:r>
    </w:p>
    <w:p w:rsidR="00000000" w:rsidDel="00000000" w:rsidP="00000000" w:rsidRDefault="00000000" w:rsidRPr="00000000" w14:paraId="000000A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43549288"/>
        <w:tag w:val="goog_rdk_0"/>
      </w:sdtPr>
      <w:sdtContent>
        <w:tbl>
          <w:tblPr>
            <w:tblStyle w:val="Table2"/>
            <w:tblW w:w="8850.0" w:type="dxa"/>
            <w:jc w:val="left"/>
            <w:tblBorders>
              <w:top w:color="9cc3e5" w:space="0" w:sz="4" w:val="single"/>
              <w:left w:color="9cc3e5" w:space="0" w:sz="4" w:val="single"/>
              <w:bottom w:color="9cc3e5" w:space="0" w:sz="4" w:val="single"/>
              <w:right w:color="9cc3e5" w:space="0" w:sz="4" w:val="single"/>
              <w:insideH w:color="9cc3e5" w:space="0" w:sz="4" w:val="single"/>
              <w:insideV w:color="9cc3e5" w:space="0" w:sz="4" w:val="single"/>
            </w:tblBorders>
            <w:tblLayout w:type="fixed"/>
            <w:tblLook w:val="04A0"/>
          </w:tblPr>
          <w:tblGrid>
            <w:gridCol w:w="1290"/>
            <w:gridCol w:w="1935"/>
            <w:gridCol w:w="2400"/>
            <w:gridCol w:w="3225"/>
            <w:tblGridChange w:id="0">
              <w:tblGrid>
                <w:gridCol w:w="1290"/>
                <w:gridCol w:w="1935"/>
                <w:gridCol w:w="2400"/>
                <w:gridCol w:w="3225"/>
              </w:tblGrid>
            </w:tblGridChange>
          </w:tblGrid>
          <w:tr>
            <w:trPr>
              <w:cantSplit w:val="0"/>
              <w:trHeight w:val="413" w:hRule="atLeast"/>
              <w:tblHeader w:val="0"/>
            </w:trPr>
            <w:tc>
              <w:tcPr>
                <w:gridSpan w:val="4"/>
                <w:tcBorders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A5">
                <w:pPr>
                  <w:jc w:val="both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rtl w:val="0"/>
                  </w:rPr>
                  <w:t xml:space="preserve">  Control de Cambios</w:t>
                </w:r>
              </w:p>
            </w:tc>
          </w:tr>
          <w:tr>
            <w:trPr>
              <w:cantSplit w:val="0"/>
              <w:trHeight w:val="413" w:hRule="atLeast"/>
              <w:tblHeader w:val="0"/>
            </w:trPr>
            <w:tc>
              <w:tcPr>
                <w:gridSpan w:val="4"/>
                <w:tcBorders>
                  <w:top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9">
                <w:pPr>
                  <w:jc w:val="both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50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D">
                <w:pPr>
                  <w:jc w:val="both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rtl w:val="0"/>
                  </w:rPr>
                  <w:t xml:space="preserve">Versión N°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E">
                <w:pPr>
                  <w:jc w:val="both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rtl w:val="0"/>
                  </w:rPr>
                  <w:t xml:space="preserve">Fecha de modificación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AF">
                <w:pPr>
                  <w:jc w:val="both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rtl w:val="0"/>
                  </w:rPr>
                  <w:t xml:space="preserve">Aprobó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B0">
                <w:pPr>
                  <w:jc w:val="both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rtl w:val="0"/>
                  </w:rPr>
                  <w:t xml:space="preserve">Descripción del cambio</w:t>
                </w:r>
              </w:p>
            </w:tc>
          </w:tr>
          <w:tr>
            <w:trPr>
              <w:cantSplit w:val="0"/>
              <w:trHeight w:val="413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B1">
                <w:pPr>
                  <w:jc w:val="both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B2">
                <w:pPr>
                  <w:jc w:val="both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rtl w:val="0"/>
                  </w:rPr>
                  <w:t xml:space="preserve">26-06-2025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B3">
                <w:pPr>
                  <w:jc w:val="both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rtl w:val="0"/>
                  </w:rPr>
                  <w:t xml:space="preserve">asesor de 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B4">
                <w:pPr>
                  <w:jc w:val="both"/>
                  <w:rPr>
                    <w:rFonts w:ascii="Century Gothic" w:cs="Century Gothic" w:eastAsia="Century Gothic" w:hAnsi="Century Gothic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rtl w:val="0"/>
                  </w:rPr>
                  <w:t xml:space="preserve"> generalidades</w:t>
                </w:r>
              </w:p>
            </w:tc>
          </w:tr>
        </w:tbl>
      </w:sdtContent>
    </w:sdt>
    <w:p w:rsidR="00000000" w:rsidDel="00000000" w:rsidP="00000000" w:rsidRDefault="00000000" w:rsidRPr="00000000" w14:paraId="000000B5">
      <w:p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widowControl w:val="0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9885.0" w:type="dxa"/>
      <w:jc w:val="left"/>
      <w:tblInd w:w="-5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375"/>
      <w:gridCol w:w="2940"/>
      <w:gridCol w:w="3570"/>
      <w:tblGridChange w:id="0">
        <w:tblGrid>
          <w:gridCol w:w="3375"/>
          <w:gridCol w:w="2940"/>
          <w:gridCol w:w="3570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C2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ELABORADO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C3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REVISADO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C4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APROBADO POR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C5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C6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C7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Carlos Javier Vizcaino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C8">
          <w:pPr>
            <w:tabs>
              <w:tab w:val="center" w:leader="none" w:pos="4419"/>
              <w:tab w:val="right" w:leader="none" w:pos="8838"/>
            </w:tabs>
            <w:ind w:right="73.46456692913421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C9">
          <w:pPr>
            <w:tabs>
              <w:tab w:val="center" w:leader="none" w:pos="4419"/>
              <w:tab w:val="right" w:leader="none" w:pos="8838"/>
            </w:tabs>
            <w:ind w:right="90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CA">
          <w:pPr>
            <w:tabs>
              <w:tab w:val="center" w:leader="none" w:pos="4419"/>
              <w:tab w:val="right" w:leader="none" w:pos="8838"/>
            </w:tabs>
            <w:ind w:right="45.35433070866134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Gerente</w:t>
          </w:r>
        </w:p>
      </w:tc>
    </w:tr>
  </w:tbl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widowControl w:val="0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870.0" w:type="dxa"/>
      <w:jc w:val="left"/>
      <w:tblInd w:w="-48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85"/>
      <w:gridCol w:w="5670"/>
      <w:gridCol w:w="2115"/>
      <w:tblGridChange w:id="0">
        <w:tblGrid>
          <w:gridCol w:w="2085"/>
          <w:gridCol w:w="5670"/>
          <w:gridCol w:w="2115"/>
        </w:tblGrid>
      </w:tblGridChange>
    </w:tblGrid>
    <w:tr>
      <w:trPr>
        <w:cantSplit w:val="0"/>
        <w:trHeight w:val="796.484375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B7">
          <w:pPr>
            <w:tabs>
              <w:tab w:val="right" w:leader="none" w:pos="9003"/>
            </w:tabs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323850</wp:posOffset>
                </wp:positionV>
                <wp:extent cx="1109663" cy="381446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663" cy="3814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8">
          <w:pPr>
            <w:tabs>
              <w:tab w:val="center" w:leader="none" w:pos="4419"/>
              <w:tab w:val="right" w:leader="none" w:pos="8838"/>
            </w:tabs>
            <w:spacing w:after="0" w:lineRule="auto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ASEGURAR LA CORRECTA IDENTIFICACIÓN DEL PACIENTE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9">
          <w:pPr>
            <w:tabs>
              <w:tab w:val="center" w:leader="none" w:pos="4419"/>
              <w:tab w:val="right" w:leader="none" w:pos="8838"/>
            </w:tabs>
            <w:spacing w:after="0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PP-PT-003</w:t>
          </w:r>
        </w:p>
      </w:tc>
    </w:tr>
    <w:tr>
      <w:trPr>
        <w:cantSplit w:val="0"/>
        <w:trHeight w:val="48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BA">
          <w:pPr>
            <w:tabs>
              <w:tab w:val="right" w:leader="none" w:pos="9003"/>
            </w:tabs>
            <w:spacing w:after="0" w:before="0" w:line="240" w:lineRule="auto"/>
            <w:ind w:left="0" w:firstLine="0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B">
          <w:pPr>
            <w:tabs>
              <w:tab w:val="center" w:leader="none" w:pos="4252"/>
              <w:tab w:val="right" w:leader="none" w:pos="8504"/>
            </w:tabs>
            <w:spacing w:after="0" w:lineRule="auto"/>
            <w:ind w:left="10" w:right="7" w:firstLine="0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ESTÁNDAR 5. PROCESOS PRIORITARIOS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C">
          <w:pPr>
            <w:tabs>
              <w:tab w:val="center" w:leader="none" w:pos="4419"/>
              <w:tab w:val="right" w:leader="none" w:pos="8838"/>
            </w:tabs>
            <w:spacing w:after="0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VERSIÓN: </w:t>
          </w: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01</w:t>
          </w:r>
        </w:p>
      </w:tc>
    </w:tr>
    <w:tr>
      <w:trPr>
        <w:cantSplit w:val="0"/>
        <w:trHeight w:val="45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BD">
          <w:pPr>
            <w:tabs>
              <w:tab w:val="right" w:leader="none" w:pos="9003"/>
            </w:tabs>
            <w:spacing w:after="0" w:before="0" w:line="240" w:lineRule="auto"/>
            <w:ind w:left="0" w:firstLine="0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E">
          <w:pPr>
            <w:tabs>
              <w:tab w:val="center" w:leader="none" w:pos="4419"/>
              <w:tab w:val="right" w:leader="none" w:pos="8838"/>
            </w:tabs>
            <w:spacing w:after="0" w:lineRule="auto"/>
            <w:jc w:val="center"/>
            <w:rPr>
              <w:rFonts w:ascii="Century Gothic" w:cs="Century Gothic" w:eastAsia="Century Gothic" w:hAnsi="Century Gothic"/>
              <w:b w:val="1"/>
              <w:bCs w:val="1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rtl w:val="0"/>
            </w:rPr>
            <w:t xml:space="preserve">COPIA CONTROLADA –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BF">
          <w:pPr>
            <w:tabs>
              <w:tab w:val="center" w:leader="none" w:pos="4419"/>
              <w:tab w:val="right" w:leader="none" w:pos="8838"/>
            </w:tabs>
            <w:spacing w:after="0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0"/>
              <w:szCs w:val="20"/>
              <w:rtl w:val="0"/>
            </w:rPr>
            <w:t xml:space="preserve">FECHA: </w:t>
          </w: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Junio 2025 </w:t>
          </w:r>
        </w:p>
      </w:tc>
    </w:tr>
  </w:tbl>
  <w:p w:rsidR="00000000" w:rsidDel="00000000" w:rsidP="00000000" w:rsidRDefault="00000000" w:rsidRPr="00000000" w14:paraId="000000C0">
    <w:pP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A370A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A370A"/>
  </w:style>
  <w:style w:type="paragraph" w:styleId="Piedepgina">
    <w:name w:val="footer"/>
    <w:basedOn w:val="Normal"/>
    <w:link w:val="PiedepginaCar"/>
    <w:uiPriority w:val="99"/>
    <w:unhideWhenUsed w:val="1"/>
    <w:rsid w:val="008A370A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A370A"/>
  </w:style>
  <w:style w:type="paragraph" w:styleId="NormalWeb">
    <w:name w:val="Normal (Web)"/>
    <w:basedOn w:val="Normal"/>
    <w:uiPriority w:val="99"/>
    <w:semiHidden w:val="1"/>
    <w:unhideWhenUsed w:val="1"/>
    <w:rsid w:val="008A370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CO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48475D"/>
    <w:pPr>
      <w:spacing w:line="240" w:lineRule="auto"/>
    </w:pPr>
    <w:rPr>
      <w:rFonts w:ascii="Times New Roman" w:cs="Times New Roman" w:hAnsi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48475D"/>
    <w:rPr>
      <w:rFonts w:ascii="Times New Roman" w:cs="Times New Roman" w:hAnsi="Times New Roman"/>
      <w:sz w:val="18"/>
      <w:szCs w:val="1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5d5" w:val="clear"/>
    </w:tcPr>
    <w:tblStylePr w:type="band1Horz">
      <w:tcPr>
        <w:shd w:fill="deebf6" w:val="clear"/>
      </w:tcPr>
    </w:tblStylePr>
    <w:tblStylePr w:type="band1Vert">
      <w:tcPr>
        <w:shd w:fill="deebf6" w:val="clear"/>
      </w:tcPr>
    </w:tblStylePr>
    <w:tblStylePr w:type="firstCol">
      <w:pPr>
        <w:jc w:val="right"/>
      </w:pPr>
      <w:rPr>
        <w:i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cc3e5" w:space="0" w:sz="4" w:val="single"/>
        </w:tcBorders>
      </w:tcPr>
    </w:tblStylePr>
    <w:tblStylePr w:type="nwCell">
      <w:tcPr>
        <w:tcBorders>
          <w:bottom w:color="9cc3e5" w:space="0" w:sz="4" w:val="single"/>
        </w:tcBorders>
      </w:tcPr>
    </w:tblStylePr>
    <w:tblStylePr w:type="seCell">
      <w:tcPr>
        <w:tcBorders>
          <w:top w:color="9cc3e5" w:space="0" w:sz="4" w:val="single"/>
        </w:tcBorders>
      </w:tcPr>
    </w:tblStylePr>
    <w:tblStylePr w:type="swCell">
      <w:tcPr>
        <w:tcBorders>
          <w:top w:color="9cc3e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5d5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5d5" w:val="clear"/>
    </w:tcPr>
    <w:tblStylePr w:type="band1Horz">
      <w:tcPr>
        <w:shd w:fill="deebf6" w:val="clear"/>
      </w:tcPr>
    </w:tblStylePr>
    <w:tblStylePr w:type="band1Vert">
      <w:tcPr>
        <w:shd w:fill="deebf6" w:val="clear"/>
      </w:tcPr>
    </w:tblStylePr>
    <w:tblStylePr w:type="firstCol">
      <w:pPr>
        <w:jc w:val="right"/>
      </w:pPr>
      <w:rPr>
        <w:i w:val="1"/>
        <w:iCs w:val="1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firstRow">
      <w:rPr>
        <w:b w:val="1"/>
        <w:bCs w:val="1"/>
      </w:rPr>
      <w:tcPr>
        <w:tcBorders>
          <w:top w:color="000000" w:space="0" w:sz="0" w:val="nil"/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Col">
      <w:rPr>
        <w:i w:val="1"/>
        <w:iCs w:val="1"/>
      </w:rPr>
      <w:tcPr>
        <w:tcBorders>
          <w:top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fffff" w:val="clear"/>
      </w:tcPr>
    </w:tblStylePr>
    <w:tblStylePr w:type="neCell">
      <w:tcPr>
        <w:tcBorders>
          <w:bottom w:color="9cc3e5" w:space="0" w:sz="4" w:val="single"/>
        </w:tcBorders>
      </w:tcPr>
    </w:tblStylePr>
    <w:tblStylePr w:type="nwCell">
      <w:tcPr>
        <w:tcBorders>
          <w:bottom w:color="9cc3e5" w:space="0" w:sz="4" w:val="single"/>
        </w:tcBorders>
      </w:tcPr>
    </w:tblStylePr>
    <w:tblStylePr w:type="seCell">
      <w:tcPr>
        <w:tcBorders>
          <w:top w:color="9cc3e5" w:space="0" w:sz="4" w:val="single"/>
        </w:tcBorders>
      </w:tcPr>
    </w:tblStylePr>
    <w:tblStylePr w:type="swCell">
      <w:tcPr>
        <w:tcBorders>
          <w:top w:color="9cc3e5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5d5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J6zEB9bs88qz2BJRhw8p5m0Uzw==">CgMxLjAaHwoBMBIaChgICVIUChJ0YWJsZS4zNzczYTZneWM2a2Q4AHIhMWdzMkZQa3Q1TG5JcGtVV2NKUFJpYWxVZkpWa28tYzBH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2022-07-11T01:33:00Z</dcterms:created>
</cp:coreProperties>
</file>