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rtl w:val="0"/>
        </w:rPr>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rtl w:val="0"/>
        </w:rPr>
      </w:r>
    </w:p>
    <w:p w:rsidR="00000000" w:rsidDel="00000000" w:rsidP="00000000" w:rsidRDefault="00000000" w:rsidRPr="00000000" w14:paraId="00000004">
      <w:pPr>
        <w:rPr>
          <w:b w:val="1"/>
          <w:sz w:val="24"/>
          <w:szCs w:val="24"/>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rtl w:val="0"/>
        </w:rPr>
      </w:r>
    </w:p>
    <w:p w:rsidR="00000000" w:rsidDel="00000000" w:rsidP="00000000" w:rsidRDefault="00000000" w:rsidRPr="00000000" w14:paraId="00000006">
      <w:pPr>
        <w:jc w:val="center"/>
        <w:rPr>
          <w:b w:val="1"/>
          <w:sz w:val="72"/>
          <w:szCs w:val="72"/>
        </w:rPr>
      </w:pPr>
      <w:r w:rsidDel="00000000" w:rsidR="00000000" w:rsidRPr="00000000">
        <w:rPr>
          <w:rtl w:val="0"/>
        </w:rPr>
      </w:r>
    </w:p>
    <w:p w:rsidR="00000000" w:rsidDel="00000000" w:rsidP="00000000" w:rsidRDefault="00000000" w:rsidRPr="00000000" w14:paraId="00000007">
      <w:pPr>
        <w:jc w:val="left"/>
        <w:rPr>
          <w:rFonts w:ascii="Century Gothic" w:cs="Century Gothic" w:eastAsia="Century Gothic" w:hAnsi="Century Gothic"/>
          <w:b w:val="1"/>
          <w:sz w:val="72"/>
          <w:szCs w:val="72"/>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sz w:val="72"/>
          <w:szCs w:val="72"/>
        </w:rPr>
      </w:pPr>
      <w:r w:rsidDel="00000000" w:rsidR="00000000" w:rsidRPr="00000000">
        <w:rPr>
          <w:rFonts w:ascii="Century Gothic" w:cs="Century Gothic" w:eastAsia="Century Gothic" w:hAnsi="Century Gothic"/>
          <w:b w:val="1"/>
          <w:sz w:val="72"/>
          <w:szCs w:val="72"/>
          <w:rtl w:val="0"/>
        </w:rPr>
        <w:t xml:space="preserve">PROTOCOLO DETECTAR, ANALIZAR Y GESTIONAR EVENTOS ADVERSOS</w:t>
      </w:r>
    </w:p>
    <w:p w:rsidR="00000000" w:rsidDel="00000000" w:rsidP="00000000" w:rsidRDefault="00000000" w:rsidRPr="00000000" w14:paraId="00000009">
      <w:pPr>
        <w:rPr>
          <w:b w:val="1"/>
          <w:sz w:val="24"/>
          <w:szCs w:val="24"/>
        </w:rPr>
      </w:pPr>
      <w:r w:rsidDel="00000000" w:rsidR="00000000" w:rsidRPr="00000000">
        <w:rPr>
          <w:rtl w:val="0"/>
        </w:rPr>
      </w:r>
    </w:p>
    <w:p w:rsidR="00000000" w:rsidDel="00000000" w:rsidP="00000000" w:rsidRDefault="00000000" w:rsidRPr="00000000" w14:paraId="0000000A">
      <w:pPr>
        <w:rPr>
          <w:b w:val="1"/>
          <w:sz w:val="24"/>
          <w:szCs w:val="24"/>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rtl w:val="0"/>
        </w:rPr>
      </w:r>
    </w:p>
    <w:p w:rsidR="00000000" w:rsidDel="00000000" w:rsidP="00000000" w:rsidRDefault="00000000" w:rsidRPr="00000000" w14:paraId="00000012">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14">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ÍNDICE</w:t>
      </w:r>
    </w:p>
    <w:p w:rsidR="00000000" w:rsidDel="00000000" w:rsidP="00000000" w:rsidRDefault="00000000" w:rsidRPr="00000000" w14:paraId="00000015">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16">
      <w:pPr>
        <w:ind w:left="72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1.</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OBJETIVO</w:t>
      </w:r>
    </w:p>
    <w:p w:rsidR="00000000" w:rsidDel="00000000" w:rsidP="00000000" w:rsidRDefault="00000000" w:rsidRPr="00000000" w14:paraId="00000017">
      <w:pPr>
        <w:ind w:left="72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2.</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ALCANCE</w:t>
      </w:r>
    </w:p>
    <w:p w:rsidR="00000000" w:rsidDel="00000000" w:rsidP="00000000" w:rsidRDefault="00000000" w:rsidRPr="00000000" w14:paraId="00000018">
      <w:pPr>
        <w:ind w:left="72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3.</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DOCUMENTOS Y/O PROCEDIMIENTOS RELACIONADOS</w:t>
      </w:r>
    </w:p>
    <w:p w:rsidR="00000000" w:rsidDel="00000000" w:rsidP="00000000" w:rsidRDefault="00000000" w:rsidRPr="00000000" w14:paraId="00000019">
      <w:pPr>
        <w:ind w:left="72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4.</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DEFINICIONES</w:t>
      </w:r>
    </w:p>
    <w:p w:rsidR="00000000" w:rsidDel="00000000" w:rsidP="00000000" w:rsidRDefault="00000000" w:rsidRPr="00000000" w14:paraId="0000001A">
      <w:pPr>
        <w:ind w:left="72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5.</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RESPONSABILIDADES</w:t>
      </w:r>
    </w:p>
    <w:p w:rsidR="00000000" w:rsidDel="00000000" w:rsidP="00000000" w:rsidRDefault="00000000" w:rsidRPr="00000000" w14:paraId="0000001B">
      <w:pPr>
        <w:ind w:left="72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6.</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DESCRIPCIÓN DEL PROCEDIMIENTO</w:t>
      </w:r>
    </w:p>
    <w:p w:rsidR="00000000" w:rsidDel="00000000" w:rsidP="00000000" w:rsidRDefault="00000000" w:rsidRPr="00000000" w14:paraId="0000001C">
      <w:pPr>
        <w:ind w:left="72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7.</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DIAGRAMA DE FLUJO</w:t>
      </w:r>
    </w:p>
    <w:p w:rsidR="00000000" w:rsidDel="00000000" w:rsidP="00000000" w:rsidRDefault="00000000" w:rsidRPr="00000000" w14:paraId="0000001D">
      <w:pPr>
        <w:spacing w:after="200" w:lineRule="auto"/>
        <w:ind w:left="720" w:hanging="36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8.</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rtl w:val="0"/>
        </w:rPr>
        <w:t xml:space="preserve">FORMATOS</w:t>
      </w:r>
    </w:p>
    <w:p w:rsidR="00000000" w:rsidDel="00000000" w:rsidP="00000000" w:rsidRDefault="00000000" w:rsidRPr="00000000" w14:paraId="0000001E">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1F">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0">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1">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2">
      <w:pPr>
        <w:spacing w:after="160" w:line="259" w:lineRule="auto"/>
        <w:ind w:left="720" w:hanging="36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4">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5">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6">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7">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8">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9">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A">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B">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C">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2D">
      <w:pPr>
        <w:spacing w:line="269.67272727272723" w:lineRule="auto"/>
        <w:ind w:left="0" w:firstLine="0"/>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2E">
      <w:pPr>
        <w:spacing w:after="240" w:before="120" w:lineRule="auto"/>
        <w:ind w:left="720" w:hanging="360"/>
        <w:jc w:val="both"/>
        <w:rPr>
          <w:rFonts w:ascii="Century Gothic" w:cs="Century Gothic" w:eastAsia="Century Gothic" w:hAnsi="Century Gothic"/>
          <w:b w:val="1"/>
        </w:rPr>
      </w:pPr>
      <w:bookmarkStart w:colFirst="0" w:colLast="0" w:name="_heading=h.x08g41jdw1s7" w:id="0"/>
      <w:bookmarkEnd w:id="0"/>
      <w:r w:rsidDel="00000000" w:rsidR="00000000" w:rsidRPr="00000000">
        <w:rPr>
          <w:rFonts w:ascii="Century Gothic" w:cs="Century Gothic" w:eastAsia="Century Gothic" w:hAnsi="Century Gothic"/>
          <w:b w:val="1"/>
          <w:rtl w:val="0"/>
        </w:rPr>
        <w:t xml:space="preserve">OBJETIVO</w:t>
      </w:r>
    </w:p>
    <w:p w:rsidR="00000000" w:rsidDel="00000000" w:rsidP="00000000" w:rsidRDefault="00000000" w:rsidRPr="00000000" w14:paraId="0000002F">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Realizar la investigación clara y objetiva de los incidentes y eventos adversos presentados en Endocrinology &amp; Health, identificando su impacto para definir un plan de acción a través de acciones correctivas y preventivas que disminuyan su ocurrencia.</w:t>
      </w:r>
    </w:p>
    <w:p w:rsidR="00000000" w:rsidDel="00000000" w:rsidP="00000000" w:rsidRDefault="00000000" w:rsidRPr="00000000" w14:paraId="00000030">
      <w:pPr>
        <w:spacing w:after="240" w:before="120" w:lineRule="auto"/>
        <w:ind w:left="720" w:hanging="360"/>
        <w:jc w:val="both"/>
        <w:rPr>
          <w:rFonts w:ascii="Century Gothic" w:cs="Century Gothic" w:eastAsia="Century Gothic" w:hAnsi="Century Gothic"/>
          <w:b w:val="1"/>
        </w:rPr>
      </w:pPr>
      <w:bookmarkStart w:colFirst="0" w:colLast="0" w:name="_heading=h.rgk78ygukkn4" w:id="1"/>
      <w:bookmarkEnd w:id="1"/>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31">
      <w:pPr>
        <w:spacing w:after="240" w:before="120" w:lineRule="auto"/>
        <w:ind w:left="720" w:hanging="360"/>
        <w:jc w:val="both"/>
        <w:rPr>
          <w:rFonts w:ascii="Century Gothic" w:cs="Century Gothic" w:eastAsia="Century Gothic" w:hAnsi="Century Gothic"/>
          <w:b w:val="1"/>
        </w:rPr>
      </w:pPr>
      <w:bookmarkStart w:colFirst="0" w:colLast="0" w:name="_heading=h.pmuauwxppuoq" w:id="2"/>
      <w:bookmarkEnd w:id="2"/>
      <w:r w:rsidDel="00000000" w:rsidR="00000000" w:rsidRPr="00000000">
        <w:rPr>
          <w:rFonts w:ascii="Century Gothic" w:cs="Century Gothic" w:eastAsia="Century Gothic" w:hAnsi="Century Gothic"/>
          <w:b w:val="1"/>
          <w:rtl w:val="0"/>
        </w:rPr>
        <w:t xml:space="preserve">ALCANCE</w:t>
      </w:r>
    </w:p>
    <w:p w:rsidR="00000000" w:rsidDel="00000000" w:rsidP="00000000" w:rsidRDefault="00000000" w:rsidRPr="00000000" w14:paraId="00000032">
      <w:pPr>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Cubre desde la identificación del incidente o evento adverso mediante herramientas y acciones que posibiliten su clasificación, análisis y solución con el fin de prevenir o mitigar sus consecuencias.</w:t>
      </w:r>
    </w:p>
    <w:p w:rsidR="00000000" w:rsidDel="00000000" w:rsidP="00000000" w:rsidRDefault="00000000" w:rsidRPr="00000000" w14:paraId="00000033">
      <w:pPr>
        <w:ind w:left="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4">
      <w:pPr>
        <w:spacing w:after="240" w:before="120" w:lineRule="auto"/>
        <w:ind w:left="720" w:hanging="360"/>
        <w:jc w:val="both"/>
        <w:rPr>
          <w:rFonts w:ascii="Century Gothic" w:cs="Century Gothic" w:eastAsia="Century Gothic" w:hAnsi="Century Gothic"/>
          <w:b w:val="1"/>
        </w:rPr>
      </w:pPr>
      <w:bookmarkStart w:colFirst="0" w:colLast="0" w:name="_heading=h.h4zfzbmasxxm" w:id="3"/>
      <w:bookmarkEnd w:id="3"/>
      <w:r w:rsidDel="00000000" w:rsidR="00000000" w:rsidRPr="00000000">
        <w:rPr>
          <w:rFonts w:ascii="Century Gothic" w:cs="Century Gothic" w:eastAsia="Century Gothic" w:hAnsi="Century Gothic"/>
          <w:b w:val="1"/>
          <w:rtl w:val="0"/>
        </w:rPr>
        <w:t xml:space="preserve">DOCUMENTOS Y/O PROCEDIMIENTOS RELACIONADOS</w:t>
      </w:r>
    </w:p>
    <w:p w:rsidR="00000000" w:rsidDel="00000000" w:rsidP="00000000" w:rsidRDefault="00000000" w:rsidRPr="00000000" w14:paraId="00000035">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Programa Seguridad del Paciente</w:t>
      </w:r>
    </w:p>
    <w:p w:rsidR="00000000" w:rsidDel="00000000" w:rsidP="00000000" w:rsidRDefault="00000000" w:rsidRPr="00000000" w14:paraId="00000036">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Resolución 3100  de noviembre de 2019, por la cual se definen los procedimientos y condiciones de inscripción de los prestadores de servicios de salud y de habilitación de servicios de salud.</w:t>
      </w:r>
    </w:p>
    <w:p w:rsidR="00000000" w:rsidDel="00000000" w:rsidP="00000000" w:rsidRDefault="00000000" w:rsidRPr="00000000" w14:paraId="00000037">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Decreto 1011 de 2006, por el cual se establece el sistema obligatorio de garantía de Calidad de la atención de salud del sistema general de seguridad social en salud. Actualmente,</w:t>
      </w:r>
    </w:p>
    <w:p w:rsidR="00000000" w:rsidDel="00000000" w:rsidP="00000000" w:rsidRDefault="00000000" w:rsidRPr="00000000" w14:paraId="00000038">
      <w:pPr>
        <w:ind w:left="1080" w:hanging="360"/>
        <w:jc w:val="both"/>
        <w:rPr>
          <w:rFonts w:ascii="Century Gothic" w:cs="Century Gothic" w:eastAsia="Century Gothic" w:hAnsi="Century Gothic"/>
          <w:highlight w:val="white"/>
        </w:rPr>
      </w:pPr>
      <w:r w:rsidDel="00000000" w:rsidR="00000000" w:rsidRPr="00000000">
        <w:rPr>
          <w:rFonts w:ascii="Century Gothic" w:cs="Century Gothic" w:eastAsia="Century Gothic" w:hAnsi="Century Gothic"/>
          <w:rtl w:val="0"/>
        </w:rPr>
        <w:t xml:space="preserve">   Decreto 780 de 2016 </w:t>
      </w:r>
      <w:r w:rsidDel="00000000" w:rsidR="00000000" w:rsidRPr="00000000">
        <w:rPr>
          <w:rFonts w:ascii="Century Gothic" w:cs="Century Gothic" w:eastAsia="Century Gothic" w:hAnsi="Century Gothic"/>
          <w:b w:val="1"/>
          <w:i w:val="1"/>
          <w:highlight w:val="white"/>
          <w:rtl w:val="0"/>
        </w:rPr>
        <w:t xml:space="preserve">Decreto</w:t>
      </w:r>
      <w:r w:rsidDel="00000000" w:rsidR="00000000" w:rsidRPr="00000000">
        <w:rPr>
          <w:rFonts w:ascii="Century Gothic" w:cs="Century Gothic" w:eastAsia="Century Gothic" w:hAnsi="Century Gothic"/>
          <w:highlight w:val="white"/>
          <w:rtl w:val="0"/>
        </w:rPr>
        <w:t xml:space="preserve"> Único Reglamentario del Sector Salud y. Protección Social.</w:t>
      </w:r>
    </w:p>
    <w:p w:rsidR="00000000" w:rsidDel="00000000" w:rsidP="00000000" w:rsidRDefault="00000000" w:rsidRPr="00000000" w14:paraId="00000039">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Lineamientos para la implementación de la Política de Seguridad del Paciente del Ministerio de la Protección Social de Colombia.  2008</w:t>
      </w:r>
    </w:p>
    <w:p w:rsidR="00000000" w:rsidDel="00000000" w:rsidP="00000000" w:rsidRDefault="00000000" w:rsidRPr="00000000" w14:paraId="0000003A">
      <w:pPr>
        <w:spacing w:after="240" w:before="120" w:lineRule="auto"/>
        <w:ind w:left="720" w:hanging="360"/>
        <w:jc w:val="both"/>
        <w:rPr>
          <w:rFonts w:ascii="Century Gothic" w:cs="Century Gothic" w:eastAsia="Century Gothic" w:hAnsi="Century Gothic"/>
          <w:b w:val="1"/>
        </w:rPr>
      </w:pPr>
      <w:bookmarkStart w:colFirst="0" w:colLast="0" w:name="_heading=h.3f3iiiv3ybyc" w:id="4"/>
      <w:bookmarkEnd w:id="4"/>
      <w:r w:rsidDel="00000000" w:rsidR="00000000" w:rsidRPr="00000000">
        <w:rPr>
          <w:rFonts w:ascii="Century Gothic" w:cs="Century Gothic" w:eastAsia="Century Gothic" w:hAnsi="Century Gothic"/>
          <w:b w:val="1"/>
          <w:rtl w:val="0"/>
        </w:rPr>
        <w:t xml:space="preserve">DEFINICIONES</w:t>
      </w:r>
    </w:p>
    <w:p w:rsidR="00000000" w:rsidDel="00000000" w:rsidP="00000000" w:rsidRDefault="00000000" w:rsidRPr="00000000" w14:paraId="0000003B">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Las siguientes definiciones han sido recopiladas de libros y artículos publicados por autores que son referentes en la Seguridad del  Paciente (James Reason,  Charles Vincent,  Lucian Leape,  Rene Amalberti):</w:t>
      </w:r>
    </w:p>
    <w:p w:rsidR="00000000" w:rsidDel="00000000" w:rsidP="00000000" w:rsidRDefault="00000000" w:rsidRPr="00000000" w14:paraId="0000003C">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D">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Seguridad Del Paciente: </w:t>
      </w:r>
      <w:r w:rsidDel="00000000" w:rsidR="00000000" w:rsidRPr="00000000">
        <w:rPr>
          <w:rFonts w:ascii="Century Gothic" w:cs="Century Gothic" w:eastAsia="Century Gothic" w:hAnsi="Century Gothic"/>
          <w:rtl w:val="0"/>
        </w:rPr>
        <w:t xml:space="preserve">La seguridad de los pacientes implica establecer sistemas operativos y procesos que minimicen la probabilidad de errores y maximicen la capacidad de interceptarlos cuando estos ocurren.</w:t>
      </w:r>
    </w:p>
    <w:p w:rsidR="00000000" w:rsidDel="00000000" w:rsidP="00000000" w:rsidRDefault="00000000" w:rsidRPr="00000000" w14:paraId="0000003E">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F">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Sistema: </w:t>
      </w:r>
      <w:r w:rsidDel="00000000" w:rsidR="00000000" w:rsidRPr="00000000">
        <w:rPr>
          <w:rFonts w:ascii="Century Gothic" w:cs="Century Gothic" w:eastAsia="Century Gothic" w:hAnsi="Century Gothic"/>
          <w:rtl w:val="0"/>
        </w:rPr>
        <w:t xml:space="preserve">La conjunción de partes, interconexiones y propósitos.  Los sistemas pueden ser divididos en partes, pero su poder yace en la forma en que las partes se juntan y se interconectan para arribar a un propósito.  Los elementos que lo integran pueden ser humanos o equipamientos, tecnologías, etc.</w:t>
      </w:r>
    </w:p>
    <w:p w:rsidR="00000000" w:rsidDel="00000000" w:rsidP="00000000" w:rsidRDefault="00000000" w:rsidRPr="00000000" w14:paraId="00000040">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1">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Sistema Adaptativo Complejo (SAC): </w:t>
      </w:r>
      <w:r w:rsidDel="00000000" w:rsidR="00000000" w:rsidRPr="00000000">
        <w:rPr>
          <w:rFonts w:ascii="Century Gothic" w:cs="Century Gothic" w:eastAsia="Century Gothic" w:hAnsi="Century Gothic"/>
          <w:rtl w:val="0"/>
        </w:rPr>
        <w:t xml:space="preserve">En ellos las partes tienen la libertad y la capacidad para responder a los estímulos de formas diferentes y  por caminos no predecibles.  Es por esto que pueden manifestarse por medio de conductas creativas pero también a inducir errores.</w:t>
      </w:r>
    </w:p>
    <w:p w:rsidR="00000000" w:rsidDel="00000000" w:rsidP="00000000" w:rsidRDefault="00000000" w:rsidRPr="00000000" w14:paraId="00000042">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3">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Error: </w:t>
      </w:r>
      <w:r w:rsidDel="00000000" w:rsidR="00000000" w:rsidRPr="00000000">
        <w:rPr>
          <w:rFonts w:ascii="Century Gothic" w:cs="Century Gothic" w:eastAsia="Century Gothic" w:hAnsi="Century Gothic"/>
          <w:rtl w:val="0"/>
        </w:rPr>
        <w:t xml:space="preserve">Es la falta para completar una acción tal como fue planteada o el uso de un plan equivocado para lograr un objetivo.  La acumulación de errores puede llevar al daño, pero no todos los errores producen daño o lesión.</w:t>
      </w:r>
    </w:p>
    <w:p w:rsidR="00000000" w:rsidDel="00000000" w:rsidP="00000000" w:rsidRDefault="00000000" w:rsidRPr="00000000" w14:paraId="00000044">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5">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Error Activo: </w:t>
      </w:r>
      <w:r w:rsidDel="00000000" w:rsidR="00000000" w:rsidRPr="00000000">
        <w:rPr>
          <w:rFonts w:ascii="Century Gothic" w:cs="Century Gothic" w:eastAsia="Century Gothic" w:hAnsi="Century Gothic"/>
          <w:rtl w:val="0"/>
        </w:rPr>
        <w:t xml:space="preserve">Es aquel que ocurre generalmente en el punto de la interface humana con las complejidades del sistema y cuyos efectos se evidencian casi siempre rápidamente.</w:t>
      </w:r>
    </w:p>
    <w:p w:rsidR="00000000" w:rsidDel="00000000" w:rsidP="00000000" w:rsidRDefault="00000000" w:rsidRPr="00000000" w14:paraId="00000046">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7">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Error Latente: </w:t>
      </w:r>
      <w:r w:rsidDel="00000000" w:rsidR="00000000" w:rsidRPr="00000000">
        <w:rPr>
          <w:rFonts w:ascii="Century Gothic" w:cs="Century Gothic" w:eastAsia="Century Gothic" w:hAnsi="Century Gothic"/>
          <w:rtl w:val="0"/>
        </w:rPr>
        <w:t xml:space="preserve">Es aquel que representa las fallas en el diseño, organización, entrenamiento o mantenimiento de los sistemas, lo que lleva a errores operativos y cuyos efectos típicamente se mantienen yacentes en el sistema por períodos prolongados.</w:t>
      </w:r>
    </w:p>
    <w:p w:rsidR="00000000" w:rsidDel="00000000" w:rsidP="00000000" w:rsidRDefault="00000000" w:rsidRPr="00000000" w14:paraId="00000048">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9">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Riesgo: </w:t>
      </w:r>
      <w:r w:rsidDel="00000000" w:rsidR="00000000" w:rsidRPr="00000000">
        <w:rPr>
          <w:rFonts w:ascii="Century Gothic" w:cs="Century Gothic" w:eastAsia="Century Gothic" w:hAnsi="Century Gothic"/>
          <w:rtl w:val="0"/>
        </w:rPr>
        <w:t xml:space="preserve">Es la probabilidad de que un incidente o evento adverso ocurra.</w:t>
      </w:r>
    </w:p>
    <w:p w:rsidR="00000000" w:rsidDel="00000000" w:rsidP="00000000" w:rsidRDefault="00000000" w:rsidRPr="00000000" w14:paraId="0000004A">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B">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Evento Adverso: </w:t>
      </w:r>
      <w:r w:rsidDel="00000000" w:rsidR="00000000" w:rsidRPr="00000000">
        <w:rPr>
          <w:rFonts w:ascii="Century Gothic" w:cs="Century Gothic" w:eastAsia="Century Gothic" w:hAnsi="Century Gothic"/>
          <w:rtl w:val="0"/>
        </w:rPr>
        <w:t xml:space="preserve">Injuria no intencional consecuencia del cuidado de la salud y no de la enfermedad misma del paciente.  En los estudios epidemiológicos publicados sobre el tema se definen como significativos solo aquellos que producen prolongación de la estadía durante la internación, necesidad de reinternación, secuela transitoria o definitiva, o muerte.  Los eventos adversos pueden ser prevenibles o no prevenibles.</w:t>
      </w:r>
    </w:p>
    <w:p w:rsidR="00000000" w:rsidDel="00000000" w:rsidP="00000000" w:rsidRDefault="00000000" w:rsidRPr="00000000" w14:paraId="0000004C">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D">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Evento Centinela: </w:t>
      </w:r>
      <w:r w:rsidDel="00000000" w:rsidR="00000000" w:rsidRPr="00000000">
        <w:rPr>
          <w:rFonts w:ascii="Century Gothic" w:cs="Century Gothic" w:eastAsia="Century Gothic" w:hAnsi="Century Gothic"/>
          <w:rtl w:val="0"/>
        </w:rPr>
        <w:t xml:space="preserve">Es un incidente o suceso inexplicado que produce la muerte o serias secuelas físicas o psicológicas, y/o el riesgo de éstas.   Se incluye específicamente la pérdida de una parte o función del cuerpo.   La expresión “el riesgo de éstas”, incluye cualquier variación de procesos por los que su recurrencia podría acarrear una chance significativa de un resultado adverso serio.</w:t>
      </w:r>
    </w:p>
    <w:p w:rsidR="00000000" w:rsidDel="00000000" w:rsidP="00000000" w:rsidRDefault="00000000" w:rsidRPr="00000000" w14:paraId="0000004E">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F">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Incidente: </w:t>
      </w:r>
      <w:r w:rsidDel="00000000" w:rsidR="00000000" w:rsidRPr="00000000">
        <w:rPr>
          <w:rFonts w:ascii="Century Gothic" w:cs="Century Gothic" w:eastAsia="Century Gothic" w:hAnsi="Century Gothic"/>
          <w:rtl w:val="0"/>
        </w:rPr>
        <w:t xml:space="preserve">Es un evento o circunstancia que sucede en la atención clínica de un paciente que no le genera daño, pero que en su ocurrencia se incorporan fallas en los procesos de atención.</w:t>
      </w:r>
    </w:p>
    <w:p w:rsidR="00000000" w:rsidDel="00000000" w:rsidP="00000000" w:rsidRDefault="00000000" w:rsidRPr="00000000" w14:paraId="00000050">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1">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Complicación: </w:t>
      </w:r>
      <w:r w:rsidDel="00000000" w:rsidR="00000000" w:rsidRPr="00000000">
        <w:rPr>
          <w:rFonts w:ascii="Century Gothic" w:cs="Century Gothic" w:eastAsia="Century Gothic" w:hAnsi="Century Gothic"/>
          <w:rtl w:val="0"/>
        </w:rPr>
        <w:t xml:space="preserve">Es el daño o resultado clínico no esperado no atribuible a la atención sanitaria sino a la enfermedad o a las condiciones propias (comorbilidades) del paciente.</w:t>
      </w:r>
    </w:p>
    <w:p w:rsidR="00000000" w:rsidDel="00000000" w:rsidP="00000000" w:rsidRDefault="00000000" w:rsidRPr="00000000" w14:paraId="00000052">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3">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Barrera De Seguridad: </w:t>
      </w:r>
      <w:r w:rsidDel="00000000" w:rsidR="00000000" w:rsidRPr="00000000">
        <w:rPr>
          <w:rFonts w:ascii="Century Gothic" w:cs="Century Gothic" w:eastAsia="Century Gothic" w:hAnsi="Century Gothic"/>
          <w:rtl w:val="0"/>
        </w:rPr>
        <w:t xml:space="preserve">Una acción o circunstancia que reduce la probabilidad de presentación del incidente o evento adverso.</w:t>
      </w:r>
    </w:p>
    <w:p w:rsidR="00000000" w:rsidDel="00000000" w:rsidP="00000000" w:rsidRDefault="00000000" w:rsidRPr="00000000" w14:paraId="00000054">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5">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Violaciones: </w:t>
      </w:r>
      <w:r w:rsidDel="00000000" w:rsidR="00000000" w:rsidRPr="00000000">
        <w:rPr>
          <w:rFonts w:ascii="Century Gothic" w:cs="Century Gothic" w:eastAsia="Century Gothic" w:hAnsi="Century Gothic"/>
          <w:rtl w:val="0"/>
        </w:rPr>
        <w:t xml:space="preserve">Acciones deliberadas que quiebran una regla establecida en el cuidado médico. Los errores no son intencionales, las violaciones son intencionales.</w:t>
      </w:r>
    </w:p>
    <w:p w:rsidR="00000000" w:rsidDel="00000000" w:rsidP="00000000" w:rsidRDefault="00000000" w:rsidRPr="00000000" w14:paraId="00000056">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7">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Negligencia: </w:t>
      </w:r>
      <w:r w:rsidDel="00000000" w:rsidR="00000000" w:rsidRPr="00000000">
        <w:rPr>
          <w:rFonts w:ascii="Century Gothic" w:cs="Century Gothic" w:eastAsia="Century Gothic" w:hAnsi="Century Gothic"/>
          <w:rtl w:val="0"/>
        </w:rPr>
        <w:t xml:space="preserve">Error difícilmente justificable ocasionado por desidia, abandono, apatía, estudio insuficiente, omisión de precauciones debidas o falta de cuidado en la aplicación del conocimiento que debería tener un personal calificado.</w:t>
      </w:r>
    </w:p>
    <w:p w:rsidR="00000000" w:rsidDel="00000000" w:rsidP="00000000" w:rsidRDefault="00000000" w:rsidRPr="00000000" w14:paraId="00000058">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9">
      <w:pPr>
        <w:shd w:fill="ffffff" w:val="clear"/>
        <w:spacing w:line="301.09090909090907"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Mala Praxis: </w:t>
      </w:r>
      <w:r w:rsidDel="00000000" w:rsidR="00000000" w:rsidRPr="00000000">
        <w:rPr>
          <w:rFonts w:ascii="Century Gothic" w:cs="Century Gothic" w:eastAsia="Century Gothic" w:hAnsi="Century Gothic"/>
          <w:rtl w:val="0"/>
        </w:rPr>
        <w:t xml:space="preserve">Existe mala praxis en el área de la salud, cuando se provoca un daño en la salud de la persona humana, sea este daño parcial o total, limitado en el tiempo o permanente, como consecuencia de un accionar profesional con imprudencia o negligencia, impericia en su profesión o arte de curar o por inobservancia de los reglamentos o deberes a su cargo con apartamiento de la normativa legal aplicable.</w:t>
      </w:r>
    </w:p>
    <w:p w:rsidR="00000000" w:rsidDel="00000000" w:rsidP="00000000" w:rsidRDefault="00000000" w:rsidRPr="00000000" w14:paraId="0000005A">
      <w:pPr>
        <w:spacing w:line="301.09090909090907" w:lineRule="auto"/>
        <w:ind w:left="20" w:firstLine="0"/>
        <w:jc w:val="both"/>
        <w:rPr>
          <w:rFonts w:ascii="Century Gothic" w:cs="Century Gothic" w:eastAsia="Century Gothic" w:hAnsi="Century Gothic"/>
          <w:highlight w:val="yellow"/>
        </w:rPr>
      </w:pPr>
      <w:r w:rsidDel="00000000" w:rsidR="00000000" w:rsidRPr="00000000">
        <w:rPr>
          <w:rFonts w:ascii="Century Gothic" w:cs="Century Gothic" w:eastAsia="Century Gothic" w:hAnsi="Century Gothic"/>
          <w:highlight w:val="yellow"/>
          <w:rtl w:val="0"/>
        </w:rPr>
        <w:t xml:space="preserve"> </w:t>
      </w:r>
    </w:p>
    <w:p w:rsidR="00000000" w:rsidDel="00000000" w:rsidP="00000000" w:rsidRDefault="00000000" w:rsidRPr="00000000" w14:paraId="0000005B">
      <w:pPr>
        <w:spacing w:after="240" w:before="120" w:lineRule="auto"/>
        <w:ind w:left="720" w:hanging="360"/>
        <w:jc w:val="both"/>
        <w:rPr>
          <w:rFonts w:ascii="Century Gothic" w:cs="Century Gothic" w:eastAsia="Century Gothic" w:hAnsi="Century Gothic"/>
          <w:b w:val="1"/>
        </w:rPr>
      </w:pPr>
      <w:bookmarkStart w:colFirst="0" w:colLast="0" w:name="_heading=h.dt43gw4cpjge" w:id="5"/>
      <w:bookmarkEnd w:id="5"/>
      <w:r w:rsidDel="00000000" w:rsidR="00000000" w:rsidRPr="00000000">
        <w:rPr>
          <w:rFonts w:ascii="Century Gothic" w:cs="Century Gothic" w:eastAsia="Century Gothic" w:hAnsi="Century Gothic"/>
          <w:b w:val="1"/>
          <w:rtl w:val="0"/>
        </w:rPr>
        <w:t xml:space="preserve">RESPONSABILIDADES</w:t>
      </w:r>
    </w:p>
    <w:p w:rsidR="00000000" w:rsidDel="00000000" w:rsidP="00000000" w:rsidRDefault="00000000" w:rsidRPr="00000000" w14:paraId="0000005C">
      <w:pPr>
        <w:spacing w:after="80" w:before="360" w:line="240" w:lineRule="auto"/>
        <w:jc w:val="both"/>
        <w:rPr>
          <w:rFonts w:ascii="Century Gothic" w:cs="Century Gothic" w:eastAsia="Century Gothic" w:hAnsi="Century Gothic"/>
          <w:b w:val="1"/>
        </w:rPr>
      </w:pPr>
      <w:bookmarkStart w:colFirst="0" w:colLast="0" w:name="_heading=h.i1liaswttr7i" w:id="6"/>
      <w:bookmarkEnd w:id="6"/>
      <w:r w:rsidDel="00000000" w:rsidR="00000000" w:rsidRPr="00000000">
        <w:rPr>
          <w:rFonts w:ascii="Century Gothic" w:cs="Century Gothic" w:eastAsia="Century Gothic" w:hAnsi="Century Gothic"/>
          <w:b w:val="1"/>
          <w:rtl w:val="0"/>
        </w:rPr>
        <w:t xml:space="preserve">5.1 Asesora de calidad </w:t>
      </w:r>
    </w:p>
    <w:p w:rsidR="00000000" w:rsidDel="00000000" w:rsidP="00000000" w:rsidRDefault="00000000" w:rsidRPr="00000000" w14:paraId="0000005D">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Asesora de Calidad  es la responsable de la implementación del presente procedimiento con todo el personal que labora en la IPS de manera que permita verificar que se cumplan los lineamientos establecidos.</w:t>
      </w:r>
    </w:p>
    <w:p w:rsidR="00000000" w:rsidDel="00000000" w:rsidP="00000000" w:rsidRDefault="00000000" w:rsidRPr="00000000" w14:paraId="0000005E">
      <w:pPr>
        <w:spacing w:line="269.67272727272723" w:lineRule="auto"/>
        <w:ind w:left="1080" w:hanging="720"/>
        <w:jc w:val="both"/>
        <w:rPr>
          <w:rFonts w:ascii="Century Gothic" w:cs="Century Gothic" w:eastAsia="Century Gothic" w:hAnsi="Century Gothic"/>
          <w:highlight w:val="yellow"/>
        </w:rPr>
      </w:pPr>
      <w:r w:rsidDel="00000000" w:rsidR="00000000" w:rsidRPr="00000000">
        <w:rPr>
          <w:rFonts w:ascii="Century Gothic" w:cs="Century Gothic" w:eastAsia="Century Gothic" w:hAnsi="Century Gothic"/>
          <w:highlight w:val="yellow"/>
          <w:rtl w:val="0"/>
        </w:rPr>
        <w:t xml:space="preserve"> </w:t>
      </w:r>
    </w:p>
    <w:p w:rsidR="00000000" w:rsidDel="00000000" w:rsidP="00000000" w:rsidRDefault="00000000" w:rsidRPr="00000000" w14:paraId="0000005F">
      <w:pPr>
        <w:spacing w:after="240" w:before="120" w:lineRule="auto"/>
        <w:jc w:val="both"/>
        <w:rPr>
          <w:rFonts w:ascii="Century Gothic" w:cs="Century Gothic" w:eastAsia="Century Gothic" w:hAnsi="Century Gothic"/>
          <w:b w:val="1"/>
        </w:rPr>
      </w:pPr>
      <w:bookmarkStart w:colFirst="0" w:colLast="0" w:name="_heading=h.yti64dc2ker" w:id="7"/>
      <w:bookmarkEnd w:id="7"/>
      <w:r w:rsidDel="00000000" w:rsidR="00000000" w:rsidRPr="00000000">
        <w:rPr>
          <w:rFonts w:ascii="Century Gothic" w:cs="Century Gothic" w:eastAsia="Century Gothic" w:hAnsi="Century Gothic"/>
          <w:b w:val="1"/>
          <w:rtl w:val="0"/>
        </w:rPr>
        <w:t xml:space="preserve">DESCRIPCIÓN DEL PROCEDIMIENTO</w:t>
      </w:r>
    </w:p>
    <w:p w:rsidR="00000000" w:rsidDel="00000000" w:rsidP="00000000" w:rsidRDefault="00000000" w:rsidRPr="00000000" w14:paraId="00000060">
      <w:pPr>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resolución 3100 de noviembre de 2019 establece como obligatorio para todos los prestadores del sistema obligatorio de garantía de la calidad, la vigilancia de eventos adversos.  Esta estrategia es más efectiva si se combina con un sistema de reporte de lo encontrado.</w:t>
      </w:r>
    </w:p>
    <w:p w:rsidR="00000000" w:rsidDel="00000000" w:rsidP="00000000" w:rsidRDefault="00000000" w:rsidRPr="00000000" w14:paraId="00000061">
      <w:pPr>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62">
      <w:pPr>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 importante recalcar que los sistemas de reporte que se implementen deberán tener como finalidad el aprendizaje para generar barreras de seguridad.</w:t>
      </w:r>
    </w:p>
    <w:p w:rsidR="00000000" w:rsidDel="00000000" w:rsidP="00000000" w:rsidRDefault="00000000" w:rsidRPr="00000000" w14:paraId="00000063">
      <w:pPr>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64">
      <w:pPr>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Como estrategia para el manejo y detección de los principales modos de falla, para establecer los correctivos y las barreras de seguridad para el cumplimiento de lo establecido en el programa de seguridad del paciente, se utiliza como herramienta, el reporte de los incidentes o eventos adversos presentados en las diferentes áreas de la IPS. </w:t>
      </w:r>
    </w:p>
    <w:p w:rsidR="00000000" w:rsidDel="00000000" w:rsidP="00000000" w:rsidRDefault="00000000" w:rsidRPr="00000000" w14:paraId="00000065">
      <w:pPr>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66">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6.1 Medidas y Políticas de Seguridad y Autocontrol</w:t>
      </w:r>
    </w:p>
    <w:p w:rsidR="00000000" w:rsidDel="00000000" w:rsidP="00000000" w:rsidRDefault="00000000" w:rsidRPr="00000000" w14:paraId="00000067">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Capacitación sobre identificación y notificación de incidentes y eventos adversos.</w:t>
      </w:r>
    </w:p>
    <w:p w:rsidR="00000000" w:rsidDel="00000000" w:rsidP="00000000" w:rsidRDefault="00000000" w:rsidRPr="00000000" w14:paraId="00000068">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Seguimiento a planes de acción implementados</w:t>
      </w:r>
    </w:p>
    <w:p w:rsidR="00000000" w:rsidDel="00000000" w:rsidP="00000000" w:rsidRDefault="00000000" w:rsidRPr="00000000" w14:paraId="00000069">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Rondas de seguridad</w:t>
      </w:r>
    </w:p>
    <w:p w:rsidR="00000000" w:rsidDel="00000000" w:rsidP="00000000" w:rsidRDefault="00000000" w:rsidRPr="00000000" w14:paraId="0000006A">
      <w:pPr>
        <w:spacing w:after="200" w:lineRule="auto"/>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Barreras de seguridad</w:t>
      </w:r>
    </w:p>
    <w:p w:rsidR="00000000" w:rsidDel="00000000" w:rsidP="00000000" w:rsidRDefault="00000000" w:rsidRPr="00000000" w14:paraId="0000006B">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6.2 Riesgos</w:t>
      </w:r>
    </w:p>
    <w:p w:rsidR="00000000" w:rsidDel="00000000" w:rsidP="00000000" w:rsidRDefault="00000000" w:rsidRPr="00000000" w14:paraId="0000006C">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No identificación del incidente o evento adverso</w:t>
      </w:r>
    </w:p>
    <w:p w:rsidR="00000000" w:rsidDel="00000000" w:rsidP="00000000" w:rsidRDefault="00000000" w:rsidRPr="00000000" w14:paraId="0000006D">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Falta de notificación del incidente o evento adverso</w:t>
      </w:r>
    </w:p>
    <w:p w:rsidR="00000000" w:rsidDel="00000000" w:rsidP="00000000" w:rsidRDefault="00000000" w:rsidRPr="00000000" w14:paraId="0000006E">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Inadecuada notificación de un evento adverso</w:t>
      </w:r>
    </w:p>
    <w:p w:rsidR="00000000" w:rsidDel="00000000" w:rsidP="00000000" w:rsidRDefault="00000000" w:rsidRPr="00000000" w14:paraId="0000006F">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Falta de gestión ante la evidencia de un evento adverso</w:t>
      </w:r>
    </w:p>
    <w:p w:rsidR="00000000" w:rsidDel="00000000" w:rsidP="00000000" w:rsidRDefault="00000000" w:rsidRPr="00000000" w14:paraId="00000070">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Pérdida de la información</w:t>
      </w:r>
    </w:p>
    <w:p w:rsidR="00000000" w:rsidDel="00000000" w:rsidP="00000000" w:rsidRDefault="00000000" w:rsidRPr="00000000" w14:paraId="00000071">
      <w:pPr>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Diligenciamiento incompleto del formato de Reporte Interno de incidente y eventos adversos.</w:t>
      </w:r>
    </w:p>
    <w:p w:rsidR="00000000" w:rsidDel="00000000" w:rsidP="00000000" w:rsidRDefault="00000000" w:rsidRPr="00000000" w14:paraId="00000072">
      <w:pPr>
        <w:spacing w:after="200" w:lineRule="auto"/>
        <w:ind w:left="108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No gestión y análisis de los casos notificados de incidentes y eventos adversos.</w:t>
      </w:r>
    </w:p>
    <w:p w:rsidR="00000000" w:rsidDel="00000000" w:rsidP="00000000" w:rsidRDefault="00000000" w:rsidRPr="00000000" w14:paraId="00000073">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6.3 Reporte y Gestión de Incidentes y Eventos Adversos</w:t>
      </w:r>
    </w:p>
    <w:p w:rsidR="00000000" w:rsidDel="00000000" w:rsidP="00000000" w:rsidRDefault="00000000" w:rsidRPr="00000000" w14:paraId="00000074">
      <w:pPr>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75">
      <w:pPr>
        <w:spacing w:line="301.09090909090907"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rtl w:val="0"/>
        </w:rPr>
        <w:t xml:space="preserve">Fomentar el auto-reporte de incidentes, errores y eventos adversos, teniendo en cuenta la premisa de </w:t>
      </w:r>
      <w:r w:rsidDel="00000000" w:rsidR="00000000" w:rsidRPr="00000000">
        <w:rPr>
          <w:rFonts w:ascii="Century Gothic" w:cs="Century Gothic" w:eastAsia="Century Gothic" w:hAnsi="Century Gothic"/>
          <w:b w:val="1"/>
          <w:rtl w:val="0"/>
        </w:rPr>
        <w:t xml:space="preserve">“trabajar en un ambiente educativo no punitivo, pero a la vez de responsabilidad y no de ocultamiento”. </w:t>
      </w:r>
    </w:p>
    <w:p w:rsidR="00000000" w:rsidDel="00000000" w:rsidP="00000000" w:rsidRDefault="00000000" w:rsidRPr="00000000" w14:paraId="00000076">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77">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 importante tener estas definiciones claras, al momento de identificar un incidente o evento adverso, ya que cada funcionario y colaborador en Endocrinology &amp; Health debe reportar estos incidentes y sospechas de eventos adversos. Para ello se ha diseñado cuatro métodos para el reporte de estas situaciones: </w:t>
      </w:r>
    </w:p>
    <w:p w:rsidR="00000000" w:rsidDel="00000000" w:rsidP="00000000" w:rsidRDefault="00000000" w:rsidRPr="00000000" w14:paraId="00000078">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79">
      <w:pPr>
        <w:numPr>
          <w:ilvl w:val="0"/>
          <w:numId w:val="3"/>
        </w:numPr>
        <w:ind w:left="1440" w:hanging="360"/>
        <w:jc w:val="both"/>
        <w:rPr/>
      </w:pPr>
      <w:r w:rsidDel="00000000" w:rsidR="00000000" w:rsidRPr="00000000">
        <w:rPr>
          <w:rFonts w:ascii="Century Gothic" w:cs="Century Gothic" w:eastAsia="Century Gothic" w:hAnsi="Century Gothic"/>
          <w:rtl w:val="0"/>
        </w:rPr>
        <w:t xml:space="preserve">Formato de google forms </w:t>
      </w:r>
      <w:r w:rsidDel="00000000" w:rsidR="00000000" w:rsidRPr="00000000">
        <w:rPr>
          <w:rFonts w:ascii="Century Gothic" w:cs="Century Gothic" w:eastAsia="Century Gothic" w:hAnsi="Century Gothic"/>
          <w:b w:val="1"/>
          <w:rtl w:val="0"/>
        </w:rPr>
        <w:t xml:space="preserve">“REPORTE INTERNO DE INCIDENTES Y EVENTOS ADVERSOS</w:t>
      </w:r>
      <w:r w:rsidDel="00000000" w:rsidR="00000000" w:rsidRPr="00000000">
        <w:rPr>
          <w:rFonts w:ascii="Century Gothic" w:cs="Century Gothic" w:eastAsia="Century Gothic" w:hAnsi="Century Gothic"/>
          <w:rtl w:val="0"/>
        </w:rPr>
        <w:t xml:space="preserve">”.  </w:t>
      </w:r>
      <w:hyperlink r:id="rId7">
        <w:r w:rsidDel="00000000" w:rsidR="00000000" w:rsidRPr="00000000">
          <w:rPr>
            <w:rFonts w:ascii="Century Gothic" w:cs="Century Gothic" w:eastAsia="Century Gothic" w:hAnsi="Century Gothic"/>
            <w:color w:val="1155cc"/>
            <w:u w:val="single"/>
            <w:rtl w:val="0"/>
          </w:rPr>
          <w:t xml:space="preserve">https://docs.google.com/forms/d/e/1FAIpQLSfwxeI2SfUF_b40ZNpdgvot1Gzpxd3li8-zzYS8IH1NN06tUA/viewform?usp=header</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7A">
      <w:pPr>
        <w:numPr>
          <w:ilvl w:val="0"/>
          <w:numId w:val="3"/>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formatos de tecnovigilancia según corresponda el caso. </w:t>
      </w:r>
    </w:p>
    <w:p w:rsidR="00000000" w:rsidDel="00000000" w:rsidP="00000000" w:rsidRDefault="00000000" w:rsidRPr="00000000" w14:paraId="0000007B">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7C">
      <w:pPr>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Una vez se detecta el incidente o evento adverso relacionado con la atención del paciente el personal debe tener en cuenta lo descrito en el presente documento para su correcto reporte.</w:t>
      </w:r>
    </w:p>
    <w:p w:rsidR="00000000" w:rsidDel="00000000" w:rsidP="00000000" w:rsidRDefault="00000000" w:rsidRPr="00000000" w14:paraId="0000007D">
      <w:pPr>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7E">
      <w:pPr>
        <w:numPr>
          <w:ilvl w:val="0"/>
          <w:numId w:val="6"/>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reporte se realizará a través del formato de Reporte Interno de incidentes y eventos adversos del google forms. </w:t>
      </w:r>
    </w:p>
    <w:p w:rsidR="00000000" w:rsidDel="00000000" w:rsidP="00000000" w:rsidRDefault="00000000" w:rsidRPr="00000000" w14:paraId="0000007F">
      <w:pPr>
        <w:ind w:left="0" w:firstLine="0"/>
        <w:jc w:val="both"/>
        <w:rPr>
          <w:rFonts w:ascii="Century Gothic" w:cs="Century Gothic" w:eastAsia="Century Gothic" w:hAnsi="Century Gothic"/>
        </w:rPr>
      </w:pPr>
      <w:hyperlink r:id="rId8">
        <w:r w:rsidDel="00000000" w:rsidR="00000000" w:rsidRPr="00000000">
          <w:rPr>
            <w:rFonts w:ascii="Century Gothic" w:cs="Century Gothic" w:eastAsia="Century Gothic" w:hAnsi="Century Gothic"/>
            <w:color w:val="1155cc"/>
            <w:u w:val="single"/>
            <w:rtl w:val="0"/>
          </w:rPr>
          <w:t xml:space="preserve">https://docs.google.com/forms/d/e/1FAIpQLSfwxeI2SfUF_b40ZNpdgvot1Gzpxd3li8-zzYS8IH1NN06tUA/viewform?usp=header</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0">
      <w:pPr>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1">
      <w:pPr>
        <w:ind w:left="0" w:firstLine="0"/>
        <w:jc w:val="both"/>
        <w:rPr>
          <w:rFonts w:ascii="Century Gothic" w:cs="Century Gothic" w:eastAsia="Century Gothic" w:hAnsi="Century Gothic"/>
        </w:rPr>
      </w:pPr>
      <w:hyperlink r:id="rId9">
        <w:r w:rsidDel="00000000" w:rsidR="00000000" w:rsidRPr="00000000">
          <w:rPr>
            <w:rFonts w:ascii="Century Gothic" w:cs="Century Gothic" w:eastAsia="Century Gothic" w:hAnsi="Century Gothic"/>
            <w:color w:val="0000ee"/>
            <w:u w:val="single"/>
            <w:rtl w:val="0"/>
          </w:rPr>
          <w:t xml:space="preserve">PP-FR-003 REPORTE DE EVENTOS ADVEROS.docx</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2">
      <w:pPr>
        <w:spacing w:after="80" w:before="280" w:line="240" w:lineRule="auto"/>
        <w:jc w:val="both"/>
        <w:rPr>
          <w:rFonts w:ascii="Century Gothic" w:cs="Century Gothic" w:eastAsia="Century Gothic" w:hAnsi="Century Gothic"/>
          <w:b w:val="1"/>
        </w:rPr>
      </w:pPr>
      <w:bookmarkStart w:colFirst="0" w:colLast="0" w:name="_heading=h.a4jlh18fxv3" w:id="8"/>
      <w:bookmarkEnd w:id="8"/>
      <w:r w:rsidDel="00000000" w:rsidR="00000000" w:rsidRPr="00000000">
        <w:rPr>
          <w:rFonts w:ascii="Century Gothic" w:cs="Century Gothic" w:eastAsia="Century Gothic" w:hAnsi="Century Gothic"/>
          <w:b w:val="1"/>
          <w:rtl w:val="0"/>
        </w:rPr>
        <w:t xml:space="preserve">Cómo Se Asegura La Confidencialidad Del Reporte </w:t>
      </w:r>
    </w:p>
    <w:p w:rsidR="00000000" w:rsidDel="00000000" w:rsidP="00000000" w:rsidRDefault="00000000" w:rsidRPr="00000000" w14:paraId="00000083">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4">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Todos los documentos y la información relacionada con un incidente o evento adverso, son manejados y custodiados por la coordinación de calidad y son conocidos únicamente por el grupo investigador y las personas implicadas en el hecho. </w:t>
      </w:r>
    </w:p>
    <w:p w:rsidR="00000000" w:rsidDel="00000000" w:rsidP="00000000" w:rsidRDefault="00000000" w:rsidRPr="00000000" w14:paraId="00000085">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6">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eventos adversos ocurridos y el análisis que se hace de ellos, se dan a conocer a todo el personal periódicamente, como estrategia para prevenir la ocurrencia de errores en la atención y evitar que se repitan los que ya han ocurrido, pero sin mencionar los nombres de los trabajadores involucrados. </w:t>
      </w:r>
    </w:p>
    <w:p w:rsidR="00000000" w:rsidDel="00000000" w:rsidP="00000000" w:rsidRDefault="00000000" w:rsidRPr="00000000" w14:paraId="00000087">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8">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reconoce esta política como </w:t>
      </w:r>
      <w:r w:rsidDel="00000000" w:rsidR="00000000" w:rsidRPr="00000000">
        <w:rPr>
          <w:rFonts w:ascii="Century Gothic" w:cs="Century Gothic" w:eastAsia="Century Gothic" w:hAnsi="Century Gothic"/>
          <w:b w:val="1"/>
          <w:rtl w:val="0"/>
        </w:rPr>
        <w:t xml:space="preserve">No punitiva</w:t>
      </w:r>
      <w:r w:rsidDel="00000000" w:rsidR="00000000" w:rsidRPr="00000000">
        <w:rPr>
          <w:rFonts w:ascii="Century Gothic" w:cs="Century Gothic" w:eastAsia="Century Gothic" w:hAnsi="Century Gothic"/>
          <w:rtl w:val="0"/>
        </w:rPr>
        <w:t xml:space="preserve">, esto quiere decir que no se tendrán acciones Punitivas hacia las personas involucradas en el incidente o evento adverso; también tiene la característica de confidencial, es decir, no se revelará los eventos adversos, personas, solo se conocerán los planes de mejoramiento, la acciones dirigidas a mitigar, controlar y disminuir la ocurrencia de estos eventos adversos. </w:t>
      </w:r>
    </w:p>
    <w:p w:rsidR="00000000" w:rsidDel="00000000" w:rsidP="00000000" w:rsidRDefault="00000000" w:rsidRPr="00000000" w14:paraId="00000089">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A">
      <w:pPr>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8B">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6.3.1 Qué Hacer ante un Incidentes o Eventos Adversos?</w:t>
      </w:r>
    </w:p>
    <w:p w:rsidR="00000000" w:rsidDel="00000000" w:rsidP="00000000" w:rsidRDefault="00000000" w:rsidRPr="00000000" w14:paraId="0000008C">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Una vez se presente el incidente o evento relacionado con la atención en salud, el personal debe brindar al paciente la atención médica a que haya lugar, registrando en la historia clínica los tratamientos suministrados con ocasión de una posible falla en la atención.</w:t>
      </w:r>
    </w:p>
    <w:p w:rsidR="00000000" w:rsidDel="00000000" w:rsidP="00000000" w:rsidRDefault="00000000" w:rsidRPr="00000000" w14:paraId="0000008D">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E">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6.3.2 Quién Debe Reportar?</w:t>
      </w:r>
    </w:p>
    <w:p w:rsidR="00000000" w:rsidDel="00000000" w:rsidP="00000000" w:rsidRDefault="00000000" w:rsidRPr="00000000" w14:paraId="0000008F">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Cualquier colaborador de la IPS que identifique un incidente o evento adverso en un paciente.</w:t>
      </w:r>
    </w:p>
    <w:p w:rsidR="00000000" w:rsidDel="00000000" w:rsidP="00000000" w:rsidRDefault="00000000" w:rsidRPr="00000000" w14:paraId="00000090">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91">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6.3.3 Cuándo Reportar?</w:t>
      </w:r>
    </w:p>
    <w:p w:rsidR="00000000" w:rsidDel="00000000" w:rsidP="00000000" w:rsidRDefault="00000000" w:rsidRPr="00000000" w14:paraId="00000092">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debe hacer reporte inmediato a la ocurrencia y/o detección del incidente o evento adverso. </w:t>
      </w:r>
    </w:p>
    <w:p w:rsidR="00000000" w:rsidDel="00000000" w:rsidP="00000000" w:rsidRDefault="00000000" w:rsidRPr="00000000" w14:paraId="00000093">
      <w:pPr>
        <w:spacing w:after="80" w:before="280" w:line="240" w:lineRule="auto"/>
        <w:jc w:val="both"/>
        <w:rPr>
          <w:rFonts w:ascii="Century Gothic" w:cs="Century Gothic" w:eastAsia="Century Gothic" w:hAnsi="Century Gothic"/>
          <w:b w:val="1"/>
        </w:rPr>
      </w:pPr>
      <w:bookmarkStart w:colFirst="0" w:colLast="0" w:name="_heading=h.iys22g3slxg4" w:id="9"/>
      <w:bookmarkEnd w:id="9"/>
      <w:r w:rsidDel="00000000" w:rsidR="00000000" w:rsidRPr="00000000">
        <w:rPr>
          <w:rFonts w:ascii="Century Gothic" w:cs="Century Gothic" w:eastAsia="Century Gothic" w:hAnsi="Century Gothic"/>
          <w:b w:val="1"/>
          <w:rtl w:val="0"/>
        </w:rPr>
        <w:t xml:space="preserve">6.3.4 A Quién Se Reporta?</w:t>
      </w:r>
    </w:p>
    <w:p w:rsidR="00000000" w:rsidDel="00000000" w:rsidP="00000000" w:rsidRDefault="00000000" w:rsidRPr="00000000" w14:paraId="00000094">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primer lugar se debe reportar al referente de seguridad del paciente y/o al área de calidad. </w:t>
      </w:r>
    </w:p>
    <w:p w:rsidR="00000000" w:rsidDel="00000000" w:rsidP="00000000" w:rsidRDefault="00000000" w:rsidRPr="00000000" w14:paraId="00000095">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96">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6.4  Análisis de Incidentes y Eventos Reportados</w:t>
      </w:r>
    </w:p>
    <w:p w:rsidR="00000000" w:rsidDel="00000000" w:rsidP="00000000" w:rsidRDefault="00000000" w:rsidRPr="00000000" w14:paraId="00000097">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el análisis se utilizará el formato “Reporte Interno de Incidentes y Eventos Adversos)”.</w:t>
      </w:r>
    </w:p>
    <w:p w:rsidR="00000000" w:rsidDel="00000000" w:rsidP="00000000" w:rsidRDefault="00000000" w:rsidRPr="00000000" w14:paraId="00000098">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Analizando las acciones inseguras, las barreras de seguridad y los factores contributivos se establecen las acciones correctivas y preventivas estableciendo fechas para cada acción.  Para este análisis se tendrá en cuenta el Protocolo de Londres.</w:t>
      </w:r>
    </w:p>
    <w:p w:rsidR="00000000" w:rsidDel="00000000" w:rsidP="00000000" w:rsidRDefault="00000000" w:rsidRPr="00000000" w14:paraId="00000099">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9A">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6.4.1 Protocolo de Londres</w:t>
      </w:r>
    </w:p>
    <w:p w:rsidR="00000000" w:rsidDel="00000000" w:rsidP="00000000" w:rsidRDefault="00000000" w:rsidRPr="00000000" w14:paraId="0000009B">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política de seguridad del paciente, en Endocrinology &amp; Health tomará como modelo el </w:t>
      </w:r>
      <w:r w:rsidDel="00000000" w:rsidR="00000000" w:rsidRPr="00000000">
        <w:rPr>
          <w:rFonts w:ascii="Century Gothic" w:cs="Century Gothic" w:eastAsia="Century Gothic" w:hAnsi="Century Gothic"/>
          <w:b w:val="1"/>
          <w:rtl w:val="0"/>
        </w:rPr>
        <w:t xml:space="preserve">Protocolo de Londres</w:t>
      </w:r>
      <w:r w:rsidDel="00000000" w:rsidR="00000000" w:rsidRPr="00000000">
        <w:rPr>
          <w:rFonts w:ascii="Century Gothic" w:cs="Century Gothic" w:eastAsia="Century Gothic" w:hAnsi="Century Gothic"/>
          <w:rtl w:val="0"/>
        </w:rPr>
        <w:t xml:space="preserve"> para realizar el análisis causal de los eventos adversos. Su propósito es facilitar la investigación clara y objetiva de los incidentes, hace un análisis detallado de los incidentes y eventos adversos en la atención en salud.</w:t>
      </w:r>
    </w:p>
    <w:p w:rsidR="00000000" w:rsidDel="00000000" w:rsidP="00000000" w:rsidRDefault="00000000" w:rsidRPr="00000000" w14:paraId="0000009C">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Este protocolo cubre el proceso de investigación, análisis y recomendaciones.  Las barreras se diseñan para evitar accidentes o para mitigar las consecuencias de las fallas.  Estas pueden ser de tipo físico, como las barandas; natural, como la distancia; de acción humana, como las listas de verificación; tecnológico, como los códigos de barras; y control administrativo como el entrenamiento y la supervisión.</w:t>
      </w:r>
    </w:p>
    <w:p w:rsidR="00000000" w:rsidDel="00000000" w:rsidP="00000000" w:rsidRDefault="00000000" w:rsidRPr="00000000" w14:paraId="0000009D">
      <w:pPr>
        <w:spacing w:line="269.67272727272723" w:lineRule="auto"/>
        <w:ind w:left="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E">
      <w:pPr>
        <w:spacing w:line="269.67272727272723" w:lineRule="auto"/>
        <w:ind w:left="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F">
      <w:pPr>
        <w:spacing w:line="269.67272727272723" w:lineRule="auto"/>
        <w:ind w:left="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0">
      <w:pPr>
        <w:spacing w:line="301.09090909090907"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Pr>
        <w:drawing>
          <wp:inline distB="114300" distT="114300" distL="114300" distR="114300">
            <wp:extent cx="4065385" cy="2302818"/>
            <wp:effectExtent b="0" l="0" r="0" t="0"/>
            <wp:docPr id="25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65385" cy="230281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Imágen 1. Modelo explicativo del protocolo de Londres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A2">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A3">
      <w:pPr>
        <w:spacing w:line="269.67272727272723" w:lineRule="auto"/>
        <w:ind w:left="20" w:firstLine="0"/>
        <w:jc w:val="both"/>
        <w:rPr>
          <w:rFonts w:ascii="Century Gothic" w:cs="Century Gothic" w:eastAsia="Century Gothic" w:hAnsi="Century Gothic"/>
          <w:b w:val="1"/>
          <w:i w:val="1"/>
          <w:u w:val="single"/>
        </w:rPr>
      </w:pPr>
      <w:r w:rsidDel="00000000" w:rsidR="00000000" w:rsidRPr="00000000">
        <w:rPr>
          <w:rFonts w:ascii="Century Gothic" w:cs="Century Gothic" w:eastAsia="Century Gothic" w:hAnsi="Century Gothic"/>
          <w:b w:val="1"/>
          <w:i w:val="1"/>
          <w:u w:val="single"/>
          <w:rtl w:val="0"/>
        </w:rPr>
        <w:t xml:space="preserve">Primer Paso</w:t>
      </w:r>
    </w:p>
    <w:p w:rsidR="00000000" w:rsidDel="00000000" w:rsidP="00000000" w:rsidRDefault="00000000" w:rsidRPr="00000000" w14:paraId="000000A4">
      <w:pPr>
        <w:spacing w:after="80" w:before="280" w:line="240" w:lineRule="auto"/>
        <w:jc w:val="both"/>
        <w:rPr>
          <w:rFonts w:ascii="Century Gothic" w:cs="Century Gothic" w:eastAsia="Century Gothic" w:hAnsi="Century Gothic"/>
          <w:b w:val="1"/>
        </w:rPr>
      </w:pPr>
      <w:bookmarkStart w:colFirst="0" w:colLast="0" w:name="_heading=h.92y1garqunca" w:id="10"/>
      <w:bookmarkEnd w:id="10"/>
      <w:r w:rsidDel="00000000" w:rsidR="00000000" w:rsidRPr="00000000">
        <w:rPr>
          <w:rFonts w:ascii="Century Gothic" w:cs="Century Gothic" w:eastAsia="Century Gothic" w:hAnsi="Century Gothic"/>
          <w:b w:val="1"/>
          <w:rtl w:val="0"/>
        </w:rPr>
        <w:t xml:space="preserve">Acciones Inseguras o Fallas Activas </w:t>
      </w:r>
    </w:p>
    <w:p w:rsidR="00000000" w:rsidDel="00000000" w:rsidP="00000000" w:rsidRDefault="00000000" w:rsidRPr="00000000" w14:paraId="000000A5">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A6">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primera actividad del proceso de análisis es siempre la identificación de las acciones inseguras en que incurrieron las personas que tienen a su cargo ejecutar la tarea (El profesional, auxiliar de recepción, etc.).  Las acciones inseguras son acciones u omisiones que tienen al menos el potencial de causar un accidente o evento adverso. En la práctica diaria las fallas activas –acciones u omisiones- que ocurren durante la atención de pacientes, son debidas a olvidos (no recordar que debe realizarse un procedimiento), descuidos (tomar la jeringa o insumo equivocada), equivocaciones (errores de juicio) y rara vez, desviaciones deliberadas de prácticas seguras, procedimientos y estándares explícitos. </w:t>
      </w:r>
    </w:p>
    <w:p w:rsidR="00000000" w:rsidDel="00000000" w:rsidP="00000000" w:rsidRDefault="00000000" w:rsidRPr="00000000" w14:paraId="000000A7">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A8">
      <w:pPr>
        <w:spacing w:after="80" w:before="280" w:line="240" w:lineRule="auto"/>
        <w:jc w:val="both"/>
        <w:rPr>
          <w:rFonts w:ascii="Century Gothic" w:cs="Century Gothic" w:eastAsia="Century Gothic" w:hAnsi="Century Gothic"/>
          <w:b w:val="1"/>
        </w:rPr>
      </w:pPr>
      <w:bookmarkStart w:colFirst="0" w:colLast="0" w:name="_heading=h.5cu0se58adnp" w:id="11"/>
      <w:bookmarkEnd w:id="11"/>
      <w:r w:rsidDel="00000000" w:rsidR="00000000" w:rsidRPr="00000000">
        <w:rPr>
          <w:rFonts w:ascii="Century Gothic" w:cs="Century Gothic" w:eastAsia="Century Gothic" w:hAnsi="Century Gothic"/>
          <w:b w:val="1"/>
          <w:rtl w:val="0"/>
        </w:rPr>
        <w:t xml:space="preserve">Fallas Latentes </w:t>
      </w:r>
    </w:p>
    <w:p w:rsidR="00000000" w:rsidDel="00000000" w:rsidP="00000000" w:rsidRDefault="00000000" w:rsidRPr="00000000" w14:paraId="000000A9">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AA">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Las fallas latentes se consideran las que hacen parte de la organización y cultura administrativa, como son políticas inadecuadas, diseños en la infraestructura, asignación de recursos, falta de entrenamiento. </w:t>
      </w:r>
    </w:p>
    <w:p w:rsidR="00000000" w:rsidDel="00000000" w:rsidP="00000000" w:rsidRDefault="00000000" w:rsidRPr="00000000" w14:paraId="000000AB">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AC">
      <w:pPr>
        <w:spacing w:line="269.67272727272723" w:lineRule="auto"/>
        <w:ind w:left="20" w:firstLine="0"/>
        <w:jc w:val="both"/>
        <w:rPr>
          <w:rFonts w:ascii="Century Gothic" w:cs="Century Gothic" w:eastAsia="Century Gothic" w:hAnsi="Century Gothic"/>
          <w:b w:val="1"/>
          <w:i w:val="1"/>
          <w:u w:val="single"/>
        </w:rPr>
      </w:pPr>
      <w:r w:rsidDel="00000000" w:rsidR="00000000" w:rsidRPr="00000000">
        <w:rPr>
          <w:rFonts w:ascii="Century Gothic" w:cs="Century Gothic" w:eastAsia="Century Gothic" w:hAnsi="Century Gothic"/>
          <w:b w:val="1"/>
          <w:i w:val="1"/>
          <w:u w:val="single"/>
          <w:rtl w:val="0"/>
        </w:rPr>
        <w:t xml:space="preserve">Segundo Paso</w:t>
      </w:r>
    </w:p>
    <w:p w:rsidR="00000000" w:rsidDel="00000000" w:rsidP="00000000" w:rsidRDefault="00000000" w:rsidRPr="00000000" w14:paraId="000000AD">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paso siguiente es considerar el contexto general y las circunstancias en que se cometieron los errores, las cuales son conocidas como factores contributivos. Estas son condiciones que predisponen a ejecutar acciones inseguras. </w:t>
      </w:r>
    </w:p>
    <w:p w:rsidR="00000000" w:rsidDel="00000000" w:rsidP="00000000" w:rsidRDefault="00000000" w:rsidRPr="00000000" w14:paraId="000000AE">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Todos estos factores son condiciones que pueden afectar el desempeño de las personas, precipitar errores y afectar los resultados para el paciente.</w:t>
      </w:r>
    </w:p>
    <w:p w:rsidR="00000000" w:rsidDel="00000000" w:rsidP="00000000" w:rsidRDefault="00000000" w:rsidRPr="00000000" w14:paraId="000000AF">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sdt>
      <w:sdtPr>
        <w:lock w:val="contentLocked"/>
        <w:id w:val="-607822508"/>
        <w:tag w:val="goog_rdk_0"/>
      </w:sdtPr>
      <w:sdtContent>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6.5536038764385"/>
            <w:gridCol w:w="6638.958207147184"/>
            <w:tblGridChange w:id="0">
              <w:tblGrid>
                <w:gridCol w:w="2386.5536038764385"/>
                <w:gridCol w:w="6638.958207147184"/>
              </w:tblGrid>
            </w:tblGridChange>
          </w:tblGrid>
          <w:tr>
            <w:trPr>
              <w:cantSplit w:val="0"/>
              <w:trHeight w:val="515" w:hRule="atLeast"/>
              <w:tblHeader w:val="0"/>
            </w:trPr>
            <w:tc>
              <w:tcPr>
                <w:tcBorders>
                  <w:top w:color="000000" w:space="0" w:sz="8" w:val="single"/>
                  <w:left w:color="000000" w:space="0" w:sz="8" w:val="single"/>
                  <w:bottom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0">
                <w:pPr>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1">
                <w:pPr>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CLASIFICACIÓN DE LOS FACTORES CONTRIBUTIVOS</w:t>
                </w:r>
              </w:p>
            </w:tc>
          </w:tr>
          <w:tr>
            <w:trPr>
              <w:cantSplit w:val="0"/>
              <w:trHeight w:val="51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Origen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Factor contributivo </w:t>
                </w:r>
              </w:p>
            </w:tc>
          </w:tr>
          <w:tr>
            <w:trPr>
              <w:cantSplit w:val="0"/>
              <w:trHeight w:val="800" w:hRule="atLeast"/>
              <w:tblHeader w:val="0"/>
            </w:trPr>
            <w:tc>
              <w:tcPr>
                <w:vMerge w:val="restart"/>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Paciente </w:t>
                </w:r>
              </w:p>
            </w:tc>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Complejidad, gravedad, edad, obesidad, Estado nutricional Lenguaje, comunicación, </w:t>
                </w:r>
              </w:p>
            </w:tc>
          </w:tr>
          <w:tr>
            <w:trPr>
              <w:cantSplit w:val="0"/>
              <w:trHeight w:val="515" w:hRule="atLeast"/>
              <w:tblHeader w:val="0"/>
            </w:trPr>
            <w:tc>
              <w:tcPr>
                <w:vMerge w:val="continue"/>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Personalidad, cultura, etnia, religión.</w:t>
                </w:r>
              </w:p>
            </w:tc>
          </w:tr>
          <w:tr>
            <w:trPr>
              <w:cantSplit w:val="0"/>
              <w:trHeight w:val="111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Tarea y Tecnología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Diseño de la tarea, claridad de la tarea, disponibilidad y uso de protocolos, guía de manejo, disponibilidad de las pruebas diagnósticas, ayudas para la toma de decisiones. </w:t>
                </w:r>
              </w:p>
            </w:tc>
          </w:tr>
          <w:tr>
            <w:trPr>
              <w:cantSplit w:val="0"/>
              <w:trHeight w:val="102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Individuo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Conocimiento, habilidad, competencia, conocimiento, experiencia, pericia, cansancio, sueño y salud, tanto física como mental.</w:t>
                </w:r>
              </w:p>
            </w:tc>
          </w:tr>
          <w:tr>
            <w:trPr>
              <w:cantSplit w:val="0"/>
              <w:trHeight w:val="141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Equipo de trabajo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Comunicación verbal y escrita, (legibilidad y suficiencia de las notas), supervisión y disponibilidad de soporte, estructura del equipo, coordinación y comunicación, clima laboral, relaciones interpersonales, clima organizacional.</w:t>
                </w:r>
              </w:p>
            </w:tc>
          </w:tr>
          <w:tr>
            <w:trPr>
              <w:cantSplit w:val="0"/>
              <w:trHeight w:val="111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Ambiente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Personal suficiente, mezcla de habilidades, carga de trabajo, número de turnos, diseño y mantenimiento de equipos, soporte administrativo y gerencial, luz, espacio, ruido.</w:t>
                </w:r>
              </w:p>
            </w:tc>
          </w:tr>
          <w:tr>
            <w:trPr>
              <w:cantSplit w:val="0"/>
              <w:trHeight w:val="1025" w:hRule="atLeast"/>
              <w:tblHeader w:val="0"/>
            </w:trPr>
            <w:tc>
              <w:tcPr>
                <w:vMerge w:val="restart"/>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Organización y gerencia </w:t>
                </w:r>
              </w:p>
            </w:tc>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Recursos y limitaciones financieras, estructura organizacional, políticas, estándares y metas, prioridades y cultura organizacional, </w:t>
                </w:r>
              </w:p>
            </w:tc>
          </w:tr>
          <w:tr>
            <w:trPr>
              <w:cantSplit w:val="0"/>
              <w:trHeight w:val="5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políticas relacionadas con uso de personal temporal </w:t>
                </w:r>
              </w:p>
            </w:tc>
          </w:tr>
          <w:tr>
            <w:trPr>
              <w:cantSplit w:val="0"/>
              <w:trHeight w:val="815"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 flotante, educación continua, entrenamiento y supervisión y disponibilidad de equipos y suministros.</w:t>
                </w:r>
              </w:p>
            </w:tc>
          </w:tr>
          <w:tr>
            <w:trPr>
              <w:cantSplit w:val="0"/>
              <w:trHeight w:val="75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Contexto Institucional</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Económicos y regulatorios, Contactos externos.</w:t>
                </w:r>
              </w:p>
            </w:tc>
          </w:tr>
        </w:tbl>
      </w:sdtContent>
    </w:sdt>
    <w:p w:rsidR="00000000" w:rsidDel="00000000" w:rsidP="00000000" w:rsidRDefault="00000000" w:rsidRPr="00000000" w14:paraId="000000C8">
      <w:pPr>
        <w:spacing w:line="269.67272727272723" w:lineRule="auto"/>
        <w:ind w:left="20" w:firstLine="0"/>
        <w:jc w:val="both"/>
        <w:rPr>
          <w:rFonts w:ascii="Century Gothic" w:cs="Century Gothic" w:eastAsia="Century Gothic" w:hAnsi="Century Gothic"/>
          <w:b w:val="1"/>
          <w:i w:val="1"/>
          <w:u w:val="single"/>
        </w:rPr>
      </w:pPr>
      <w:r w:rsidDel="00000000" w:rsidR="00000000" w:rsidRPr="00000000">
        <w:rPr>
          <w:rtl w:val="0"/>
        </w:rPr>
      </w:r>
    </w:p>
    <w:p w:rsidR="00000000" w:rsidDel="00000000" w:rsidP="00000000" w:rsidRDefault="00000000" w:rsidRPr="00000000" w14:paraId="000000C9">
      <w:pPr>
        <w:spacing w:line="269.67272727272723" w:lineRule="auto"/>
        <w:ind w:left="20" w:firstLine="0"/>
        <w:jc w:val="both"/>
        <w:rPr>
          <w:rFonts w:ascii="Century Gothic" w:cs="Century Gothic" w:eastAsia="Century Gothic" w:hAnsi="Century Gothic"/>
          <w:b w:val="1"/>
          <w:i w:val="1"/>
          <w:u w:val="single"/>
        </w:rPr>
      </w:pPr>
      <w:r w:rsidDel="00000000" w:rsidR="00000000" w:rsidRPr="00000000">
        <w:rPr>
          <w:rFonts w:ascii="Century Gothic" w:cs="Century Gothic" w:eastAsia="Century Gothic" w:hAnsi="Century Gothic"/>
          <w:b w:val="1"/>
          <w:i w:val="1"/>
          <w:u w:val="single"/>
          <w:rtl w:val="0"/>
        </w:rPr>
        <w:t xml:space="preserve">Tercer Paso</w:t>
      </w:r>
    </w:p>
    <w:p w:rsidR="00000000" w:rsidDel="00000000" w:rsidP="00000000" w:rsidRDefault="00000000" w:rsidRPr="00000000" w14:paraId="000000CA">
      <w:pPr>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Diligenciamiento Planes de Mejora  del Incidente y Evento Adverso.</w:t>
      </w:r>
    </w:p>
    <w:p w:rsidR="00000000" w:rsidDel="00000000" w:rsidP="00000000" w:rsidRDefault="00000000" w:rsidRPr="00000000" w14:paraId="000000CB">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CC">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“Gestión de Incidentes y Eventos Adversos”, se estableció el espacio para realizar el análisis y plan de mejoramiento del incidente y el evento adverso.  Para ello se tienen en cuenta las fallas latentes identificadas en la hoja 1 diligenciada por la persona que reporta.  Una vez revisada la información reportada se identifican las barreras de seguridad las cuales se han violado y seguidamente los factores contributivos que se han detectado como causa del incidente y evento adverso.  Finalmente se encuentra un campo para escribir la causa fundamental. De ahí se debe derivar un plan de mejoramiento el cual se debe verificar. </w:t>
      </w:r>
    </w:p>
    <w:p w:rsidR="00000000" w:rsidDel="00000000" w:rsidP="00000000" w:rsidRDefault="00000000" w:rsidRPr="00000000" w14:paraId="000000CD">
      <w:pPr>
        <w:spacing w:line="301.09090909090907"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CE">
      <w:pPr>
        <w:spacing w:line="269.67272727272723" w:lineRule="auto"/>
        <w:ind w:left="20" w:firstLine="0"/>
        <w:jc w:val="both"/>
        <w:rPr>
          <w:rFonts w:ascii="Century Gothic" w:cs="Century Gothic" w:eastAsia="Century Gothic" w:hAnsi="Century Gothic"/>
          <w:b w:val="1"/>
          <w:i w:val="1"/>
          <w:u w:val="single"/>
        </w:rPr>
      </w:pPr>
      <w:r w:rsidDel="00000000" w:rsidR="00000000" w:rsidRPr="00000000">
        <w:rPr>
          <w:rFonts w:ascii="Century Gothic" w:cs="Century Gothic" w:eastAsia="Century Gothic" w:hAnsi="Century Gothic"/>
          <w:b w:val="1"/>
          <w:i w:val="1"/>
          <w:u w:val="single"/>
          <w:rtl w:val="0"/>
        </w:rPr>
        <w:t xml:space="preserve">Cuarto Paso</w:t>
      </w:r>
    </w:p>
    <w:p w:rsidR="00000000" w:rsidDel="00000000" w:rsidP="00000000" w:rsidRDefault="00000000" w:rsidRPr="00000000" w14:paraId="000000CF">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Definir un plan para documentar y socializar el aprendizaje al personal que labora en la IPS. </w:t>
      </w:r>
    </w:p>
    <w:p w:rsidR="00000000" w:rsidDel="00000000" w:rsidP="00000000" w:rsidRDefault="00000000" w:rsidRPr="00000000" w14:paraId="000000D0">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0D1">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6.5 Secuencia Para Seguir La Investigación de un Incidente </w:t>
      </w:r>
    </w:p>
    <w:p w:rsidR="00000000" w:rsidDel="00000000" w:rsidP="00000000" w:rsidRDefault="00000000" w:rsidRPr="00000000" w14:paraId="000000D2">
      <w:pPr>
        <w:numPr>
          <w:ilvl w:val="0"/>
          <w:numId w:val="5"/>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Identificación del incidente, a través del reporte voluntario. </w:t>
      </w:r>
    </w:p>
    <w:p w:rsidR="00000000" w:rsidDel="00000000" w:rsidP="00000000" w:rsidRDefault="00000000" w:rsidRPr="00000000" w14:paraId="000000D3">
      <w:pPr>
        <w:numPr>
          <w:ilvl w:val="0"/>
          <w:numId w:val="5"/>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Comunicación al comité de seguridad del paciente.</w:t>
      </w:r>
    </w:p>
    <w:p w:rsidR="00000000" w:rsidDel="00000000" w:rsidP="00000000" w:rsidRDefault="00000000" w:rsidRPr="00000000" w14:paraId="000000D4">
      <w:pPr>
        <w:numPr>
          <w:ilvl w:val="0"/>
          <w:numId w:val="5"/>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Obtención y organización de la información.</w:t>
      </w:r>
    </w:p>
    <w:p w:rsidR="00000000" w:rsidDel="00000000" w:rsidP="00000000" w:rsidRDefault="00000000" w:rsidRPr="00000000" w14:paraId="000000D5">
      <w:pPr>
        <w:numPr>
          <w:ilvl w:val="0"/>
          <w:numId w:val="5"/>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Establecer cronología del incidente o evento.</w:t>
      </w:r>
    </w:p>
    <w:p w:rsidR="00000000" w:rsidDel="00000000" w:rsidP="00000000" w:rsidRDefault="00000000" w:rsidRPr="00000000" w14:paraId="000000D6">
      <w:pPr>
        <w:numPr>
          <w:ilvl w:val="0"/>
          <w:numId w:val="5"/>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Identificación de las acciones inseguras o fallas activas. </w:t>
      </w:r>
    </w:p>
    <w:p w:rsidR="00000000" w:rsidDel="00000000" w:rsidP="00000000" w:rsidRDefault="00000000" w:rsidRPr="00000000" w14:paraId="000000D7">
      <w:pPr>
        <w:numPr>
          <w:ilvl w:val="0"/>
          <w:numId w:val="5"/>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Identificación de las fallas latentes.</w:t>
      </w:r>
    </w:p>
    <w:p w:rsidR="00000000" w:rsidDel="00000000" w:rsidP="00000000" w:rsidRDefault="00000000" w:rsidRPr="00000000" w14:paraId="000000D8">
      <w:pPr>
        <w:numPr>
          <w:ilvl w:val="0"/>
          <w:numId w:val="5"/>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Identificación de los factores contributivos.</w:t>
      </w:r>
    </w:p>
    <w:p w:rsidR="00000000" w:rsidDel="00000000" w:rsidP="00000000" w:rsidRDefault="00000000" w:rsidRPr="00000000" w14:paraId="000000D9">
      <w:pPr>
        <w:numPr>
          <w:ilvl w:val="0"/>
          <w:numId w:val="5"/>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Plan de acción. </w:t>
      </w:r>
    </w:p>
    <w:p w:rsidR="00000000" w:rsidDel="00000000" w:rsidP="00000000" w:rsidRDefault="00000000" w:rsidRPr="00000000" w14:paraId="000000DA">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DB">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obtención y organización de la información se debe tomar de herramientas como la Historia clínica, protocolos y procedimientos relacionados con el incidente, declaraciones y observaciones inmediatas, entrevistas con los involucrados, evidencia física, por ejemplo (planos del piso, hojas de vida de los equipos involucrados).</w:t>
      </w:r>
    </w:p>
    <w:p w:rsidR="00000000" w:rsidDel="00000000" w:rsidP="00000000" w:rsidRDefault="00000000" w:rsidRPr="00000000" w14:paraId="000000DC">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DD">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deben realizar estos ocho pasos, para una buena gestión del evento adverso, finalmente se realizarán las recomendaciones y plan de acción cuyo propósito es mejorar las debilidades identificadas. </w:t>
      </w:r>
    </w:p>
    <w:p w:rsidR="00000000" w:rsidDel="00000000" w:rsidP="00000000" w:rsidRDefault="00000000" w:rsidRPr="00000000" w14:paraId="000000DE">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DF">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plan de acción debe incluir la siguiente información: </w:t>
      </w:r>
    </w:p>
    <w:p w:rsidR="00000000" w:rsidDel="00000000" w:rsidP="00000000" w:rsidRDefault="00000000" w:rsidRPr="00000000" w14:paraId="000000E0">
      <w:pPr>
        <w:spacing w:line="301.09090909090907"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E1">
      <w:pPr>
        <w:numPr>
          <w:ilvl w:val="0"/>
          <w:numId w:val="4"/>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Identificar la causa que origina el incidente y el evento adverso claramente.</w:t>
      </w:r>
    </w:p>
    <w:p w:rsidR="00000000" w:rsidDel="00000000" w:rsidP="00000000" w:rsidRDefault="00000000" w:rsidRPr="00000000" w14:paraId="000000E2">
      <w:pPr>
        <w:numPr>
          <w:ilvl w:val="0"/>
          <w:numId w:val="4"/>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Definir de acuerdo al protocolo de Londres los mejoramientos a realizar. Priorización sobre los factores contributivos de acuerdo con su impacto sobre la seguridad futura de los pacientes. Es decir, la política de seguridad del paciente, realizará un plan de mejoramiento sobre los factores contributivos, no sobre las fallas activas. </w:t>
      </w:r>
    </w:p>
    <w:p w:rsidR="00000000" w:rsidDel="00000000" w:rsidP="00000000" w:rsidRDefault="00000000" w:rsidRPr="00000000" w14:paraId="000000E3">
      <w:pPr>
        <w:numPr>
          <w:ilvl w:val="0"/>
          <w:numId w:val="4"/>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Asignar un responsable de implementar las acciones. </w:t>
      </w:r>
    </w:p>
    <w:p w:rsidR="00000000" w:rsidDel="00000000" w:rsidP="00000000" w:rsidRDefault="00000000" w:rsidRPr="00000000" w14:paraId="000000E4">
      <w:pPr>
        <w:numPr>
          <w:ilvl w:val="0"/>
          <w:numId w:val="4"/>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Definir el tiempo de implementación de las acciones. </w:t>
      </w:r>
    </w:p>
    <w:p w:rsidR="00000000" w:rsidDel="00000000" w:rsidP="00000000" w:rsidRDefault="00000000" w:rsidRPr="00000000" w14:paraId="000000E5">
      <w:pPr>
        <w:numPr>
          <w:ilvl w:val="0"/>
          <w:numId w:val="4"/>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Hacer seguimiento a la ejecución del plan. </w:t>
      </w:r>
    </w:p>
    <w:p w:rsidR="00000000" w:rsidDel="00000000" w:rsidP="00000000" w:rsidRDefault="00000000" w:rsidRPr="00000000" w14:paraId="000000E6">
      <w:pPr>
        <w:numPr>
          <w:ilvl w:val="0"/>
          <w:numId w:val="4"/>
        </w:numPr>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Fijar fecha de seguimiento para evaluar la efectividad del plan de acción. </w:t>
      </w:r>
    </w:p>
    <w:p w:rsidR="00000000" w:rsidDel="00000000" w:rsidP="00000000" w:rsidRDefault="00000000" w:rsidRPr="00000000" w14:paraId="000000E7">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E8">
      <w:pPr>
        <w:spacing w:after="240" w:before="120" w:lineRule="auto"/>
        <w:ind w:left="720" w:hanging="360"/>
        <w:jc w:val="both"/>
        <w:rPr>
          <w:rFonts w:ascii="Century Gothic" w:cs="Century Gothic" w:eastAsia="Century Gothic" w:hAnsi="Century Gothic"/>
          <w:b w:val="1"/>
        </w:rPr>
      </w:pPr>
      <w:bookmarkStart w:colFirst="0" w:colLast="0" w:name="_heading=h.b0qd5hiynzb6" w:id="12"/>
      <w:bookmarkEnd w:id="12"/>
      <w:r w:rsidDel="00000000" w:rsidR="00000000" w:rsidRPr="00000000">
        <w:rPr>
          <w:rFonts w:ascii="Century Gothic" w:cs="Century Gothic" w:eastAsia="Century Gothic" w:hAnsi="Century Gothic"/>
          <w:b w:val="1"/>
          <w:rtl w:val="0"/>
        </w:rPr>
        <w:t xml:space="preserve"> DIAGRAMA DE FLUJO</w:t>
      </w:r>
    </w:p>
    <w:sdt>
      <w:sdtPr>
        <w:lock w:val="contentLocked"/>
        <w:id w:val="1138750810"/>
        <w:tag w:val="goog_rdk_13"/>
      </w:sdtPr>
      <w:sdtContent>
        <w:tbl>
          <w:tblPr>
            <w:tblStyle w:val="Table2"/>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15"/>
            <w:gridCol w:w="2445"/>
            <w:gridCol w:w="3855"/>
            <w:tblGridChange w:id="0">
              <w:tblGrid>
                <w:gridCol w:w="2715"/>
                <w:gridCol w:w="2445"/>
                <w:gridCol w:w="3855"/>
              </w:tblGrid>
            </w:tblGridChange>
          </w:tblGrid>
          <w:tr>
            <w:trPr>
              <w:cantSplit w:val="0"/>
              <w:trHeight w:val="710" w:hRule="atLeast"/>
              <w:tblHeader w:val="0"/>
            </w:trPr>
            <w:tc>
              <w:tcPr>
                <w:gridSpan w:val="3"/>
                <w:tcBorders>
                  <w:top w:color="4f81bd" w:space="0" w:sz="12" w:val="single"/>
                  <w:left w:color="4f81bd" w:space="0" w:sz="12" w:val="single"/>
                  <w:bottom w:color="4f81bd" w:space="0" w:sz="12" w:val="single"/>
                  <w:right w:color="4f81bd" w:space="0" w:sz="12" w:val="single"/>
                </w:tcBorders>
                <w:shd w:fill="4f81bd" w:val="clear"/>
                <w:tcMar>
                  <w:top w:w="100.0" w:type="dxa"/>
                  <w:left w:w="100.0" w:type="dxa"/>
                  <w:bottom w:w="100.0" w:type="dxa"/>
                  <w:right w:w="100.0" w:type="dxa"/>
                </w:tcMar>
                <w:vAlign w:val="top"/>
              </w:tcPr>
              <w:p w:rsidR="00000000" w:rsidDel="00000000" w:rsidP="00000000" w:rsidRDefault="00000000" w:rsidRPr="00000000" w14:paraId="000000E9">
                <w:pPr>
                  <w:spacing w:line="269.67272727272723" w:lineRule="auto"/>
                  <w:ind w:left="-80" w:firstLine="0"/>
                  <w:jc w:val="both"/>
                  <w:rPr>
                    <w:rFonts w:ascii="Century Gothic" w:cs="Century Gothic" w:eastAsia="Century Gothic" w:hAnsi="Century Gothic"/>
                    <w:b w:val="1"/>
                    <w:color w:val="ffffff"/>
                  </w:rPr>
                </w:pPr>
                <w:r w:rsidDel="00000000" w:rsidR="00000000" w:rsidRPr="00000000">
                  <w:rPr>
                    <w:rFonts w:ascii="Century Gothic" w:cs="Century Gothic" w:eastAsia="Century Gothic" w:hAnsi="Century Gothic"/>
                    <w:b w:val="1"/>
                    <w:color w:val="ffffff"/>
                    <w:rtl w:val="0"/>
                  </w:rPr>
                  <w:t xml:space="preserve">TABLA 1.  DIAGRAMA DE FLUJO PARA EL REPORTE Y ANÁLISIS DE INCIDENTE O EVENTO ADVERSO</w:t>
                </w:r>
              </w:p>
            </w:tc>
          </w:tr>
          <w:tr>
            <w:trPr>
              <w:cantSplit w:val="0"/>
              <w:trHeight w:val="470" w:hRule="atLeast"/>
              <w:tblHeader w:val="0"/>
            </w:trPr>
            <w:tc>
              <w:tcPr>
                <w:tcBorders>
                  <w:left w:color="4f81bd" w:space="0" w:sz="12" w:val="single"/>
                  <w:bottom w:color="4f81bd" w:space="0" w:sz="12" w:val="single"/>
                  <w:right w:color="4f81bd"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EC">
                <w:pPr>
                  <w:spacing w:line="269.67272727272723" w:lineRule="auto"/>
                  <w:ind w:left="-8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ACTIVIDAD</w:t>
                </w:r>
              </w:p>
            </w:tc>
            <w:tc>
              <w:tcPr>
                <w:tcBorders>
                  <w:bottom w:color="4f81bd" w:space="0" w:sz="12" w:val="single"/>
                  <w:right w:color="4f81bd"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ED">
                <w:pPr>
                  <w:spacing w:line="269.67272727272723" w:lineRule="auto"/>
                  <w:ind w:left="-8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RESPONSABLE</w:t>
                </w:r>
              </w:p>
            </w:tc>
            <w:tc>
              <w:tcPr>
                <w:tcBorders>
                  <w:bottom w:color="4f81bd" w:space="0" w:sz="12" w:val="single"/>
                  <w:right w:color="4f81bd"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EE">
                <w:pPr>
                  <w:spacing w:line="269.67272727272723" w:lineRule="auto"/>
                  <w:ind w:left="-8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INSTRUCCIÓN</w:t>
                </w:r>
              </w:p>
            </w:tc>
          </w:tr>
          <w:tr>
            <w:trPr>
              <w:cantSplit w:val="0"/>
              <w:trHeight w:val="4010" w:hRule="atLeast"/>
              <w:tblHeader w:val="0"/>
            </w:trPr>
            <w:tc>
              <w:tcPr>
                <w:tcBorders>
                  <w:left w:color="4f81bd" w:space="0" w:sz="12" w:val="single"/>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0">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1">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2">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3">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4">
                <w:pPr>
                  <w:spacing w:line="240" w:lineRule="auto"/>
                  <w:ind w:left="-100" w:firstLine="0"/>
                  <w:jc w:val="both"/>
                  <w:rPr>
                    <w:rFonts w:ascii="Century Gothic" w:cs="Century Gothic" w:eastAsia="Century Gothic" w:hAnsi="Century Gothic"/>
                  </w:rPr>
                </w:pPr>
                <w:r w:rsidDel="00000000" w:rsidR="00000000" w:rsidRPr="00000000">
                  <w:rPr>
                    <w:rtl w:val="0"/>
                  </w:rPr>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Personal administrativo o de salud</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numPr>
                    <w:ilvl w:val="0"/>
                    <w:numId w:val="8"/>
                  </w:numPr>
                  <w:ind w:left="425.1968503937004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Identificar el incidente o evento adverso</w:t>
                </w:r>
                <w:r w:rsidDel="00000000" w:rsidR="00000000" w:rsidRPr="00000000">
                  <w:rPr>
                    <w:rtl w:val="0"/>
                  </w:rPr>
                </w:r>
              </w:p>
              <w:p w:rsidR="00000000" w:rsidDel="00000000" w:rsidP="00000000" w:rsidRDefault="00000000" w:rsidRPr="00000000" w14:paraId="000000F7">
                <w:pPr>
                  <w:numPr>
                    <w:ilvl w:val="0"/>
                    <w:numId w:val="8"/>
                  </w:numPr>
                  <w:ind w:left="425.1968503937004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Diligenciar completamente la hoja No. 1 del Formato de “Reporte Interno de Incidentes y eventos Adversos:  de acuerdo con el instructivo para el diligenciamiento del formato </w:t>
                </w:r>
                <w:hyperlink r:id="rId11">
                  <w:r w:rsidDel="00000000" w:rsidR="00000000" w:rsidRPr="00000000">
                    <w:rPr>
                      <w:rFonts w:ascii="Century Gothic" w:cs="Century Gothic" w:eastAsia="Century Gothic" w:hAnsi="Century Gothic"/>
                      <w:color w:val="0000ee"/>
                      <w:u w:val="single"/>
                      <w:rtl w:val="0"/>
                    </w:rPr>
                    <w:t xml:space="preserve">PP-FR-004 FORMATO DE TRAZABILIDAD Y ANALISIS DE EVENTOS ADVERSOS.xlsx</w:t>
                  </w:r>
                </w:hyperlink>
                <w:r w:rsidDel="00000000" w:rsidR="00000000" w:rsidRPr="00000000">
                  <w:rPr>
                    <w:rFonts w:ascii="Century Gothic" w:cs="Century Gothic" w:eastAsia="Century Gothic" w:hAnsi="Century Gothic"/>
                    <w:rtl w:val="0"/>
                  </w:rPr>
                  <w:t xml:space="preserve"> </w:t>
                </w:r>
                <w:r w:rsidDel="00000000" w:rsidR="00000000" w:rsidRPr="00000000">
                  <w:rPr>
                    <w:rtl w:val="0"/>
                  </w:rPr>
                </w:r>
              </w:p>
              <w:p w:rsidR="00000000" w:rsidDel="00000000" w:rsidP="00000000" w:rsidRDefault="00000000" w:rsidRPr="00000000" w14:paraId="000000F8">
                <w:pPr>
                  <w:numPr>
                    <w:ilvl w:val="0"/>
                    <w:numId w:val="8"/>
                  </w:numPr>
                  <w:ind w:left="425.1968503937004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Enviar por correo electrónico el reporte del evento al referente de calidad.</w:t>
                </w:r>
                <w:r w:rsidDel="00000000" w:rsidR="00000000" w:rsidRPr="00000000">
                  <w:rPr>
                    <w:rtl w:val="0"/>
                  </w:rPr>
                </w:r>
              </w:p>
            </w:tc>
          </w:tr>
          <w:tr>
            <w:trPr>
              <w:cantSplit w:val="0"/>
              <w:trHeight w:val="1520" w:hRule="atLeast"/>
              <w:tblHeader w:val="0"/>
            </w:trPr>
            <w:tc>
              <w:tcPr>
                <w:tcBorders>
                  <w:left w:color="4f81bd" w:space="0" w:sz="12" w:val="single"/>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jc w:val="both"/>
                  <w:rPr>
                    <w:rFonts w:ascii="Century Gothic" w:cs="Century Gothic" w:eastAsia="Century Gothic" w:hAnsi="Century Gothic"/>
                  </w:rPr>
                </w:pPr>
                <w:r w:rsidDel="00000000" w:rsidR="00000000" w:rsidRPr="00000000">
                  <w:rPr>
                    <w:rtl w:val="0"/>
                  </w:rPr>
                </w:r>
              </w:p>
              <w:sdt>
                <w:sdtPr>
                  <w:lock w:val="contentLocked"/>
                  <w:id w:val="71324321"/>
                  <w:tag w:val="goog_rdk_2"/>
                </w:sdtPr>
                <w:sdtContent>
                  <w:tbl>
                    <w:tblPr>
                      <w:tblStyle w:val="Table3"/>
                      <w:tblW w:w="2450.0" w:type="dxa"/>
                      <w:jc w:val="left"/>
                      <w:tblLayout w:type="fixed"/>
                      <w:tblLook w:val="0600"/>
                    </w:tblPr>
                    <w:tblGrid>
                      <w:gridCol w:w="2450"/>
                      <w:tblGridChange w:id="0">
                        <w:tblGrid>
                          <w:gridCol w:w="2450"/>
                        </w:tblGrid>
                      </w:tblGridChange>
                    </w:tblGrid>
                    <w:tr>
                      <w:trPr>
                        <w:cantSplit w:val="0"/>
                        <w:trHeight w:val="755" w:hRule="atLeast"/>
                        <w:tblHeader w:val="0"/>
                      </w:trPr>
                      <w:tc>
                        <w:tcPr>
                          <w:tcBorders>
                            <w:top w:color="4f81bd" w:space="0" w:sz="12" w:val="single"/>
                            <w:left w:color="4f81bd" w:space="0" w:sz="12" w:val="single"/>
                            <w:bottom w:color="4f81bd" w:space="0" w:sz="12" w:val="single"/>
                            <w:right w:color="4f81bd"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jc w:val="both"/>
                            <w:rPr>
                              <w:rFonts w:ascii="Century Gothic" w:cs="Century Gothic" w:eastAsia="Century Gothic" w:hAnsi="Century Gothic"/>
                            </w:rPr>
                          </w:pPr>
                          <w:r w:rsidDel="00000000" w:rsidR="00000000" w:rsidRPr="00000000">
                            <w:rPr>
                              <w:rtl w:val="0"/>
                            </w:rPr>
                          </w:r>
                        </w:p>
                        <w:sdt>
                          <w:sdtPr>
                            <w:lock w:val="contentLocked"/>
                            <w:id w:val="-1604291225"/>
                            <w:tag w:val="goog_rdk_1"/>
                          </w:sdtPr>
                          <w:sdtContent>
                            <w:tbl>
                              <w:tblPr>
                                <w:tblStyle w:val="Table4"/>
                                <w:tblW w:w="2250.0000000000005" w:type="dxa"/>
                                <w:jc w:val="left"/>
                                <w:tblLayout w:type="fixed"/>
                                <w:tblLook w:val="0600"/>
                              </w:tblPr>
                              <w:tblGrid>
                                <w:gridCol w:w="2250.0000000000005"/>
                                <w:tblGridChange w:id="0">
                                  <w:tblGrid>
                                    <w:gridCol w:w="2250.0000000000005"/>
                                  </w:tblGrid>
                                </w:tblGridChange>
                              </w:tblGrid>
                              <w:tr>
                                <w:trPr>
                                  <w:cantSplit w:val="0"/>
                                  <w:trHeight w:val="59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B">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Enviar formato a la área de Calidad</w:t>
                                    </w:r>
                                  </w:p>
                                </w:tc>
                              </w:tr>
                            </w:tbl>
                          </w:sdtContent>
                        </w:sdt>
                        <w:p w:rsidR="00000000" w:rsidDel="00000000" w:rsidP="00000000" w:rsidRDefault="00000000" w:rsidRPr="00000000" w14:paraId="000000FC">
                          <w:pP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c>
                    </w:tr>
                  </w:tbl>
                </w:sdtContent>
              </w:sdt>
              <w:p w:rsidR="00000000" w:rsidDel="00000000" w:rsidP="00000000" w:rsidRDefault="00000000" w:rsidRPr="00000000" w14:paraId="000000FD">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E">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Referente de Seguridad y/o Líder de calidad</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Una vez revisado el formato, enviar a la lider de Calidad</w:t>
                </w:r>
              </w:p>
            </w:tc>
          </w:tr>
          <w:tr>
            <w:trPr>
              <w:cantSplit w:val="0"/>
              <w:trHeight w:val="2780" w:hRule="atLeast"/>
              <w:tblHeader w:val="0"/>
            </w:trPr>
            <w:tc>
              <w:tcPr>
                <w:tcBorders>
                  <w:left w:color="4f81bd" w:space="0" w:sz="12" w:val="single"/>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jc w:val="both"/>
                  <w:rPr>
                    <w:rFonts w:ascii="Century Gothic" w:cs="Century Gothic" w:eastAsia="Century Gothic" w:hAnsi="Century Gothic"/>
                  </w:rPr>
                </w:pPr>
                <w:r w:rsidDel="00000000" w:rsidR="00000000" w:rsidRPr="00000000">
                  <w:rPr>
                    <w:rtl w:val="0"/>
                  </w:rPr>
                </w:r>
              </w:p>
              <w:sdt>
                <w:sdtPr>
                  <w:lock w:val="contentLocked"/>
                  <w:id w:val="-1977648877"/>
                  <w:tag w:val="goog_rdk_4"/>
                </w:sdtPr>
                <w:sdtContent>
                  <w:tbl>
                    <w:tblPr>
                      <w:tblStyle w:val="Table5"/>
                      <w:tblW w:w="2450.0" w:type="dxa"/>
                      <w:jc w:val="left"/>
                      <w:tblLayout w:type="fixed"/>
                      <w:tblLook w:val="0600"/>
                    </w:tblPr>
                    <w:tblGrid>
                      <w:gridCol w:w="2450"/>
                      <w:tblGridChange w:id="0">
                        <w:tblGrid>
                          <w:gridCol w:w="2450"/>
                        </w:tblGrid>
                      </w:tblGridChange>
                    </w:tblGrid>
                    <w:tr>
                      <w:trPr>
                        <w:cantSplit w:val="0"/>
                        <w:trHeight w:val="755" w:hRule="atLeast"/>
                        <w:tblHeader w:val="0"/>
                      </w:trPr>
                      <w:tc>
                        <w:tcPr>
                          <w:tcBorders>
                            <w:top w:color="4f81bd" w:space="0" w:sz="12" w:val="single"/>
                            <w:left w:color="4f81bd" w:space="0" w:sz="12" w:val="single"/>
                            <w:bottom w:color="4f81bd" w:space="0" w:sz="12" w:val="single"/>
                            <w:right w:color="4f81bd"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jc w:val="both"/>
                            <w:rPr>
                              <w:rFonts w:ascii="Century Gothic" w:cs="Century Gothic" w:eastAsia="Century Gothic" w:hAnsi="Century Gothic"/>
                            </w:rPr>
                          </w:pPr>
                          <w:r w:rsidDel="00000000" w:rsidR="00000000" w:rsidRPr="00000000">
                            <w:rPr>
                              <w:rtl w:val="0"/>
                            </w:rPr>
                          </w:r>
                        </w:p>
                        <w:sdt>
                          <w:sdtPr>
                            <w:lock w:val="contentLocked"/>
                            <w:id w:val="-582757850"/>
                            <w:tag w:val="goog_rdk_3"/>
                          </w:sdtPr>
                          <w:sdtContent>
                            <w:tbl>
                              <w:tblPr>
                                <w:tblStyle w:val="Table6"/>
                                <w:tblW w:w="2250.0" w:type="dxa"/>
                                <w:jc w:val="left"/>
                                <w:tblLayout w:type="fixed"/>
                                <w:tblLook w:val="0600"/>
                              </w:tblPr>
                              <w:tblGrid>
                                <w:gridCol w:w="2250"/>
                                <w:tblGridChange w:id="0">
                                  <w:tblGrid>
                                    <w:gridCol w:w="2250"/>
                                  </w:tblGrid>
                                </w:tblGridChange>
                              </w:tblGrid>
                              <w:tr>
                                <w:trPr>
                                  <w:cantSplit w:val="0"/>
                                  <w:trHeight w:val="59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3">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Revisar información contenida en el formato </w:t>
                                    </w:r>
                                  </w:p>
                                </w:tc>
                              </w:tr>
                            </w:tbl>
                          </w:sdtContent>
                        </w:sdt>
                        <w:p w:rsidR="00000000" w:rsidDel="00000000" w:rsidP="00000000" w:rsidRDefault="00000000" w:rsidRPr="00000000" w14:paraId="00000104">
                          <w:pP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c>
                    </w:tr>
                  </w:tbl>
                </w:sdtContent>
              </w:sdt>
              <w:p w:rsidR="00000000" w:rsidDel="00000000" w:rsidP="00000000" w:rsidRDefault="00000000" w:rsidRPr="00000000" w14:paraId="00000105">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06">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07">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08">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09">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0A">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0B">
                <w:pPr>
                  <w:spacing w:line="240" w:lineRule="auto"/>
                  <w:ind w:left="-100" w:firstLine="0"/>
                  <w:jc w:val="both"/>
                  <w:rPr>
                    <w:rFonts w:ascii="Century Gothic" w:cs="Century Gothic" w:eastAsia="Century Gothic" w:hAnsi="Century Gothic"/>
                  </w:rPr>
                </w:pPr>
                <w:r w:rsidDel="00000000" w:rsidR="00000000" w:rsidRPr="00000000">
                  <w:rPr>
                    <w:rtl w:val="0"/>
                  </w:rPr>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Referente de Seguridad </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ind w:left="260" w:hanging="18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Revisar la información contenida en el formato de Gestión de incidentes y eventos adversos</w:t>
                </w:r>
              </w:p>
              <w:p w:rsidR="00000000" w:rsidDel="00000000" w:rsidP="00000000" w:rsidRDefault="00000000" w:rsidRPr="00000000" w14:paraId="0000010E">
                <w:pPr>
                  <w:ind w:left="260" w:hanging="18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Reportar evento al Comité de Seguridad del Paciente con el fin de iniciar con la investigación del caso.</w:t>
                </w:r>
              </w:p>
            </w:tc>
          </w:tr>
          <w:tr>
            <w:trPr>
              <w:cantSplit w:val="0"/>
              <w:trHeight w:val="4010" w:hRule="atLeast"/>
              <w:tblHeader w:val="0"/>
            </w:trPr>
            <w:tc>
              <w:tcPr>
                <w:tcBorders>
                  <w:left w:color="4f81bd" w:space="0" w:sz="12" w:val="single"/>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10">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11">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sdt>
                <w:sdtPr>
                  <w:lock w:val="contentLocked"/>
                  <w:id w:val="-1473846816"/>
                  <w:tag w:val="goog_rdk_6"/>
                </w:sdtPr>
                <w:sdtContent>
                  <w:tbl>
                    <w:tblPr>
                      <w:tblStyle w:val="Table7"/>
                      <w:tblW w:w="2450.0" w:type="dxa"/>
                      <w:jc w:val="left"/>
                      <w:tblLayout w:type="fixed"/>
                      <w:tblLook w:val="0600"/>
                    </w:tblPr>
                    <w:tblGrid>
                      <w:gridCol w:w="2450"/>
                      <w:tblGridChange w:id="0">
                        <w:tblGrid>
                          <w:gridCol w:w="2450"/>
                        </w:tblGrid>
                      </w:tblGridChange>
                    </w:tblGrid>
                    <w:tr>
                      <w:trPr>
                        <w:cantSplit w:val="0"/>
                        <w:trHeight w:val="815" w:hRule="atLeast"/>
                        <w:tblHeader w:val="0"/>
                      </w:trPr>
                      <w:tc>
                        <w:tcPr>
                          <w:tcBorders>
                            <w:top w:color="4f81bd" w:space="0" w:sz="12" w:val="single"/>
                            <w:left w:color="4f81bd" w:space="0" w:sz="12" w:val="single"/>
                            <w:bottom w:color="4f81bd" w:space="0" w:sz="12" w:val="single"/>
                            <w:right w:color="4f81bd"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jc w:val="both"/>
                            <w:rPr>
                              <w:rFonts w:ascii="Century Gothic" w:cs="Century Gothic" w:eastAsia="Century Gothic" w:hAnsi="Century Gothic"/>
                            </w:rPr>
                          </w:pPr>
                          <w:r w:rsidDel="00000000" w:rsidR="00000000" w:rsidRPr="00000000">
                            <w:rPr>
                              <w:rtl w:val="0"/>
                            </w:rPr>
                          </w:r>
                        </w:p>
                        <w:sdt>
                          <w:sdtPr>
                            <w:lock w:val="contentLocked"/>
                            <w:id w:val="-1480838177"/>
                            <w:tag w:val="goog_rdk_5"/>
                          </w:sdtPr>
                          <w:sdtContent>
                            <w:tbl>
                              <w:tblPr>
                                <w:tblStyle w:val="Table8"/>
                                <w:tblW w:w="2250.0" w:type="dxa"/>
                                <w:jc w:val="left"/>
                                <w:tblLayout w:type="fixed"/>
                                <w:tblLook w:val="0600"/>
                              </w:tblPr>
                              <w:tblGrid>
                                <w:gridCol w:w="2250"/>
                                <w:tblGridChange w:id="0">
                                  <w:tblGrid>
                                    <w:gridCol w:w="2250"/>
                                  </w:tblGrid>
                                </w:tblGridChange>
                              </w:tblGrid>
                              <w:tr>
                                <w:trPr>
                                  <w:cantSplit w:val="0"/>
                                  <w:trHeight w:val="59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3">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Obtener y organizar la información</w:t>
                                    </w:r>
                                  </w:p>
                                </w:tc>
                              </w:tr>
                            </w:tbl>
                          </w:sdtContent>
                        </w:sdt>
                        <w:p w:rsidR="00000000" w:rsidDel="00000000" w:rsidP="00000000" w:rsidRDefault="00000000" w:rsidRPr="00000000" w14:paraId="00000114">
                          <w:pP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c>
                    </w:tr>
                  </w:tbl>
                </w:sdtContent>
              </w:sdt>
              <w:p w:rsidR="00000000" w:rsidDel="00000000" w:rsidP="00000000" w:rsidRDefault="00000000" w:rsidRPr="00000000" w14:paraId="00000115">
                <w:pPr>
                  <w:spacing w:line="240" w:lineRule="auto"/>
                  <w:ind w:left="-100" w:firstLine="0"/>
                  <w:jc w:val="both"/>
                  <w:rPr>
                    <w:rFonts w:ascii="Century Gothic" w:cs="Century Gothic" w:eastAsia="Century Gothic" w:hAnsi="Century Gothic"/>
                  </w:rPr>
                </w:pPr>
                <w:r w:rsidDel="00000000" w:rsidR="00000000" w:rsidRPr="00000000">
                  <w:rPr>
                    <w:rtl w:val="0"/>
                  </w:rPr>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Comité de Seguridad del Paciente</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line="301.09090909090907" w:lineRule="auto"/>
                  <w:ind w:left="-10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obtención y organización de la información se debe tomar de herramientas como la Historia clínica, protocolos y procedimientos relacionados con el incidente, declaraciones y observaciones inmediatas, entrevistas con los involucrados, evidencia física (planos del piso, listas de atención, hojas de vida de los equipos involucrados).</w:t>
                </w:r>
              </w:p>
            </w:tc>
          </w:tr>
          <w:tr>
            <w:trPr>
              <w:cantSplit w:val="0"/>
              <w:trHeight w:val="2540" w:hRule="atLeast"/>
              <w:tblHeader w:val="0"/>
            </w:trPr>
            <w:tc>
              <w:tcPr>
                <w:tcBorders>
                  <w:left w:color="4f81bd" w:space="0" w:sz="12" w:val="single"/>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jc w:val="both"/>
                  <w:rPr>
                    <w:rFonts w:ascii="Century Gothic" w:cs="Century Gothic" w:eastAsia="Century Gothic" w:hAnsi="Century Gothic"/>
                  </w:rPr>
                </w:pPr>
                <w:r w:rsidDel="00000000" w:rsidR="00000000" w:rsidRPr="00000000">
                  <w:rPr>
                    <w:rtl w:val="0"/>
                  </w:rPr>
                </w:r>
              </w:p>
              <w:sdt>
                <w:sdtPr>
                  <w:lock w:val="contentLocked"/>
                  <w:id w:val="895161132"/>
                  <w:tag w:val="goog_rdk_8"/>
                </w:sdtPr>
                <w:sdtContent>
                  <w:tbl>
                    <w:tblPr>
                      <w:tblStyle w:val="Table9"/>
                      <w:tblW w:w="2450.0" w:type="dxa"/>
                      <w:jc w:val="left"/>
                      <w:tblLayout w:type="fixed"/>
                      <w:tblLook w:val="0600"/>
                    </w:tblPr>
                    <w:tblGrid>
                      <w:gridCol w:w="2450"/>
                      <w:tblGridChange w:id="0">
                        <w:tblGrid>
                          <w:gridCol w:w="2450"/>
                        </w:tblGrid>
                      </w:tblGridChange>
                    </w:tblGrid>
                    <w:tr>
                      <w:trPr>
                        <w:cantSplit w:val="0"/>
                        <w:trHeight w:val="800" w:hRule="atLeast"/>
                        <w:tblHeader w:val="0"/>
                      </w:trPr>
                      <w:tc>
                        <w:tcPr>
                          <w:tcBorders>
                            <w:top w:color="4f81bd" w:space="0" w:sz="12" w:val="single"/>
                            <w:left w:color="4f81bd" w:space="0" w:sz="12" w:val="single"/>
                            <w:bottom w:color="4f81bd" w:space="0" w:sz="12" w:val="single"/>
                            <w:right w:color="4f81bd"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jc w:val="both"/>
                            <w:rPr>
                              <w:rFonts w:ascii="Century Gothic" w:cs="Century Gothic" w:eastAsia="Century Gothic" w:hAnsi="Century Gothic"/>
                            </w:rPr>
                          </w:pPr>
                          <w:r w:rsidDel="00000000" w:rsidR="00000000" w:rsidRPr="00000000">
                            <w:rPr>
                              <w:rtl w:val="0"/>
                            </w:rPr>
                          </w:r>
                        </w:p>
                        <w:sdt>
                          <w:sdtPr>
                            <w:lock w:val="contentLocked"/>
                            <w:id w:val="-2059500703"/>
                            <w:tag w:val="goog_rdk_7"/>
                          </w:sdtPr>
                          <w:sdtContent>
                            <w:tbl>
                              <w:tblPr>
                                <w:tblStyle w:val="Table10"/>
                                <w:tblW w:w="2250.0" w:type="dxa"/>
                                <w:jc w:val="left"/>
                                <w:tblLayout w:type="fixed"/>
                                <w:tblLook w:val="0600"/>
                              </w:tblPr>
                              <w:tblGrid>
                                <w:gridCol w:w="2250"/>
                                <w:tblGridChange w:id="0">
                                  <w:tblGrid>
                                    <w:gridCol w:w="2250"/>
                                  </w:tblGrid>
                                </w:tblGridChange>
                              </w:tblGrid>
                              <w:tr>
                                <w:trPr>
                                  <w:cantSplit w:val="0"/>
                                  <w:trHeight w:val="59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A">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Establecer cronología del incidente o evento adverso</w:t>
                                    </w:r>
                                  </w:p>
                                </w:tc>
                              </w:tr>
                            </w:tbl>
                          </w:sdtContent>
                        </w:sdt>
                        <w:p w:rsidR="00000000" w:rsidDel="00000000" w:rsidP="00000000" w:rsidRDefault="00000000" w:rsidRPr="00000000" w14:paraId="0000011B">
                          <w:pP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c>
                    </w:tr>
                  </w:tbl>
                </w:sdtContent>
              </w:sdt>
              <w:p w:rsidR="00000000" w:rsidDel="00000000" w:rsidP="00000000" w:rsidRDefault="00000000" w:rsidRPr="00000000" w14:paraId="0000011C">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1D">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1E">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1F">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0">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1">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ind w:left="-10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3">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Comité de Seguridad del Paciente</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line="301.09090909090907" w:lineRule="auto"/>
                  <w:ind w:left="-10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Establecer la secuencia de la ocurrencia de los hechos del incidente o evento adverso a medida que se obtienen los datos.</w:t>
                </w:r>
              </w:p>
            </w:tc>
          </w:tr>
          <w:tr>
            <w:trPr>
              <w:cantSplit w:val="0"/>
              <w:trHeight w:val="3020" w:hRule="atLeast"/>
              <w:tblHeader w:val="0"/>
            </w:trPr>
            <w:tc>
              <w:tcPr>
                <w:tcBorders>
                  <w:left w:color="4f81bd" w:space="0" w:sz="12" w:val="single"/>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6">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7">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8">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9">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A">
                <w:pPr>
                  <w:spacing w:line="240" w:lineRule="auto"/>
                  <w:ind w:left="-100" w:firstLine="0"/>
                  <w:jc w:val="both"/>
                  <w:rPr>
                    <w:rFonts w:ascii="Century Gothic" w:cs="Century Gothic" w:eastAsia="Century Gothic" w:hAnsi="Century Gothic"/>
                  </w:rPr>
                </w:pPr>
                <w:r w:rsidDel="00000000" w:rsidR="00000000" w:rsidRPr="00000000">
                  <w:rPr>
                    <w:rtl w:val="0"/>
                  </w:rPr>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Comité de Seguridad del Paciente</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after="20" w:line="301.09090909090907" w:lineRule="auto"/>
                  <w:ind w:left="-10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Realizar análisis del incidente o evento aplicando el protocolo de Londres,:</w:t>
                </w:r>
              </w:p>
              <w:p w:rsidR="00000000" w:rsidDel="00000000" w:rsidP="00000000" w:rsidRDefault="00000000" w:rsidRPr="00000000" w14:paraId="0000012D">
                <w:pPr>
                  <w:spacing w:after="20" w:lineRule="auto"/>
                  <w:ind w:left="260" w:hanging="18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1.Identificar las acciones inseguras o fallas activas. </w:t>
                </w:r>
              </w:p>
              <w:p w:rsidR="00000000" w:rsidDel="00000000" w:rsidP="00000000" w:rsidRDefault="00000000" w:rsidRPr="00000000" w14:paraId="0000012E">
                <w:pPr>
                  <w:spacing w:after="20" w:lineRule="auto"/>
                  <w:ind w:left="260" w:hanging="18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Identificar las fallas latentes.</w:t>
                </w:r>
              </w:p>
              <w:p w:rsidR="00000000" w:rsidDel="00000000" w:rsidP="00000000" w:rsidRDefault="00000000" w:rsidRPr="00000000" w14:paraId="0000012F">
                <w:pPr>
                  <w:spacing w:after="20" w:lineRule="auto"/>
                  <w:ind w:left="260" w:hanging="18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3.Identificar factores contributivos.</w:t>
                </w:r>
              </w:p>
              <w:p w:rsidR="00000000" w:rsidDel="00000000" w:rsidP="00000000" w:rsidRDefault="00000000" w:rsidRPr="00000000" w14:paraId="00000130">
                <w:pPr>
                  <w:spacing w:after="20" w:lineRule="auto"/>
                  <w:ind w:left="260" w:hanging="18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4.Definir barreras de Seguridad</w:t>
                </w:r>
              </w:p>
            </w:tc>
          </w:tr>
          <w:tr>
            <w:trPr>
              <w:cantSplit w:val="0"/>
              <w:trHeight w:val="2990" w:hRule="atLeast"/>
              <w:tblHeader w:val="0"/>
            </w:trPr>
            <w:tc>
              <w:tcPr>
                <w:tcBorders>
                  <w:left w:color="4f81bd" w:space="0" w:sz="12" w:val="single"/>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32">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sdt>
                <w:sdtPr>
                  <w:lock w:val="contentLocked"/>
                  <w:id w:val="870671830"/>
                  <w:tag w:val="goog_rdk_10"/>
                </w:sdtPr>
                <w:sdtContent>
                  <w:tbl>
                    <w:tblPr>
                      <w:tblStyle w:val="Table11"/>
                      <w:tblW w:w="2450.0" w:type="dxa"/>
                      <w:jc w:val="left"/>
                      <w:tblLayout w:type="fixed"/>
                      <w:tblLook w:val="0600"/>
                    </w:tblPr>
                    <w:tblGrid>
                      <w:gridCol w:w="2450"/>
                      <w:tblGridChange w:id="0">
                        <w:tblGrid>
                          <w:gridCol w:w="2450"/>
                        </w:tblGrid>
                      </w:tblGridChange>
                    </w:tblGrid>
                    <w:tr>
                      <w:trPr>
                        <w:cantSplit w:val="0"/>
                        <w:trHeight w:val="665" w:hRule="atLeast"/>
                        <w:tblHeader w:val="0"/>
                      </w:trPr>
                      <w:tc>
                        <w:tcPr>
                          <w:tcBorders>
                            <w:top w:color="4f81bd" w:space="0" w:sz="12" w:val="single"/>
                            <w:left w:color="4f81bd" w:space="0" w:sz="12" w:val="single"/>
                            <w:bottom w:color="4f81bd" w:space="0" w:sz="12" w:val="single"/>
                            <w:right w:color="4f81bd"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jc w:val="both"/>
                            <w:rPr>
                              <w:rFonts w:ascii="Century Gothic" w:cs="Century Gothic" w:eastAsia="Century Gothic" w:hAnsi="Century Gothic"/>
                            </w:rPr>
                          </w:pPr>
                          <w:r w:rsidDel="00000000" w:rsidR="00000000" w:rsidRPr="00000000">
                            <w:rPr>
                              <w:rtl w:val="0"/>
                            </w:rPr>
                          </w:r>
                        </w:p>
                        <w:sdt>
                          <w:sdtPr>
                            <w:lock w:val="contentLocked"/>
                            <w:id w:val="-354439881"/>
                            <w:tag w:val="goog_rdk_9"/>
                          </w:sdtPr>
                          <w:sdtContent>
                            <w:tbl>
                              <w:tblPr>
                                <w:tblStyle w:val="Table12"/>
                                <w:tblW w:w="2250.0" w:type="dxa"/>
                                <w:jc w:val="left"/>
                                <w:tblLayout w:type="fixed"/>
                                <w:tblLook w:val="0600"/>
                              </w:tblPr>
                              <w:tblGrid>
                                <w:gridCol w:w="2250"/>
                                <w:tblGridChange w:id="0">
                                  <w:tblGrid>
                                    <w:gridCol w:w="2250"/>
                                  </w:tblGrid>
                                </w:tblGridChange>
                              </w:tblGrid>
                              <w:tr>
                                <w:trPr>
                                  <w:cantSplit w:val="0"/>
                                  <w:trHeight w:val="59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4">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Desarrollo del plan de acción</w:t>
                                    </w:r>
                                  </w:p>
                                </w:tc>
                              </w:tr>
                            </w:tbl>
                          </w:sdtContent>
                        </w:sdt>
                        <w:p w:rsidR="00000000" w:rsidDel="00000000" w:rsidP="00000000" w:rsidRDefault="00000000" w:rsidRPr="00000000" w14:paraId="00000135">
                          <w:pP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c>
                    </w:tr>
                  </w:tbl>
                </w:sdtContent>
              </w:sdt>
              <w:p w:rsidR="00000000" w:rsidDel="00000000" w:rsidP="00000000" w:rsidRDefault="00000000" w:rsidRPr="00000000" w14:paraId="00000136">
                <w:pPr>
                  <w:spacing w:line="240" w:lineRule="auto"/>
                  <w:ind w:left="-10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37">
                <w:pPr>
                  <w:spacing w:line="240" w:lineRule="auto"/>
                  <w:ind w:left="-100" w:firstLine="0"/>
                  <w:jc w:val="both"/>
                  <w:rPr>
                    <w:rFonts w:ascii="Century Gothic" w:cs="Century Gothic" w:eastAsia="Century Gothic" w:hAnsi="Century Gothic"/>
                  </w:rPr>
                </w:pPr>
                <w:r w:rsidDel="00000000" w:rsidR="00000000" w:rsidRPr="00000000">
                  <w:rPr>
                    <w:rtl w:val="0"/>
                  </w:rPr>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Comité de Seguridad del Paciente</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after="20" w:line="301.09090909090907" w:lineRule="auto"/>
                  <w:ind w:left="-10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elaboran las acciones de mejora frente a las debilidades encontradas a través de un plan de acción dirigido a corregir los factores contributivos encontrados y a generar barreras de seguridad.</w:t>
                </w:r>
              </w:p>
              <w:p w:rsidR="00000000" w:rsidDel="00000000" w:rsidP="00000000" w:rsidRDefault="00000000" w:rsidRPr="00000000" w14:paraId="0000013A">
                <w:pPr>
                  <w:spacing w:after="20" w:line="301.09090909090907" w:lineRule="auto"/>
                  <w:ind w:left="-10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3B">
                <w:pPr>
                  <w:spacing w:after="20" w:line="301.09090909090907" w:lineRule="auto"/>
                  <w:ind w:left="-10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presenta plan de acción al Profesional para su aprobación.</w:t>
                </w:r>
              </w:p>
            </w:tc>
          </w:tr>
          <w:tr>
            <w:trPr>
              <w:cantSplit w:val="0"/>
              <w:trHeight w:val="1595" w:hRule="atLeast"/>
              <w:tblHeader w:val="0"/>
            </w:trPr>
            <w:tc>
              <w:tcPr>
                <w:tcBorders>
                  <w:left w:color="4f81bd" w:space="0" w:sz="12" w:val="single"/>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3D">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3E">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3F">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40">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ind w:left="-10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2">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Referente de calidad</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after="20" w:line="301.09090909090907" w:lineRule="auto"/>
                  <w:ind w:left="-10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Una vez aprobado el plan de acción, retroalimentar al personal que reportó el incidente o evento adverso con el fin de ejecutar las acciones de mejora. </w:t>
                </w:r>
              </w:p>
            </w:tc>
          </w:tr>
          <w:tr>
            <w:trPr>
              <w:cantSplit w:val="0"/>
              <w:trHeight w:val="1925" w:hRule="atLeast"/>
              <w:tblHeader w:val="0"/>
            </w:trPr>
            <w:tc>
              <w:tcPr>
                <w:tcBorders>
                  <w:left w:color="4f81bd" w:space="0" w:sz="12" w:val="single"/>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jc w:val="both"/>
                  <w:rPr>
                    <w:rFonts w:ascii="Century Gothic" w:cs="Century Gothic" w:eastAsia="Century Gothic" w:hAnsi="Century Gothic"/>
                  </w:rPr>
                </w:pPr>
                <w:r w:rsidDel="00000000" w:rsidR="00000000" w:rsidRPr="00000000">
                  <w:rPr>
                    <w:rtl w:val="0"/>
                  </w:rPr>
                </w:r>
              </w:p>
              <w:sdt>
                <w:sdtPr>
                  <w:lock w:val="contentLocked"/>
                  <w:id w:val="-445468832"/>
                  <w:tag w:val="goog_rdk_12"/>
                </w:sdtPr>
                <w:sdtContent>
                  <w:tbl>
                    <w:tblPr>
                      <w:tblStyle w:val="Table13"/>
                      <w:tblW w:w="2450.0" w:type="dxa"/>
                      <w:jc w:val="left"/>
                      <w:tblLayout w:type="fixed"/>
                      <w:tblLook w:val="0600"/>
                    </w:tblPr>
                    <w:tblGrid>
                      <w:gridCol w:w="2450"/>
                      <w:tblGridChange w:id="0">
                        <w:tblGrid>
                          <w:gridCol w:w="2450"/>
                        </w:tblGrid>
                      </w:tblGridChange>
                    </w:tblGrid>
                    <w:tr>
                      <w:trPr>
                        <w:cantSplit w:val="0"/>
                        <w:trHeight w:val="665" w:hRule="atLeast"/>
                        <w:tblHeader w:val="0"/>
                      </w:trPr>
                      <w:tc>
                        <w:tcPr>
                          <w:tcBorders>
                            <w:top w:color="4f81bd" w:space="0" w:sz="12" w:val="single"/>
                            <w:left w:color="4f81bd" w:space="0" w:sz="12" w:val="single"/>
                            <w:bottom w:color="4f81bd" w:space="0" w:sz="12" w:val="single"/>
                            <w:right w:color="4f81bd"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jc w:val="both"/>
                            <w:rPr>
                              <w:rFonts w:ascii="Century Gothic" w:cs="Century Gothic" w:eastAsia="Century Gothic" w:hAnsi="Century Gothic"/>
                            </w:rPr>
                          </w:pPr>
                          <w:r w:rsidDel="00000000" w:rsidR="00000000" w:rsidRPr="00000000">
                            <w:rPr>
                              <w:rtl w:val="0"/>
                            </w:rPr>
                          </w:r>
                        </w:p>
                        <w:sdt>
                          <w:sdtPr>
                            <w:lock w:val="contentLocked"/>
                            <w:id w:val="1981870271"/>
                            <w:tag w:val="goog_rdk_11"/>
                          </w:sdtPr>
                          <w:sdtContent>
                            <w:tbl>
                              <w:tblPr>
                                <w:tblStyle w:val="Table14"/>
                                <w:tblW w:w="2250.0" w:type="dxa"/>
                                <w:jc w:val="left"/>
                                <w:tblLayout w:type="fixed"/>
                                <w:tblLook w:val="0600"/>
                              </w:tblPr>
                              <w:tblGrid>
                                <w:gridCol w:w="2250"/>
                                <w:tblGridChange w:id="0">
                                  <w:tblGrid>
                                    <w:gridCol w:w="2250"/>
                                  </w:tblGrid>
                                </w:tblGridChange>
                              </w:tblGrid>
                              <w:tr>
                                <w:trPr>
                                  <w:cantSplit w:val="0"/>
                                  <w:trHeight w:val="59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6">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Seguimiento al plan de acción</w:t>
                                    </w:r>
                                  </w:p>
                                </w:tc>
                              </w:tr>
                            </w:tbl>
                          </w:sdtContent>
                        </w:sdt>
                        <w:p w:rsidR="00000000" w:rsidDel="00000000" w:rsidP="00000000" w:rsidRDefault="00000000" w:rsidRPr="00000000" w14:paraId="00000147">
                          <w:pP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c>
                    </w:tr>
                  </w:tbl>
                </w:sdtContent>
              </w:sdt>
              <w:p w:rsidR="00000000" w:rsidDel="00000000" w:rsidP="00000000" w:rsidRDefault="00000000" w:rsidRPr="00000000" w14:paraId="00000148">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49">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4A">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4B">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ind w:left="-10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D">
                <w:pPr>
                  <w:spacing w:line="269.67272727272723" w:lineRule="auto"/>
                  <w:ind w:left="-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Referente de calidad </w:t>
                </w:r>
              </w:p>
            </w:tc>
            <w:tc>
              <w:tcPr>
                <w:tcBorders>
                  <w:bottom w:color="4f81bd" w:space="0" w:sz="12" w:val="single"/>
                  <w:right w:color="4f81b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after="20" w:line="301.09090909090907" w:lineRule="auto"/>
                  <w:ind w:left="-10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Hacer seguimiento al cumplimiento de las acciones definidas.</w:t>
                </w:r>
              </w:p>
            </w:tc>
          </w:tr>
        </w:tbl>
      </w:sdtContent>
    </w:sdt>
    <w:p w:rsidR="00000000" w:rsidDel="00000000" w:rsidP="00000000" w:rsidRDefault="00000000" w:rsidRPr="00000000" w14:paraId="0000014F">
      <w:pPr>
        <w:spacing w:line="269.67272727272723" w:lineRule="auto"/>
        <w:ind w:left="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0">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FORMATOS</w:t>
      </w:r>
    </w:p>
    <w:p w:rsidR="00000000" w:rsidDel="00000000" w:rsidP="00000000" w:rsidRDefault="00000000" w:rsidRPr="00000000" w14:paraId="00000151">
      <w:pPr>
        <w:numPr>
          <w:ilvl w:val="0"/>
          <w:numId w:val="2"/>
        </w:numPr>
        <w:spacing w:line="301.09090909090907"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Reporte Interno</w:t>
      </w:r>
      <w:r w:rsidDel="00000000" w:rsidR="00000000" w:rsidRPr="00000000">
        <w:rPr>
          <w:rFonts w:ascii="Century Gothic" w:cs="Century Gothic" w:eastAsia="Century Gothic" w:hAnsi="Century Gothic"/>
          <w:b w:val="1"/>
          <w:rtl w:val="0"/>
        </w:rPr>
        <w:t xml:space="preserve"> </w:t>
      </w:r>
      <w:r w:rsidDel="00000000" w:rsidR="00000000" w:rsidRPr="00000000">
        <w:rPr>
          <w:rFonts w:ascii="Century Gothic" w:cs="Century Gothic" w:eastAsia="Century Gothic" w:hAnsi="Century Gothic"/>
          <w:rtl w:val="0"/>
        </w:rPr>
        <w:t xml:space="preserve">de incidentes y eventos adversos </w:t>
      </w:r>
      <w:hyperlink r:id="rId12">
        <w:r w:rsidDel="00000000" w:rsidR="00000000" w:rsidRPr="00000000">
          <w:rPr>
            <w:rFonts w:ascii="Century Gothic" w:cs="Century Gothic" w:eastAsia="Century Gothic" w:hAnsi="Century Gothic"/>
            <w:color w:val="0000ee"/>
            <w:u w:val="single"/>
            <w:rtl w:val="0"/>
          </w:rPr>
          <w:t xml:space="preserve">PP-FR-004 FORMATO DE TRAZABILIDAD Y ANALISIS DE EVENTOS ADVERSOS.xlsx</w:t>
        </w:r>
      </w:hyperlink>
      <w:r w:rsidDel="00000000" w:rsidR="00000000" w:rsidRPr="00000000">
        <w:rPr>
          <w:rtl w:val="0"/>
        </w:rPr>
      </w:r>
    </w:p>
    <w:p w:rsidR="00000000" w:rsidDel="00000000" w:rsidP="00000000" w:rsidRDefault="00000000" w:rsidRPr="00000000" w14:paraId="00000152">
      <w:pPr>
        <w:numPr>
          <w:ilvl w:val="0"/>
          <w:numId w:val="1"/>
        </w:numPr>
        <w:ind w:left="720" w:hanging="360"/>
        <w:jc w:val="both"/>
        <w:rPr>
          <w:rFonts w:ascii="Century Gothic" w:cs="Century Gothic" w:eastAsia="Century Gothic" w:hAnsi="Century Gothic"/>
          <w:u w:val="none"/>
        </w:rPr>
      </w:pPr>
      <w:hyperlink r:id="rId13">
        <w:r w:rsidDel="00000000" w:rsidR="00000000" w:rsidRPr="00000000">
          <w:rPr>
            <w:rFonts w:ascii="Century Gothic" w:cs="Century Gothic" w:eastAsia="Century Gothic" w:hAnsi="Century Gothic"/>
            <w:color w:val="1155cc"/>
            <w:u w:val="single"/>
            <w:rtl w:val="0"/>
          </w:rPr>
          <w:t xml:space="preserve">https://docs.google.com/forms/d/e/1FAIpQLSfwxeI2SfUF_b40ZNpdgvot1Gzpxd3li8-zzYS8IH1NN06tUA/viewform?usp=header</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53">
      <w:pPr>
        <w:spacing w:line="301.09090909090907" w:lineRule="auto"/>
        <w:ind w:left="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4">
      <w:pPr>
        <w:spacing w:line="269.67272727272723" w:lineRule="auto"/>
        <w:ind w:left="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REFERENCIAS BIBLIOGRÁFICAS </w:t>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850.393700787401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57">
      <w:pPr>
        <w:numPr>
          <w:ilvl w:val="0"/>
          <w:numId w:val="7"/>
        </w:numPr>
        <w:pBdr>
          <w:top w:color="000000" w:space="0" w:sz="0" w:val="none"/>
          <w:bottom w:color="000000" w:space="0" w:sz="0" w:val="none"/>
          <w:right w:color="000000" w:space="0" w:sz="0" w:val="none"/>
          <w:between w:color="000000" w:space="0" w:sz="0" w:val="none"/>
        </w:pBdr>
        <w:spacing w:line="240" w:lineRule="auto"/>
        <w:ind w:left="850.393700787401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Ministerio de Salud y Protección Social. Guía técnica “Buenas prácticas para la seguridad del paciente en la atención en salud: Evaluación de la frecuencia de eventos adversos y monitoreo de aspectos claves relacionados con la seguridad del paciente. Versión 2.0. Colombia. Disponible en línea en:</w:t>
      </w:r>
      <w:hyperlink r:id="rId14">
        <w:r w:rsidDel="00000000" w:rsidR="00000000" w:rsidRPr="00000000">
          <w:rPr>
            <w:rFonts w:ascii="Century Gothic" w:cs="Century Gothic" w:eastAsia="Century Gothic" w:hAnsi="Century Gothic"/>
            <w:rtl w:val="0"/>
          </w:rPr>
          <w:t xml:space="preserve"> </w:t>
        </w:r>
      </w:hyperlink>
      <w:hyperlink r:id="rId15">
        <w:r w:rsidDel="00000000" w:rsidR="00000000" w:rsidRPr="00000000">
          <w:rPr>
            <w:rFonts w:ascii="Century Gothic" w:cs="Century Gothic" w:eastAsia="Century Gothic" w:hAnsi="Century Gothic"/>
            <w:color w:val="1155cc"/>
            <w:u w:val="single"/>
            <w:rtl w:val="0"/>
          </w:rPr>
          <w:t xml:space="preserve">https://www.minsalud.gov.co/sites/rid/Lists/BibliotecaDigital/RIDE/DE/CA/Evaluar-frecuencia-eventos-</w:t>
        </w:r>
      </w:hyperlink>
      <w:hyperlink r:id="rId16">
        <w:r w:rsidDel="00000000" w:rsidR="00000000" w:rsidRPr="00000000">
          <w:rPr>
            <w:rFonts w:ascii="Century Gothic" w:cs="Century Gothic" w:eastAsia="Century Gothic" w:hAnsi="Century Gothic"/>
            <w:rtl w:val="0"/>
          </w:rPr>
          <w:t xml:space="preserve"> </w:t>
        </w:r>
      </w:hyperlink>
      <w:hyperlink r:id="rId17">
        <w:r w:rsidDel="00000000" w:rsidR="00000000" w:rsidRPr="00000000">
          <w:rPr>
            <w:rFonts w:ascii="Century Gothic" w:cs="Century Gothic" w:eastAsia="Century Gothic" w:hAnsi="Century Gothic"/>
            <w:color w:val="1155cc"/>
            <w:u w:val="single"/>
            <w:rtl w:val="0"/>
          </w:rPr>
          <w:t xml:space="preserve">adversos.pdf</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58">
      <w:pPr>
        <w:numPr>
          <w:ilvl w:val="0"/>
          <w:numId w:val="7"/>
        </w:numPr>
        <w:pBdr>
          <w:top w:color="000000" w:space="0" w:sz="0" w:val="none"/>
          <w:bottom w:color="000000" w:space="0" w:sz="0" w:val="none"/>
          <w:right w:color="000000" w:space="0" w:sz="0" w:val="none"/>
          <w:between w:color="000000" w:space="0" w:sz="0" w:val="none"/>
        </w:pBdr>
        <w:spacing w:line="240" w:lineRule="auto"/>
        <w:ind w:left="850.393700787401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Ministerio de Salud y Protección Social. Protocolo de Londres. Colombia. Disponible en línea en:</w:t>
      </w:r>
      <w:hyperlink r:id="rId18">
        <w:r w:rsidDel="00000000" w:rsidR="00000000" w:rsidRPr="00000000">
          <w:rPr>
            <w:rFonts w:ascii="Century Gothic" w:cs="Century Gothic" w:eastAsia="Century Gothic" w:hAnsi="Century Gothic"/>
            <w:rtl w:val="0"/>
          </w:rPr>
          <w:t xml:space="preserve"> </w:t>
        </w:r>
      </w:hyperlink>
      <w:hyperlink r:id="rId19">
        <w:r w:rsidDel="00000000" w:rsidR="00000000" w:rsidRPr="00000000">
          <w:rPr>
            <w:rFonts w:ascii="Century Gothic" w:cs="Century Gothic" w:eastAsia="Century Gothic" w:hAnsi="Century Gothic"/>
            <w:color w:val="1155cc"/>
            <w:u w:val="single"/>
            <w:rtl w:val="0"/>
          </w:rPr>
          <w:t xml:space="preserve">https://www.minsalud.gov.co/sites/rid/Lists/BibliotecaDigital/RIDE/DE/CA/PROTOCOLO_DE_LONDRES_I</w:t>
        </w:r>
      </w:hyperlink>
      <w:hyperlink r:id="rId20">
        <w:r w:rsidDel="00000000" w:rsidR="00000000" w:rsidRPr="00000000">
          <w:rPr>
            <w:rFonts w:ascii="Century Gothic" w:cs="Century Gothic" w:eastAsia="Century Gothic" w:hAnsi="Century Gothic"/>
            <w:rtl w:val="0"/>
          </w:rPr>
          <w:t xml:space="preserve"> </w:t>
        </w:r>
      </w:hyperlink>
      <w:hyperlink r:id="rId21">
        <w:r w:rsidDel="00000000" w:rsidR="00000000" w:rsidRPr="00000000">
          <w:rPr>
            <w:rFonts w:ascii="Century Gothic" w:cs="Century Gothic" w:eastAsia="Century Gothic" w:hAnsi="Century Gothic"/>
            <w:color w:val="1155cc"/>
            <w:u w:val="single"/>
            <w:rtl w:val="0"/>
          </w:rPr>
          <w:t xml:space="preserve">NCIDENTES%20CLINICOS.pdf</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59">
      <w:pPr>
        <w:numPr>
          <w:ilvl w:val="0"/>
          <w:numId w:val="7"/>
        </w:numPr>
        <w:pBdr>
          <w:top w:color="000000" w:space="0" w:sz="0" w:val="none"/>
          <w:bottom w:color="000000" w:space="0" w:sz="0" w:val="none"/>
          <w:right w:color="000000" w:space="0" w:sz="0" w:val="none"/>
          <w:between w:color="000000" w:space="0" w:sz="0" w:val="none"/>
        </w:pBdr>
        <w:spacing w:line="240" w:lineRule="auto"/>
        <w:ind w:left="850.3937007874017"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rtl w:val="0"/>
        </w:rPr>
        <w:t xml:space="preserve">Ministerio de Protección Social. Lineamientos para la implementación de la política de seguridad del paciente.</w:t>
      </w:r>
      <w:r w:rsidDel="00000000" w:rsidR="00000000" w:rsidRPr="00000000">
        <w:rPr>
          <w:rtl w:val="0"/>
        </w:rPr>
      </w:r>
    </w:p>
    <w:p w:rsidR="00000000" w:rsidDel="00000000" w:rsidP="00000000" w:rsidRDefault="00000000" w:rsidRPr="00000000" w14:paraId="0000015A">
      <w:pPr>
        <w:spacing w:line="269.67272727272723" w:lineRule="auto"/>
        <w:ind w:left="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B">
      <w:pPr>
        <w:spacing w:line="269.67272727272723" w:lineRule="auto"/>
        <w:ind w:left="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5C">
      <w:pPr>
        <w:spacing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15D">
      <w:pPr>
        <w:spacing w:after="160" w:line="259" w:lineRule="auto"/>
        <w:ind w:left="720" w:hanging="360"/>
        <w:jc w:val="both"/>
        <w:rPr>
          <w:rFonts w:ascii="Century Gothic" w:cs="Century Gothic" w:eastAsia="Century Gothic" w:hAnsi="Century Gothic"/>
        </w:rPr>
      </w:pPr>
      <w:r w:rsidDel="00000000" w:rsidR="00000000" w:rsidRPr="00000000">
        <w:rPr>
          <w:rtl w:val="0"/>
        </w:rPr>
      </w:r>
    </w:p>
    <w:sdt>
      <w:sdtPr>
        <w:lock w:val="contentLocked"/>
        <w:id w:val="-100878005"/>
        <w:tag w:val="goog_rdk_14"/>
      </w:sdtPr>
      <w:sdtContent>
        <w:tbl>
          <w:tblPr>
            <w:tblStyle w:val="Table15"/>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380"/>
            <w:gridCol w:w="1485"/>
            <w:gridCol w:w="2610"/>
            <w:gridCol w:w="3375"/>
            <w:tblGridChange w:id="0">
              <w:tblGrid>
                <w:gridCol w:w="1380"/>
                <w:gridCol w:w="1485"/>
                <w:gridCol w:w="2610"/>
                <w:gridCol w:w="3375"/>
              </w:tblGrid>
            </w:tblGridChange>
          </w:tblGrid>
          <w:tr>
            <w:trPr>
              <w:cantSplit w:val="0"/>
              <w:trHeight w:val="413" w:hRule="atLeast"/>
              <w:tblHeader w:val="0"/>
            </w:trPr>
            <w:tc>
              <w:tcPr>
                <w:gridSpan w:val="4"/>
              </w:tcPr>
              <w:p w:rsidR="00000000" w:rsidDel="00000000" w:rsidP="00000000" w:rsidRDefault="00000000" w:rsidRPr="00000000" w14:paraId="0000015E">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Control de Cambios</w:t>
                </w:r>
              </w:p>
            </w:tc>
          </w:tr>
          <w:tr>
            <w:trPr>
              <w:cantSplit w:val="0"/>
              <w:trHeight w:val="850" w:hRule="atLeast"/>
              <w:tblHeader w:val="0"/>
            </w:trPr>
            <w:tc>
              <w:tcPr>
                <w:shd w:fill="auto" w:val="clear"/>
                <w:vAlign w:val="center"/>
              </w:tcPr>
              <w:p w:rsidR="00000000" w:rsidDel="00000000" w:rsidP="00000000" w:rsidRDefault="00000000" w:rsidRPr="00000000" w14:paraId="00000162">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Versión N°</w:t>
                </w:r>
              </w:p>
            </w:tc>
            <w:tc>
              <w:tcPr>
                <w:shd w:fill="auto" w:val="clear"/>
                <w:vAlign w:val="center"/>
              </w:tcPr>
              <w:p w:rsidR="00000000" w:rsidDel="00000000" w:rsidP="00000000" w:rsidRDefault="00000000" w:rsidRPr="00000000" w14:paraId="00000163">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Fecha de modificación</w:t>
                </w:r>
              </w:p>
            </w:tc>
            <w:tc>
              <w:tcPr>
                <w:shd w:fill="auto" w:val="clear"/>
                <w:vAlign w:val="center"/>
              </w:tcPr>
              <w:p w:rsidR="00000000" w:rsidDel="00000000" w:rsidP="00000000" w:rsidRDefault="00000000" w:rsidRPr="00000000" w14:paraId="00000164">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Aprobó</w:t>
                </w:r>
              </w:p>
            </w:tc>
            <w:tc>
              <w:tcPr>
                <w:shd w:fill="auto" w:val="clear"/>
                <w:vAlign w:val="center"/>
              </w:tcPr>
              <w:p w:rsidR="00000000" w:rsidDel="00000000" w:rsidP="00000000" w:rsidRDefault="00000000" w:rsidRPr="00000000" w14:paraId="00000165">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Descripción del cambio</w:t>
                </w:r>
              </w:p>
            </w:tc>
          </w:tr>
          <w:tr>
            <w:trPr>
              <w:cantSplit w:val="0"/>
              <w:trHeight w:val="413" w:hRule="atLeast"/>
              <w:tblHeader w:val="0"/>
            </w:trPr>
            <w:tc>
              <w:tcPr>
                <w:shd w:fill="auto" w:val="clear"/>
                <w:vAlign w:val="center"/>
              </w:tcPr>
              <w:p w:rsidR="00000000" w:rsidDel="00000000" w:rsidP="00000000" w:rsidRDefault="00000000" w:rsidRPr="00000000" w14:paraId="0000016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shd w:fill="auto" w:val="clear"/>
                <w:vAlign w:val="center"/>
              </w:tcPr>
              <w:p w:rsidR="00000000" w:rsidDel="00000000" w:rsidP="00000000" w:rsidRDefault="00000000" w:rsidRPr="00000000" w14:paraId="00000167">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26-06-2025</w:t>
                </w:r>
              </w:p>
            </w:tc>
            <w:tc>
              <w:tcPr>
                <w:shd w:fill="auto" w:val="clear"/>
                <w:vAlign w:val="center"/>
              </w:tcPr>
              <w:p w:rsidR="00000000" w:rsidDel="00000000" w:rsidP="00000000" w:rsidRDefault="00000000" w:rsidRPr="00000000" w14:paraId="00000168">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Asesor de calidad</w:t>
                </w:r>
              </w:p>
            </w:tc>
            <w:tc>
              <w:tcPr>
                <w:shd w:fill="auto" w:val="clear"/>
                <w:vAlign w:val="center"/>
              </w:tcPr>
              <w:p w:rsidR="00000000" w:rsidDel="00000000" w:rsidP="00000000" w:rsidRDefault="00000000" w:rsidRPr="00000000" w14:paraId="00000169">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Generalidades</w:t>
                </w:r>
              </w:p>
            </w:tc>
          </w:tr>
        </w:tbl>
      </w:sdtContent>
    </w:sdt>
    <w:p w:rsidR="00000000" w:rsidDel="00000000" w:rsidP="00000000" w:rsidRDefault="00000000" w:rsidRPr="00000000" w14:paraId="0000016A">
      <w:pPr>
        <w:spacing w:line="269.67272727272723" w:lineRule="auto"/>
        <w:ind w:left="2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 </w:t>
      </w:r>
    </w:p>
    <w:p w:rsidR="00000000" w:rsidDel="00000000" w:rsidP="00000000" w:rsidRDefault="00000000" w:rsidRPr="00000000" w14:paraId="0000016B">
      <w:pPr>
        <w:spacing w:line="240" w:lineRule="auto"/>
        <w:jc w:val="both"/>
        <w:rPr>
          <w:b w:val="1"/>
          <w:sz w:val="24"/>
          <w:szCs w:val="24"/>
        </w:rPr>
      </w:pPr>
      <w:r w:rsidDel="00000000" w:rsidR="00000000" w:rsidRPr="00000000">
        <w:rPr>
          <w:rtl w:val="0"/>
        </w:rPr>
      </w:r>
    </w:p>
    <w:sectPr>
      <w:headerReference r:id="rId22" w:type="default"/>
      <w:foot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widowControl w:val="0"/>
      <w:rPr>
        <w:rFonts w:ascii="Calibri" w:cs="Calibri" w:eastAsia="Calibri" w:hAnsi="Calibri"/>
        <w:sz w:val="24"/>
        <w:szCs w:val="24"/>
      </w:rPr>
    </w:pPr>
    <w:r w:rsidDel="00000000" w:rsidR="00000000" w:rsidRPr="00000000">
      <w:rPr>
        <w:rtl w:val="0"/>
      </w:rPr>
    </w:r>
  </w:p>
  <w:tbl>
    <w:tblPr>
      <w:tblStyle w:val="Table17"/>
      <w:tblW w:w="9630.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2940"/>
      <w:gridCol w:w="3570"/>
      <w:tblGridChange w:id="0">
        <w:tblGrid>
          <w:gridCol w:w="3120"/>
          <w:gridCol w:w="2940"/>
          <w:gridCol w:w="3570"/>
        </w:tblGrid>
      </w:tblGridChange>
    </w:tblGrid>
    <w:tr>
      <w:trPr>
        <w:cantSplit w:val="0"/>
        <w:trHeight w:val="180.64453125" w:hRule="atLeast"/>
        <w:tblHeader w:val="0"/>
      </w:trPr>
      <w:tc>
        <w:tcPr>
          <w:shd w:fill="auto" w:val="clear"/>
        </w:tcPr>
        <w:p w:rsidR="00000000" w:rsidDel="00000000" w:rsidP="00000000" w:rsidRDefault="00000000" w:rsidRPr="00000000" w14:paraId="0000017C">
          <w:pPr>
            <w:tabs>
              <w:tab w:val="center" w:leader="none" w:pos="4419"/>
              <w:tab w:val="right" w:leader="none" w:pos="8838"/>
            </w:tabs>
            <w:ind w:right="73.46456692913421"/>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ELABORADO POR</w:t>
          </w:r>
        </w:p>
      </w:tc>
      <w:tc>
        <w:tcPr>
          <w:shd w:fill="auto" w:val="clear"/>
        </w:tcPr>
        <w:p w:rsidR="00000000" w:rsidDel="00000000" w:rsidP="00000000" w:rsidRDefault="00000000" w:rsidRPr="00000000" w14:paraId="0000017D">
          <w:pPr>
            <w:tabs>
              <w:tab w:val="center" w:leader="none" w:pos="4419"/>
              <w:tab w:val="right" w:leader="none" w:pos="8838"/>
            </w:tabs>
            <w:ind w:right="90.35433070866134"/>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REVISADO POR</w:t>
          </w:r>
        </w:p>
      </w:tc>
      <w:tc>
        <w:tcPr>
          <w:shd w:fill="auto" w:val="clear"/>
        </w:tcPr>
        <w:p w:rsidR="00000000" w:rsidDel="00000000" w:rsidP="00000000" w:rsidRDefault="00000000" w:rsidRPr="00000000" w14:paraId="0000017E">
          <w:pPr>
            <w:tabs>
              <w:tab w:val="center" w:leader="none" w:pos="4419"/>
              <w:tab w:val="right" w:leader="none" w:pos="8838"/>
            </w:tabs>
            <w:ind w:right="45.35433070866134"/>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APROBADO POR</w:t>
          </w:r>
        </w:p>
      </w:tc>
    </w:tr>
    <w:tr>
      <w:trPr>
        <w:cantSplit w:val="0"/>
        <w:tblHeader w:val="0"/>
      </w:trPr>
      <w:tc>
        <w:tcPr>
          <w:shd w:fill="auto" w:val="clear"/>
        </w:tcPr>
        <w:p w:rsidR="00000000" w:rsidDel="00000000" w:rsidP="00000000" w:rsidRDefault="00000000" w:rsidRPr="00000000" w14:paraId="0000017F">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180">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181">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shd w:fill="auto" w:val="clear"/>
        </w:tcPr>
        <w:p w:rsidR="00000000" w:rsidDel="00000000" w:rsidP="00000000" w:rsidRDefault="00000000" w:rsidRPr="00000000" w14:paraId="00000182">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183">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184">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p w:rsidR="00000000" w:rsidDel="00000000" w:rsidP="00000000" w:rsidRDefault="00000000" w:rsidRPr="00000000" w14:paraId="00000185">
    <w:pPr>
      <w:rPr>
        <w:rFonts w:ascii="Calibri" w:cs="Calibri" w:eastAsia="Calibri" w:hAnsi="Calibri"/>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widowControl w:val="0"/>
      <w:rPr>
        <w:sz w:val="24"/>
        <w:szCs w:val="24"/>
      </w:rPr>
    </w:pPr>
    <w:r w:rsidDel="00000000" w:rsidR="00000000" w:rsidRPr="00000000">
      <w:rPr>
        <w:rtl w:val="0"/>
      </w:rPr>
    </w:r>
  </w:p>
  <w:sdt>
    <w:sdtPr>
      <w:lock w:val="contentLocked"/>
      <w:id w:val="1631111627"/>
      <w:tag w:val="goog_rdk_15"/>
    </w:sdtPr>
    <w:sdtContent>
      <w:tbl>
        <w:tblPr>
          <w:tblStyle w:val="Table16"/>
          <w:tblW w:w="939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5565"/>
          <w:gridCol w:w="1425"/>
          <w:tblGridChange w:id="0">
            <w:tblGrid>
              <w:gridCol w:w="2400"/>
              <w:gridCol w:w="5565"/>
              <w:gridCol w:w="1425"/>
            </w:tblGrid>
          </w:tblGridChange>
        </w:tblGrid>
        <w:tr>
          <w:trPr>
            <w:cantSplit w:val="0"/>
            <w:trHeight w:val="1043.96484375" w:hRule="atLeast"/>
            <w:tblHeader w:val="0"/>
          </w:trPr>
          <w:tc>
            <w:tcPr>
              <w:vMerge w:val="restart"/>
              <w:shd w:fill="auto" w:val="clear"/>
            </w:tcPr>
            <w:p w:rsidR="00000000" w:rsidDel="00000000" w:rsidP="00000000" w:rsidRDefault="00000000" w:rsidRPr="00000000" w14:paraId="0000016D">
              <w:pPr>
                <w:tabs>
                  <w:tab w:val="right" w:leader="none" w:pos="9003"/>
                </w:tabs>
                <w:jc w:val="center"/>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600075</wp:posOffset>
                    </wp:positionV>
                    <wp:extent cx="1361985" cy="469981"/>
                    <wp:effectExtent b="0" l="0" r="0" t="0"/>
                    <wp:wrapNone/>
                    <wp:docPr id="25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1985" cy="469981"/>
                            </a:xfrm>
                            <a:prstGeom prst="rect"/>
                            <a:ln/>
                          </pic:spPr>
                        </pic:pic>
                      </a:graphicData>
                    </a:graphic>
                  </wp:anchor>
                </w:drawing>
              </w:r>
            </w:p>
          </w:tc>
          <w:tc>
            <w:tcPr>
              <w:shd w:fill="auto" w:val="clear"/>
            </w:tcPr>
            <w:p w:rsidR="00000000" w:rsidDel="00000000" w:rsidP="00000000" w:rsidRDefault="00000000" w:rsidRPr="00000000" w14:paraId="0000016E">
              <w:pPr>
                <w:tabs>
                  <w:tab w:val="center" w:leader="none" w:pos="4419"/>
                  <w:tab w:val="right" w:leader="none" w:pos="8838"/>
                </w:tabs>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PROTOCOLO</w:t>
              </w:r>
            </w:p>
            <w:p w:rsidR="00000000" w:rsidDel="00000000" w:rsidP="00000000" w:rsidRDefault="00000000" w:rsidRPr="00000000" w14:paraId="0000016F">
              <w:pPr>
                <w:tabs>
                  <w:tab w:val="center" w:leader="none" w:pos="4419"/>
                  <w:tab w:val="right" w:leader="none" w:pos="8838"/>
                </w:tabs>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sz w:val="24"/>
                  <w:szCs w:val="24"/>
                  <w:rtl w:val="0"/>
                </w:rPr>
                <w:t xml:space="preserve">DETECTAR, ANALIZAR Y GESTIONAR EVENTOS ADVERSOS</w:t>
              </w:r>
              <w:r w:rsidDel="00000000" w:rsidR="00000000" w:rsidRPr="00000000">
                <w:rPr>
                  <w:rtl w:val="0"/>
                </w:rPr>
              </w:r>
            </w:p>
          </w:tc>
          <w:tc>
            <w:tcPr>
              <w:shd w:fill="auto" w:val="clear"/>
            </w:tcPr>
            <w:p w:rsidR="00000000" w:rsidDel="00000000" w:rsidP="00000000" w:rsidRDefault="00000000" w:rsidRPr="00000000" w14:paraId="00000170">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CÓDIGO: </w:t>
              </w:r>
              <w:r w:rsidDel="00000000" w:rsidR="00000000" w:rsidRPr="00000000">
                <w:rPr>
                  <w:rFonts w:ascii="Century Gothic" w:cs="Century Gothic" w:eastAsia="Century Gothic" w:hAnsi="Century Gothic"/>
                  <w:sz w:val="20"/>
                  <w:szCs w:val="20"/>
                  <w:rtl w:val="0"/>
                </w:rPr>
                <w:t xml:space="preserve">PP-PT-005</w:t>
              </w:r>
            </w:p>
          </w:tc>
        </w:tr>
        <w:tr>
          <w:trPr>
            <w:cantSplit w:val="0"/>
            <w:trHeight w:val="345.6140468227425" w:hRule="atLeast"/>
            <w:tblHeader w:val="0"/>
          </w:trPr>
          <w:tc>
            <w:tcPr>
              <w:vMerge w:val="continue"/>
              <w:shd w:fill="auto" w:val="clear"/>
            </w:tcPr>
            <w:p w:rsidR="00000000" w:rsidDel="00000000" w:rsidP="00000000" w:rsidRDefault="00000000" w:rsidRPr="00000000" w14:paraId="00000171">
              <w:pPr>
                <w:tabs>
                  <w:tab w:val="right" w:leader="none" w:pos="9003"/>
                </w:tabs>
                <w:jc w:val="center"/>
                <w:rPr>
                  <w:b w:val="1"/>
                  <w:sz w:val="24"/>
                  <w:szCs w:val="24"/>
                </w:rPr>
              </w:pPr>
              <w:r w:rsidDel="00000000" w:rsidR="00000000" w:rsidRPr="00000000">
                <w:rPr>
                  <w:rtl w:val="0"/>
                </w:rPr>
              </w:r>
            </w:p>
          </w:tc>
          <w:tc>
            <w:tcPr>
              <w:shd w:fill="auto" w:val="clear"/>
            </w:tcPr>
            <w:p w:rsidR="00000000" w:rsidDel="00000000" w:rsidP="00000000" w:rsidRDefault="00000000" w:rsidRPr="00000000" w14:paraId="00000172">
              <w:pPr>
                <w:tabs>
                  <w:tab w:val="center" w:leader="none" w:pos="4252"/>
                  <w:tab w:val="right" w:leader="none" w:pos="8504"/>
                </w:tabs>
                <w:ind w:left="10" w:right="7"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ESTÁNDAR 5. PROCESOS PRIORITARIOS</w:t>
              </w:r>
            </w:p>
          </w:tc>
          <w:tc>
            <w:tcPr>
              <w:shd w:fill="auto" w:val="clear"/>
            </w:tcPr>
            <w:p w:rsidR="00000000" w:rsidDel="00000000" w:rsidP="00000000" w:rsidRDefault="00000000" w:rsidRPr="00000000" w14:paraId="00000173">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VERSIÓN: </w:t>
              </w:r>
              <w:r w:rsidDel="00000000" w:rsidR="00000000" w:rsidRPr="00000000">
                <w:rPr>
                  <w:rFonts w:ascii="Century Gothic" w:cs="Century Gothic" w:eastAsia="Century Gothic" w:hAnsi="Century Gothic"/>
                  <w:sz w:val="20"/>
                  <w:szCs w:val="20"/>
                  <w:rtl w:val="0"/>
                </w:rPr>
                <w:t xml:space="preserve">02</w:t>
              </w:r>
            </w:p>
          </w:tc>
        </w:tr>
        <w:tr>
          <w:trPr>
            <w:cantSplit w:val="0"/>
            <w:trHeight w:val="453.897758152174" w:hRule="atLeast"/>
            <w:tblHeader w:val="0"/>
          </w:trPr>
          <w:tc>
            <w:tcPr>
              <w:vMerge w:val="continue"/>
              <w:shd w:fill="auto" w:val="clear"/>
            </w:tcPr>
            <w:p w:rsidR="00000000" w:rsidDel="00000000" w:rsidP="00000000" w:rsidRDefault="00000000" w:rsidRPr="00000000" w14:paraId="00000174">
              <w:pPr>
                <w:tabs>
                  <w:tab w:val="right" w:leader="none" w:pos="9003"/>
                </w:tabs>
                <w:jc w:val="center"/>
                <w:rPr>
                  <w:b w:val="1"/>
                  <w:sz w:val="24"/>
                  <w:szCs w:val="24"/>
                </w:rPr>
              </w:pPr>
              <w:r w:rsidDel="00000000" w:rsidR="00000000" w:rsidRPr="00000000">
                <w:rPr>
                  <w:rtl w:val="0"/>
                </w:rPr>
              </w:r>
            </w:p>
          </w:tc>
          <w:tc>
            <w:tcPr>
              <w:shd w:fill="auto" w:val="clear"/>
            </w:tcPr>
            <w:p w:rsidR="00000000" w:rsidDel="00000000" w:rsidP="00000000" w:rsidRDefault="00000000" w:rsidRPr="00000000" w14:paraId="00000175">
              <w:pPr>
                <w:tabs>
                  <w:tab w:val="center" w:leader="none" w:pos="4419"/>
                  <w:tab w:val="right" w:leader="none" w:pos="8838"/>
                </w:tabs>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COPIA CONTROLADA – DOCUMENTO GENERAL</w:t>
              </w:r>
            </w:p>
          </w:tc>
          <w:tc>
            <w:tcPr>
              <w:shd w:fill="auto" w:val="clear"/>
            </w:tcPr>
            <w:p w:rsidR="00000000" w:rsidDel="00000000" w:rsidP="00000000" w:rsidRDefault="00000000" w:rsidRPr="00000000" w14:paraId="00000176">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FECHA: </w:t>
              </w:r>
              <w:r w:rsidDel="00000000" w:rsidR="00000000" w:rsidRPr="00000000">
                <w:rPr>
                  <w:rFonts w:ascii="Century Gothic" w:cs="Century Gothic" w:eastAsia="Century Gothic" w:hAnsi="Century Gothic"/>
                  <w:sz w:val="20"/>
                  <w:szCs w:val="20"/>
                  <w:rtl w:val="0"/>
                </w:rPr>
                <w:t xml:space="preserve">Junio 2025 </w:t>
              </w:r>
            </w:p>
          </w:tc>
        </w:tr>
      </w:tbl>
    </w:sdtContent>
  </w:sdt>
  <w:p w:rsidR="00000000" w:rsidDel="00000000" w:rsidP="00000000" w:rsidRDefault="00000000" w:rsidRPr="00000000" w14:paraId="00000177">
    <w:pPr>
      <w:tabs>
        <w:tab w:val="center" w:leader="none" w:pos="4419"/>
        <w:tab w:val="right" w:leader="none" w:pos="8838"/>
      </w:tabs>
      <w:spacing w:line="240" w:lineRule="auto"/>
      <w:rPr>
        <w:sz w:val="24"/>
        <w:szCs w:val="24"/>
      </w:rPr>
    </w:pPr>
    <w:r w:rsidDel="00000000" w:rsidR="00000000" w:rsidRPr="00000000">
      <w:rPr>
        <w:rtl w:val="0"/>
      </w:rPr>
    </w:r>
  </w:p>
  <w:p w:rsidR="00000000" w:rsidDel="00000000" w:rsidP="00000000" w:rsidRDefault="00000000" w:rsidRPr="00000000" w14:paraId="00000178">
    <w:pPr>
      <w:tabs>
        <w:tab w:val="center" w:leader="none" w:pos="4419"/>
        <w:tab w:val="right" w:leader="none" w:pos="8838"/>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08.0" w:type="dxa"/>
        <w:right w:w="108.0" w:type="dxa"/>
      </w:tblCellMar>
    </w:tblPr>
  </w:style>
  <w:style w:type="paragraph" w:styleId="Encabezado">
    <w:name w:val="header"/>
    <w:basedOn w:val="Normal"/>
    <w:link w:val="EncabezadoCar"/>
    <w:uiPriority w:val="99"/>
    <w:unhideWhenUsed w:val="1"/>
    <w:rsid w:val="008A370A"/>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8A370A"/>
  </w:style>
  <w:style w:type="paragraph" w:styleId="Piedepgina">
    <w:name w:val="footer"/>
    <w:basedOn w:val="Normal"/>
    <w:link w:val="PiedepginaCar"/>
    <w:uiPriority w:val="99"/>
    <w:unhideWhenUsed w:val="1"/>
    <w:rsid w:val="008A370A"/>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8A370A"/>
  </w:style>
  <w:style w:type="paragraph" w:styleId="NormalWeb">
    <w:name w:val="Normal (Web)"/>
    <w:basedOn w:val="Normal"/>
    <w:uiPriority w:val="99"/>
    <w:semiHidden w:val="1"/>
    <w:unhideWhenUsed w:val="1"/>
    <w:rsid w:val="008A370A"/>
    <w:pPr>
      <w:spacing w:after="100" w:afterAutospacing="1" w:before="100" w:beforeAutospacing="1" w:line="240" w:lineRule="auto"/>
    </w:pPr>
    <w:rPr>
      <w:rFonts w:ascii="Times New Roman" w:cs="Times New Roman" w:eastAsia="Times New Roman" w:hAnsi="Times New Roman"/>
      <w:sz w:val="24"/>
      <w:szCs w:val="24"/>
      <w:lang w:val="es-CO"/>
    </w:rPr>
  </w:style>
  <w:style w:type="paragraph" w:styleId="Textodeglobo">
    <w:name w:val="Balloon Text"/>
    <w:basedOn w:val="Normal"/>
    <w:link w:val="TextodegloboCar"/>
    <w:uiPriority w:val="99"/>
    <w:semiHidden w:val="1"/>
    <w:unhideWhenUsed w:val="1"/>
    <w:rsid w:val="0048475D"/>
    <w:pPr>
      <w:spacing w:line="240" w:lineRule="auto"/>
    </w:pPr>
    <w:rPr>
      <w:rFonts w:ascii="Times New Roman" w:cs="Times New Roman" w:hAnsi="Times New Roman"/>
      <w:sz w:val="18"/>
      <w:szCs w:val="18"/>
    </w:rPr>
  </w:style>
  <w:style w:type="character" w:styleId="TextodegloboCar" w:customStyle="1">
    <w:name w:val="Texto de globo Car"/>
    <w:basedOn w:val="Fuentedeprrafopredeter"/>
    <w:link w:val="Textodeglobo"/>
    <w:uiPriority w:val="99"/>
    <w:semiHidden w:val="1"/>
    <w:rsid w:val="0048475D"/>
    <w:rPr>
      <w:rFonts w:ascii="Times New Roman" w:cs="Times New Roman" w:hAnsi="Times New Roman"/>
      <w:sz w:val="18"/>
      <w:szCs w:val="1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7">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band2Horz">
      <w:tcPr/>
    </w:tblStylePr>
    <w:tblStylePr w:type="band2Vert">
      <w:tcPr/>
    </w:tblStylePr>
    <w:tblStylePr w:type="firstCol">
      <w:pPr>
        <w:jc w:val="right"/>
      </w:pPr>
      <w:rPr>
        <w:i w:val="1"/>
      </w:rPr>
      <w:tcPr>
        <w:shd w:fill="ffffff" w:val="clear"/>
      </w:tcPr>
    </w:tblStylePr>
    <w:tblStylePr w:type="firstRow">
      <w:rPr>
        <w:b w:val="1"/>
      </w:rPr>
      <w:tcPr>
        <w:shd w:fill="ffffff" w:val="clear"/>
      </w:tcPr>
    </w:tblStylePr>
    <w:tblStylePr w:type="lastCol">
      <w:rPr>
        <w:i w:val="1"/>
      </w:rPr>
      <w:tcPr>
        <w:shd w:fill="ffffff" w:val="clear"/>
      </w:tcPr>
    </w:tblStylePr>
    <w:tblStylePr w:type="lastRow">
      <w:rPr>
        <w:b w:val="1"/>
      </w:rPr>
      <w:tcPr>
        <w:shd w:fill="ffffff" w:val="clear"/>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firstCol">
      <w:pPr>
        <w:jc w:val="right"/>
      </w:pPr>
      <w:rPr>
        <w:i w:val="1"/>
      </w:rPr>
      <w:tcPr>
        <w:shd w:fill="ffffff" w:val="clear"/>
      </w:tcPr>
    </w:tblStylePr>
    <w:tblStylePr w:type="firstRow">
      <w:rPr>
        <w:b w:val="1"/>
      </w:rPr>
      <w:tcPr>
        <w:shd w:fill="ffffff" w:val="clear"/>
      </w:tcPr>
    </w:tblStylePr>
    <w:tblStylePr w:type="lastCol">
      <w:rPr>
        <w:i w:val="1"/>
      </w:rPr>
      <w:tcPr>
        <w:shd w:fill="ffffff" w:val="clear"/>
      </w:tcPr>
    </w:tblStylePr>
    <w:tblStylePr w:type="lastRow">
      <w:rPr>
        <w:b w:val="1"/>
      </w:rPr>
      <w:tcPr>
        <w:shd w:fill="ffffff"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table" w:styleId="Table17">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www.minsalud.gov.co/sites/rid/Lists/BibliotecaDigital/RIDE/DE/CA/PROTOCOLO_DE_LONDRES_INCIDENTES%20CLINICOS.pdf" TargetMode="External"/><Relationship Id="rId11" Type="http://schemas.openxmlformats.org/officeDocument/2006/relationships/hyperlink" Target="https://docs.google.com/spreadsheets/d/1wj4C2nrVoDEEaa5yJos_CYo4YRaUcuSN/edit?usp=drive_link&amp;ouid=114451140445883762674&amp;rtpof=true&amp;sd=true" TargetMode="External"/><Relationship Id="rId22" Type="http://schemas.openxmlformats.org/officeDocument/2006/relationships/header" Target="header1.xml"/><Relationship Id="rId10" Type="http://schemas.openxmlformats.org/officeDocument/2006/relationships/image" Target="media/image2.png"/><Relationship Id="rId21" Type="http://schemas.openxmlformats.org/officeDocument/2006/relationships/hyperlink" Target="https://www.minsalud.gov.co/sites/rid/Lists/BibliotecaDigital/RIDE/DE/CA/PROTOCOLO_DE_LONDRES_INCIDENTES%20CLINICOS.pdf" TargetMode="External"/><Relationship Id="rId13" Type="http://schemas.openxmlformats.org/officeDocument/2006/relationships/hyperlink" Target="https://docs.google.com/forms/d/e/1FAIpQLSfwxeI2SfUF_b40ZNpdgvot1Gzpxd3li8-zzYS8IH1NN06tUA/viewform?usp=header" TargetMode="External"/><Relationship Id="rId12" Type="http://schemas.openxmlformats.org/officeDocument/2006/relationships/hyperlink" Target="https://docs.google.com/spreadsheets/d/1wj4C2nrVoDEEaa5yJos_CYo4YRaUcuSN/edit?usp=drive_link&amp;ouid=114451140445883762674&amp;rtpof=true&amp;sd=true"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_jU6TTffR0Wr0RC99l_1dLtt6iqHp0HO/edit?usp=drive_link&amp;ouid=114451140445883762674&amp;rtpof=true&amp;sd=true" TargetMode="External"/><Relationship Id="rId15" Type="http://schemas.openxmlformats.org/officeDocument/2006/relationships/hyperlink" Target="https://www.minsalud.gov.co/sites/rid/Lists/BibliotecaDigital/RIDE/DE/CA/Evaluar-frecuencia-eventos-adversos.pdf" TargetMode="External"/><Relationship Id="rId14" Type="http://schemas.openxmlformats.org/officeDocument/2006/relationships/hyperlink" Target="https://www.minsalud.gov.co/sites/rid/Lists/BibliotecaDigital/RIDE/DE/CA/Evaluar-frecuencia-eventos-adversos.pdf" TargetMode="External"/><Relationship Id="rId17" Type="http://schemas.openxmlformats.org/officeDocument/2006/relationships/hyperlink" Target="https://www.minsalud.gov.co/sites/rid/Lists/BibliotecaDigital/RIDE/DE/CA/Evaluar-frecuencia-eventos-adversos.pdf" TargetMode="External"/><Relationship Id="rId16" Type="http://schemas.openxmlformats.org/officeDocument/2006/relationships/hyperlink" Target="https://www.minsalud.gov.co/sites/rid/Lists/BibliotecaDigital/RIDE/DE/CA/Evaluar-frecuencia-eventos-adversos.pdf" TargetMode="External"/><Relationship Id="rId5" Type="http://schemas.openxmlformats.org/officeDocument/2006/relationships/styles" Target="styles.xml"/><Relationship Id="rId19" Type="http://schemas.openxmlformats.org/officeDocument/2006/relationships/hyperlink" Target="https://www.minsalud.gov.co/sites/rid/Lists/BibliotecaDigital/RIDE/DE/CA/PROTOCOLO_DE_LONDRES_INCIDENTES%20CLINICOS.pdf" TargetMode="External"/><Relationship Id="rId6" Type="http://schemas.openxmlformats.org/officeDocument/2006/relationships/customXml" Target="../customXML/item1.xml"/><Relationship Id="rId18" Type="http://schemas.openxmlformats.org/officeDocument/2006/relationships/hyperlink" Target="https://www.minsalud.gov.co/sites/rid/Lists/BibliotecaDigital/RIDE/DE/CA/PROTOCOLO_DE_LONDRES_INCIDENTES%20CLINICOS.pdf" TargetMode="External"/><Relationship Id="rId7" Type="http://schemas.openxmlformats.org/officeDocument/2006/relationships/hyperlink" Target="https://docs.google.com/forms/d/e/1FAIpQLSfwxeI2SfUF_b40ZNpdgvot1Gzpxd3li8-zzYS8IH1NN06tUA/viewform?usp=header" TargetMode="External"/><Relationship Id="rId8" Type="http://schemas.openxmlformats.org/officeDocument/2006/relationships/hyperlink" Target="https://docs.google.com/forms/d/e/1FAIpQLSfwxeI2SfUF_b40ZNpdgvot1Gzpxd3li8-zzYS8IH1NN06tUA/viewform?usp=head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owkBcd1r1AoBfzCoMGOFtaxiyA==">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2022-07-11T01:33:00Z</dcterms:created>
</cp:coreProperties>
</file>