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sz w:val="24"/>
          <w:szCs w:val="24"/>
        </w:rPr>
      </w:pPr>
      <w:r w:rsidDel="00000000" w:rsidR="00000000" w:rsidRPr="00000000">
        <w:rPr>
          <w:rtl w:val="0"/>
        </w:rPr>
      </w:r>
    </w:p>
    <w:sdt>
      <w:sdtPr>
        <w:lock w:val="contentLocked"/>
        <w:id w:val="-1394833706"/>
        <w:tag w:val="goog_rdk_0"/>
      </w:sdtPr>
      <w:sdtContent>
        <w:tbl>
          <w:tblPr>
            <w:tblStyle w:val="Table1"/>
            <w:tblW w:w="939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5565"/>
            <w:gridCol w:w="1425"/>
            <w:tblGridChange w:id="0">
              <w:tblGrid>
                <w:gridCol w:w="2400"/>
                <w:gridCol w:w="5565"/>
                <w:gridCol w:w="1425"/>
              </w:tblGrid>
            </w:tblGridChange>
          </w:tblGrid>
          <w:tr>
            <w:trPr>
              <w:cantSplit w:val="0"/>
              <w:trHeight w:val="690" w:hRule="atLeast"/>
              <w:tblHeader w:val="0"/>
            </w:trPr>
            <w:tc>
              <w:tcPr>
                <w:vMerge w:val="restart"/>
                <w:shd w:fill="auto" w:val="clear"/>
              </w:tcPr>
              <w:p w:rsidR="00000000" w:rsidDel="00000000" w:rsidP="00000000" w:rsidRDefault="00000000" w:rsidRPr="00000000" w14:paraId="00000002">
                <w:pPr>
                  <w:tabs>
                    <w:tab w:val="right" w:leader="none" w:pos="9003"/>
                  </w:tabs>
                  <w:jc w:val="center"/>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333375</wp:posOffset>
                      </wp:positionV>
                      <wp:extent cx="1361985" cy="469981"/>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1985" cy="469981"/>
                              </a:xfrm>
                              <a:prstGeom prst="rect"/>
                              <a:ln/>
                            </pic:spPr>
                          </pic:pic>
                        </a:graphicData>
                      </a:graphic>
                    </wp:anchor>
                  </w:drawing>
                </w:r>
              </w:p>
            </w:tc>
            <w:tc>
              <w:tcPr>
                <w:shd w:fill="auto" w:val="clear"/>
              </w:tcPr>
              <w:p w:rsidR="00000000" w:rsidDel="00000000" w:rsidP="00000000" w:rsidRDefault="00000000" w:rsidRPr="00000000" w14:paraId="00000003">
                <w:pPr>
                  <w:tabs>
                    <w:tab w:val="center" w:leader="none" w:pos="4419"/>
                    <w:tab w:val="right" w:leader="none" w:pos="8838"/>
                  </w:tabs>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PROTOCOLO</w:t>
                </w:r>
              </w:p>
              <w:p w:rsidR="00000000" w:rsidDel="00000000" w:rsidP="00000000" w:rsidRDefault="00000000" w:rsidRPr="00000000" w14:paraId="00000004">
                <w:pPr>
                  <w:tabs>
                    <w:tab w:val="center" w:leader="none" w:pos="4419"/>
                    <w:tab w:val="right" w:leader="none" w:pos="8838"/>
                  </w:tabs>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ILUSTRAR AL PACIENTE EN EL AUTOCUIDADO </w:t>
                </w:r>
              </w:p>
            </w:tc>
            <w:tc>
              <w:tcPr>
                <w:shd w:fill="auto" w:val="clear"/>
              </w:tcPr>
              <w:p w:rsidR="00000000" w:rsidDel="00000000" w:rsidP="00000000" w:rsidRDefault="00000000" w:rsidRPr="00000000" w14:paraId="00000005">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CÓDIGO: </w:t>
                </w:r>
                <w:r w:rsidDel="00000000" w:rsidR="00000000" w:rsidRPr="00000000">
                  <w:rPr>
                    <w:rFonts w:ascii="Century Gothic" w:cs="Century Gothic" w:eastAsia="Century Gothic" w:hAnsi="Century Gothic"/>
                    <w:sz w:val="20"/>
                    <w:szCs w:val="20"/>
                    <w:rtl w:val="0"/>
                  </w:rPr>
                  <w:t xml:space="preserve">PP-PT-008</w:t>
                </w:r>
              </w:p>
            </w:tc>
          </w:tr>
          <w:tr>
            <w:trPr>
              <w:cantSplit w:val="0"/>
              <w:trHeight w:val="345.6140468227425" w:hRule="atLeast"/>
              <w:tblHeader w:val="0"/>
            </w:trPr>
            <w:tc>
              <w:tcPr>
                <w:vMerge w:val="continue"/>
                <w:shd w:fill="auto" w:val="clear"/>
              </w:tcPr>
              <w:p w:rsidR="00000000" w:rsidDel="00000000" w:rsidP="00000000" w:rsidRDefault="00000000" w:rsidRPr="00000000" w14:paraId="00000006">
                <w:pPr>
                  <w:tabs>
                    <w:tab w:val="right" w:leader="none" w:pos="9003"/>
                  </w:tabs>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007">
                <w:pPr>
                  <w:tabs>
                    <w:tab w:val="center" w:leader="none" w:pos="4252"/>
                    <w:tab w:val="right" w:leader="none" w:pos="8504"/>
                  </w:tabs>
                  <w:ind w:left="10" w:right="7" w:firstLine="0"/>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ESTÁNDAR 5. PROCESOS PRIORITARIOS</w:t>
                </w:r>
              </w:p>
            </w:tc>
            <w:tc>
              <w:tcPr>
                <w:shd w:fill="auto" w:val="clear"/>
              </w:tcPr>
              <w:p w:rsidR="00000000" w:rsidDel="00000000" w:rsidP="00000000" w:rsidRDefault="00000000" w:rsidRPr="00000000" w14:paraId="00000008">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VERSIÓN: </w:t>
                </w:r>
                <w:r w:rsidDel="00000000" w:rsidR="00000000" w:rsidRPr="00000000">
                  <w:rPr>
                    <w:rFonts w:ascii="Century Gothic" w:cs="Century Gothic" w:eastAsia="Century Gothic" w:hAnsi="Century Gothic"/>
                    <w:sz w:val="20"/>
                    <w:szCs w:val="20"/>
                    <w:rtl w:val="0"/>
                  </w:rPr>
                  <w:t xml:space="preserve">02</w:t>
                </w:r>
              </w:p>
            </w:tc>
          </w:tr>
          <w:tr>
            <w:trPr>
              <w:cantSplit w:val="0"/>
              <w:trHeight w:val="405" w:hRule="atLeast"/>
              <w:tblHeader w:val="0"/>
            </w:trPr>
            <w:tc>
              <w:tcPr>
                <w:vMerge w:val="continue"/>
                <w:shd w:fill="auto" w:val="clear"/>
              </w:tcPr>
              <w:p w:rsidR="00000000" w:rsidDel="00000000" w:rsidP="00000000" w:rsidRDefault="00000000" w:rsidRPr="00000000" w14:paraId="00000009">
                <w:pPr>
                  <w:tabs>
                    <w:tab w:val="right" w:leader="none" w:pos="9003"/>
                  </w:tabs>
                  <w:jc w:val="center"/>
                  <w:rPr>
                    <w:rFonts w:ascii="Arial" w:cs="Arial" w:eastAsia="Arial" w:hAnsi="Arial"/>
                    <w:b w:val="1"/>
                    <w:sz w:val="24"/>
                    <w:szCs w:val="24"/>
                  </w:rPr>
                </w:pPr>
                <w:r w:rsidDel="00000000" w:rsidR="00000000" w:rsidRPr="00000000">
                  <w:rPr>
                    <w:rtl w:val="0"/>
                  </w:rPr>
                </w:r>
              </w:p>
            </w:tc>
            <w:tc>
              <w:tcPr>
                <w:shd w:fill="auto" w:val="clear"/>
              </w:tcPr>
              <w:p w:rsidR="00000000" w:rsidDel="00000000" w:rsidP="00000000" w:rsidRDefault="00000000" w:rsidRPr="00000000" w14:paraId="0000000A">
                <w:pPr>
                  <w:tabs>
                    <w:tab w:val="center" w:leader="none" w:pos="4419"/>
                    <w:tab w:val="right" w:leader="none" w:pos="8838"/>
                  </w:tabs>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COPIA CONTROLADA – DOCUMENTO GENERAL</w:t>
                </w:r>
              </w:p>
            </w:tc>
            <w:tc>
              <w:tcPr>
                <w:shd w:fill="auto" w:val="clear"/>
              </w:tcPr>
              <w:p w:rsidR="00000000" w:rsidDel="00000000" w:rsidP="00000000" w:rsidRDefault="00000000" w:rsidRPr="00000000" w14:paraId="0000000B">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FECHA: </w:t>
                </w:r>
                <w:r w:rsidDel="00000000" w:rsidR="00000000" w:rsidRPr="00000000">
                  <w:rPr>
                    <w:rFonts w:ascii="Century Gothic" w:cs="Century Gothic" w:eastAsia="Century Gothic" w:hAnsi="Century Gothic"/>
                    <w:sz w:val="20"/>
                    <w:szCs w:val="20"/>
                    <w:rtl w:val="0"/>
                  </w:rPr>
                  <w:t xml:space="preserve">Junio 2025 </w:t>
                </w:r>
              </w:p>
            </w:tc>
          </w:tr>
        </w:tbl>
      </w:sdtContent>
    </w:sdt>
    <w:p w:rsidR="00000000" w:rsidDel="00000000" w:rsidP="00000000" w:rsidRDefault="00000000" w:rsidRPr="00000000" w14:paraId="0000000C">
      <w:pPr>
        <w:widowControl w:val="0"/>
        <w:spacing w:after="0" w:line="276" w:lineRule="auto"/>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0E">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widowControl w:val="0"/>
        <w:spacing w:after="0" w:line="276" w:lineRule="auto"/>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13">
      <w:pPr>
        <w:tabs>
          <w:tab w:val="center" w:leader="none" w:pos="4419"/>
          <w:tab w:val="right" w:leader="none" w:pos="8838"/>
        </w:tabs>
        <w:spacing w:after="0" w:line="240" w:lineRule="auto"/>
        <w:jc w:val="center"/>
        <w:rPr>
          <w:rFonts w:ascii="Century Gothic" w:cs="Century Gothic" w:eastAsia="Century Gothic" w:hAnsi="Century Gothic"/>
          <w:b w:val="1"/>
          <w:sz w:val="72"/>
          <w:szCs w:val="72"/>
        </w:rPr>
      </w:pPr>
      <w:r w:rsidDel="00000000" w:rsidR="00000000" w:rsidRPr="00000000">
        <w:rPr>
          <w:rFonts w:ascii="Century Gothic" w:cs="Century Gothic" w:eastAsia="Century Gothic" w:hAnsi="Century Gothic"/>
          <w:b w:val="1"/>
          <w:sz w:val="72"/>
          <w:szCs w:val="72"/>
          <w:rtl w:val="0"/>
        </w:rPr>
        <w:t xml:space="preserve">PROTOCOLO</w:t>
      </w:r>
    </w:p>
    <w:p w:rsidR="00000000" w:rsidDel="00000000" w:rsidP="00000000" w:rsidRDefault="00000000" w:rsidRPr="00000000" w14:paraId="00000014">
      <w:pPr>
        <w:tabs>
          <w:tab w:val="center" w:leader="none" w:pos="4419"/>
          <w:tab w:val="right" w:leader="none" w:pos="8838"/>
        </w:tabs>
        <w:spacing w:after="0" w:line="240" w:lineRule="auto"/>
        <w:jc w:val="center"/>
        <w:rPr>
          <w:rFonts w:ascii="Century Gothic" w:cs="Century Gothic" w:eastAsia="Century Gothic" w:hAnsi="Century Gothic"/>
          <w:b w:val="1"/>
          <w:sz w:val="72"/>
          <w:szCs w:val="72"/>
        </w:rPr>
      </w:pPr>
      <w:r w:rsidDel="00000000" w:rsidR="00000000" w:rsidRPr="00000000">
        <w:rPr>
          <w:rFonts w:ascii="Century Gothic" w:cs="Century Gothic" w:eastAsia="Century Gothic" w:hAnsi="Century Gothic"/>
          <w:b w:val="1"/>
          <w:sz w:val="72"/>
          <w:szCs w:val="72"/>
          <w:rtl w:val="0"/>
        </w:rPr>
        <w:t xml:space="preserve">ILUSTRAR AL PACIENTE EN EL AUTOCUIDADO DE SU SEGURIDAD </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entury Gothic" w:cs="Century Gothic" w:eastAsia="Century Gothic" w:hAnsi="Century Gothic"/>
          <w:color w:val="2f5496"/>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entury Gothic" w:cs="Century Gothic" w:eastAsia="Century Gothic" w:hAnsi="Century Gothic"/>
          <w:b w:val="1"/>
          <w:i w:val="0"/>
          <w:smallCaps w:val="0"/>
          <w:strike w:val="0"/>
          <w:u w:val="none"/>
          <w:shd w:fill="auto" w:val="clear"/>
          <w:vertAlign w:val="baseline"/>
        </w:rPr>
      </w:pPr>
      <w:r w:rsidDel="00000000" w:rsidR="00000000" w:rsidRPr="00000000">
        <w:rPr>
          <w:rFonts w:ascii="Century Gothic" w:cs="Century Gothic" w:eastAsia="Century Gothic" w:hAnsi="Century Gothic"/>
          <w:b w:val="1"/>
          <w:i w:val="0"/>
          <w:smallCaps w:val="0"/>
          <w:strike w:val="0"/>
          <w:u w:val="none"/>
          <w:shd w:fill="auto" w:val="clear"/>
          <w:vertAlign w:val="baseline"/>
          <w:rtl w:val="0"/>
        </w:rPr>
        <w:t xml:space="preserve">Contenido</w:t>
      </w:r>
    </w:p>
    <w:p w:rsidR="00000000" w:rsidDel="00000000" w:rsidP="00000000" w:rsidRDefault="00000000" w:rsidRPr="00000000" w14:paraId="0000001A">
      <w:pPr>
        <w:jc w:val="both"/>
        <w:rPr>
          <w:rFonts w:ascii="Century Gothic" w:cs="Century Gothic" w:eastAsia="Century Gothic" w:hAnsi="Century Gothic"/>
        </w:rPr>
      </w:pPr>
      <w:r w:rsidDel="00000000" w:rsidR="00000000" w:rsidRPr="00000000">
        <w:rPr>
          <w:rtl w:val="0"/>
        </w:rPr>
      </w:r>
    </w:p>
    <w:sdt>
      <w:sdtPr>
        <w:id w:val="-1334528839"/>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entury Gothic" w:cs="Century Gothic" w:eastAsia="Century Gothic" w:hAnsi="Century Gothic"/>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1.</w:t>
              <w:tab/>
              <w:t xml:space="preserve">OBJETIVO</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entury Gothic" w:cs="Century Gothic" w:eastAsia="Century Gothic" w:hAnsi="Century Gothic"/>
              <w:i w:val="0"/>
              <w:smallCaps w:val="0"/>
              <w:strike w:val="0"/>
              <w:color w:val="000000"/>
              <w:u w:val="none"/>
              <w:shd w:fill="auto" w:val="clear"/>
              <w:vertAlign w:val="baseline"/>
            </w:rPr>
          </w:pPr>
          <w:hyperlink w:anchor="_heading=h.30j0zll">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2.</w:t>
              <w:tab/>
              <w:t xml:space="preserve">ALCANCE</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entury Gothic" w:cs="Century Gothic" w:eastAsia="Century Gothic" w:hAnsi="Century Gothic"/>
              <w:i w:val="0"/>
              <w:smallCaps w:val="0"/>
              <w:strike w:val="0"/>
              <w:color w:val="000000"/>
              <w:u w:val="none"/>
              <w:shd w:fill="auto" w:val="clear"/>
              <w:vertAlign w:val="baseline"/>
            </w:rPr>
          </w:pPr>
          <w:hyperlink w:anchor="_heading=h.1fob9te">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3.</w:t>
              <w:tab/>
              <w:t xml:space="preserve">DEFINICIONES</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entury Gothic" w:cs="Century Gothic" w:eastAsia="Century Gothic" w:hAnsi="Century Gothic"/>
              <w:i w:val="0"/>
              <w:smallCaps w:val="0"/>
              <w:strike w:val="0"/>
              <w:color w:val="000000"/>
              <w:u w:val="none"/>
              <w:shd w:fill="auto" w:val="clear"/>
              <w:vertAlign w:val="baseline"/>
            </w:rPr>
          </w:pPr>
          <w:hyperlink w:anchor="_heading=h.3znysh7">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4.</w:t>
              <w:tab/>
              <w:t xml:space="preserve">¿POR QUÉ ES IMPORTANTE TRABAJAR LA PROMOCIÓN DEL AUTOCUIDADO Y LA AUTONOMÍA DEL PACIENTE?</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entury Gothic" w:cs="Century Gothic" w:eastAsia="Century Gothic" w:hAnsi="Century Gothic"/>
              <w:i w:val="0"/>
              <w:smallCaps w:val="0"/>
              <w:strike w:val="0"/>
              <w:color w:val="000000"/>
              <w:u w:val="none"/>
              <w:shd w:fill="auto" w:val="clear"/>
              <w:vertAlign w:val="baseline"/>
            </w:rPr>
          </w:pPr>
          <w:hyperlink w:anchor="_heading=h.2et92p0">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5.</w:t>
              <w:tab/>
              <w:t xml:space="preserve">ACCIONES INSEGURAS MÁS COMUNES QUE PERJUDICAN EL INVOLUCRAMIENTO DEL PACIENTE EN SU AUTOCUIDADO</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entury Gothic" w:cs="Century Gothic" w:eastAsia="Century Gothic" w:hAnsi="Century Gothic"/>
              <w:i w:val="0"/>
              <w:smallCaps w:val="0"/>
              <w:strike w:val="0"/>
              <w:color w:val="000000"/>
              <w:u w:val="none"/>
              <w:shd w:fill="auto" w:val="clear"/>
              <w:vertAlign w:val="baseline"/>
            </w:rPr>
          </w:pPr>
          <w:hyperlink w:anchor="_heading=h.tyjcwt">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6.</w:t>
              <w:tab/>
              <w:t xml:space="preserve">PRÁCTICAS SEGURAS MÁS EFICACES PARA PROMOVER EL AUTOCUIDADO EN EL PACIENTE</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entury Gothic" w:cs="Century Gothic" w:eastAsia="Century Gothic" w:hAnsi="Century Gothic"/>
              <w:i w:val="0"/>
              <w:smallCaps w:val="0"/>
              <w:strike w:val="0"/>
              <w:color w:val="000000"/>
              <w:u w:val="none"/>
              <w:shd w:fill="auto" w:val="clear"/>
              <w:vertAlign w:val="baseline"/>
            </w:rPr>
          </w:pPr>
          <w:hyperlink w:anchor="_heading=h.3dy6vkm">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7.</w:t>
              <w:tab/>
            </w:r>
          </w:hyperlink>
          <w:r w:rsidDel="00000000" w:rsidR="00000000" w:rsidRPr="00000000">
            <w:fldChar w:fldCharType="begin"/>
            <w:instrText xml:space="preserve"> PAGEREF _heading=h.3dy6vkm \h </w:instrText>
            <w:fldChar w:fldCharType="separate"/>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ACTIVIDADES DONDE SE ILUSTRA AL PACIENTE Y SUS ALLEGADOS EN EL AUTOCUIDADO DE SU SEGURIDAD.</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ind w:left="720" w:hanging="36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ind w:left="720" w:hanging="36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ind w:left="720" w:hanging="36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ind w:left="720" w:hanging="36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ind w:left="720" w:hanging="36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bookmarkStart w:colFirst="0" w:colLast="0" w:name="_heading=h.gjdgxs" w:id="0"/>
      <w:bookmarkEnd w:id="0"/>
      <w:r w:rsidDel="00000000" w:rsidR="00000000" w:rsidRPr="00000000">
        <w:rPr>
          <w:rFonts w:ascii="Century Gothic" w:cs="Century Gothic" w:eastAsia="Century Gothic" w:hAnsi="Century Gothic"/>
          <w:b w:val="1"/>
          <w:i w:val="0"/>
          <w:smallCaps w:val="0"/>
          <w:strike w:val="0"/>
          <w:color w:val="000000"/>
          <w:u w:val="none"/>
          <w:shd w:fill="auto" w:val="clear"/>
          <w:vertAlign w:val="baseline"/>
          <w:rtl w:val="0"/>
        </w:rPr>
        <w:t xml:space="preserve">OBJETIVO</w:t>
      </w:r>
    </w:p>
    <w:p w:rsidR="00000000" w:rsidDel="00000000" w:rsidP="00000000" w:rsidRDefault="00000000" w:rsidRPr="00000000" w14:paraId="0000002B">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Desarrollar y fortalecer destrezas y competencias para lograr involucrar a los pacientes en el autocuidado de su seguridad.</w:t>
      </w:r>
    </w:p>
    <w:p w:rsidR="00000000" w:rsidDel="00000000" w:rsidP="00000000" w:rsidRDefault="00000000" w:rsidRPr="00000000" w14:paraId="0000002C">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bookmarkStart w:colFirst="0" w:colLast="0" w:name="_heading=h.30j0zll" w:id="1"/>
      <w:bookmarkEnd w:id="1"/>
      <w:r w:rsidDel="00000000" w:rsidR="00000000" w:rsidRPr="00000000">
        <w:rPr>
          <w:rFonts w:ascii="Century Gothic" w:cs="Century Gothic" w:eastAsia="Century Gothic" w:hAnsi="Century Gothic"/>
          <w:b w:val="1"/>
          <w:i w:val="0"/>
          <w:smallCaps w:val="0"/>
          <w:strike w:val="0"/>
          <w:color w:val="000000"/>
          <w:u w:val="none"/>
          <w:shd w:fill="auto" w:val="clear"/>
          <w:vertAlign w:val="baseline"/>
          <w:rtl w:val="0"/>
        </w:rPr>
        <w:t xml:space="preserve">ALCANCE </w:t>
      </w:r>
    </w:p>
    <w:p w:rsidR="00000000" w:rsidDel="00000000" w:rsidP="00000000" w:rsidRDefault="00000000" w:rsidRPr="00000000" w14:paraId="0000002D">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Aplica al personal de salud y encargados de ilustrar al paciente en el autocuidado de su seguridad, en este caso serán los profesionales de la salud que laboren en la IPS Endocrinology &amp; Health </w:t>
      </w:r>
    </w:p>
    <w:p w:rsidR="00000000" w:rsidDel="00000000" w:rsidP="00000000" w:rsidRDefault="00000000" w:rsidRPr="00000000" w14:paraId="0000002E">
      <w:pPr>
        <w:jc w:val="both"/>
        <w:rPr>
          <w:rFonts w:ascii="Century Gothic" w:cs="Century Gothic" w:eastAsia="Century Gothic" w:hAnsi="Century Gothic"/>
          <w:b w:val="1"/>
          <w:i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u w:val="none"/>
          <w:shd w:fill="auto" w:val="clear"/>
          <w:vertAlign w:val="baseline"/>
          <w:rtl w:val="0"/>
        </w:rPr>
        <w:t xml:space="preserve">DEFINICIONES</w:t>
      </w:r>
    </w:p>
    <w:p w:rsidR="00000000" w:rsidDel="00000000" w:rsidP="00000000" w:rsidRDefault="00000000" w:rsidRPr="00000000" w14:paraId="0000002F">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AUTONOMÍA: hacer que las personas vivan libres de una o varias situaciones que les haga perder su capacidad para desarrollar las actividades básicas de la vida diaria. </w:t>
      </w:r>
    </w:p>
    <w:p w:rsidR="00000000" w:rsidDel="00000000" w:rsidP="00000000" w:rsidRDefault="00000000" w:rsidRPr="00000000" w14:paraId="00000030">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APOYO SOCIAL: el apoyo social se materializa en el trabajo en las redes de apoyo social. Las redes sociales conforman el principal sistema de apoyo natural que tiene una persona. El apoyo social en el trabajo aumenta la realización personal en el trabajo, disminuye el agotamiento emocional y mejora las actitudes y conductas negativas del sujeto hacia los demás (Gil Monte &amp; Peiró, 1997 citado en Tonon, 2003). </w:t>
      </w:r>
    </w:p>
    <w:p w:rsidR="00000000" w:rsidDel="00000000" w:rsidP="00000000" w:rsidRDefault="00000000" w:rsidRPr="00000000" w14:paraId="00000031">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AUTOCUIDADO: se refiere a las prácticas cotidianas y a las decisiones sobre ellas que realiza una persona, familia o grupo para cuidar de su salud; estas prácticas son ‘destrezas’ aprendidas a través de toda la vida, de uso continuo, que se emplean por libre decisión, con el propósito de fortalecer o restablecer la salud y prevenir la enfermedad; ellas responden a la capacidad de supervivencia y a las prácticas habituales de la cultura a la que se pertenece.</w:t>
      </w:r>
    </w:p>
    <w:p w:rsidR="00000000" w:rsidDel="00000000" w:rsidP="00000000" w:rsidRDefault="00000000" w:rsidRPr="00000000" w14:paraId="0000003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AUTOCONTROL: es la capacidad que tiene una persona para controlar sus decisiones. El control tiene un papel fundamental sobre las decisiones en torno al autocuidado, es así como el control interno está relacionado con las creencias que tiene la persona y la capacidad de influir en el medio y en el curso de la propia salud. </w:t>
      </w:r>
    </w:p>
    <w:p w:rsidR="00000000" w:rsidDel="00000000" w:rsidP="00000000" w:rsidRDefault="00000000" w:rsidRPr="00000000" w14:paraId="00000033">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RESILIENCIA: aquella “capacidad humana para hacer frente a las adversidades de la vida, superarlas y salir de ellas fortalecido o incluso transformado”. Permite focalizar los aspectos que protegen a las personas ante las adversidades y trabajar sobre sus recursos y fortalezas, promoviendo el desarrollo humano como posibilidad de aproximarse a sus condiciones de calidad de vida. La resiliencia es importante en el autocuidado porque facilita a las personas actuar de manera más ‘sana’ frente a los obstáculos a la calidad de vida.</w:t>
      </w:r>
    </w:p>
    <w:p w:rsidR="00000000" w:rsidDel="00000000" w:rsidP="00000000" w:rsidRDefault="00000000" w:rsidRPr="00000000" w14:paraId="00000034">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FALLAS LATENTES: son acciones u omisiones que se dan durante el proceso de atención en salud por miembros de los procesos de apoyo (personal administrativo)7</w:t>
      </w:r>
    </w:p>
    <w:p w:rsidR="00000000" w:rsidDel="00000000" w:rsidP="00000000" w:rsidRDefault="00000000" w:rsidRPr="00000000" w14:paraId="0000003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EVENTO ADVERSO: es el resultado de una atención en salud que de manera no intencional produjo daño. Los eventos adversos pueden ser prevenibles y no prevenibles:</w:t>
      </w:r>
    </w:p>
    <w:p w:rsidR="00000000" w:rsidDel="00000000" w:rsidP="00000000" w:rsidRDefault="00000000" w:rsidRPr="00000000" w14:paraId="0000003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-EVENTO ADVERSO PREVENIBLE: resultado no deseado, no intencional, que se habría evitado mediante el cumplimiento de los estándares del cuidado asistencial disponibles en un momento determinado.</w:t>
      </w:r>
    </w:p>
    <w:p w:rsidR="00000000" w:rsidDel="00000000" w:rsidP="00000000" w:rsidRDefault="00000000" w:rsidRPr="00000000" w14:paraId="0000003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EVENTO ADVERSO NO PREVENIBLE: resultado no deseado, no intencional, que se presenta a pesar del cumplimiento de los estándares del cuidado asistencial.</w:t>
      </w:r>
    </w:p>
    <w:p w:rsidR="00000000" w:rsidDel="00000000" w:rsidP="00000000" w:rsidRDefault="00000000" w:rsidRPr="00000000" w14:paraId="0000003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INCIDENTE: es un evento o circunstancia que sucede en la atención clínica de un paciente que no le genera daño, pero que en su ocurrencia se incorporan fallas en los procesos de atención.</w:t>
      </w:r>
    </w:p>
    <w:p w:rsidR="00000000" w:rsidDel="00000000" w:rsidP="00000000" w:rsidRDefault="00000000" w:rsidRPr="00000000" w14:paraId="00000039">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B">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bookmarkStart w:colFirst="0" w:colLast="0" w:name="_heading=h.3znysh7" w:id="2"/>
      <w:bookmarkEnd w:id="2"/>
      <w:r w:rsidDel="00000000" w:rsidR="00000000" w:rsidRPr="00000000">
        <w:rPr>
          <w:rFonts w:ascii="Century Gothic" w:cs="Century Gothic" w:eastAsia="Century Gothic" w:hAnsi="Century Gothic"/>
          <w:b w:val="1"/>
          <w:i w:val="0"/>
          <w:smallCaps w:val="0"/>
          <w:strike w:val="0"/>
          <w:color w:val="000000"/>
          <w:u w:val="none"/>
          <w:shd w:fill="auto" w:val="clear"/>
          <w:vertAlign w:val="baseline"/>
          <w:rtl w:val="0"/>
        </w:rPr>
        <w:t xml:space="preserve">¿POR QUÉ ES IMPORTANTE TRABAJAR LA PROMOCIÓN DEL AUTOCUIDADO Y LA AUTONOMÍA DEL PACIENTE?</w:t>
      </w:r>
    </w:p>
    <w:p w:rsidR="00000000" w:rsidDel="00000000" w:rsidP="00000000" w:rsidRDefault="00000000" w:rsidRPr="00000000" w14:paraId="0000003C">
      <w:pPr>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D">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importancia del autocuidado radica en ser una función inherente al ser humano e indispensable para la vida de todos los seres vivos. Resulta del crecimiento de la persona en el diario vivir, en cada experiencia como cuidador de sí mismo y de quienes hacen parte de su entorno. </w:t>
      </w:r>
    </w:p>
    <w:p w:rsidR="00000000" w:rsidDel="00000000" w:rsidP="00000000" w:rsidRDefault="00000000" w:rsidRPr="00000000" w14:paraId="0000003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Dentro del proceso de atención en salud en las instituciones, se debe trabajar en los pacientes y su familia, en el fomento del autocuidado, en la responsabilidad sobre su salud para que participen en el proceso de atención intrainstitucional. La importancia de este proceso es que el paciente se asume como partícipe de la atención, con el fin de prevenir la ocurrencia de eventos adversos. Asimismo, la mayoría de estos eventos resultan de problemas creados por la complejidad del sistema de cuidado médico de hoy en día. Pero también ocurren errores cuando los pacientes y sus médicos tienen problemas de comunicación.</w:t>
      </w:r>
    </w:p>
    <w:p w:rsidR="00000000" w:rsidDel="00000000" w:rsidP="00000000" w:rsidRDefault="00000000" w:rsidRPr="00000000" w14:paraId="0000003F">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0">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lo cual es importante trabajar la promoción del autocuidado y la autonomía del paciente dentro por las siguientes razones:</w:t>
      </w:r>
    </w:p>
    <w:p w:rsidR="00000000" w:rsidDel="00000000" w:rsidP="00000000" w:rsidRDefault="00000000" w:rsidRPr="00000000" w14:paraId="00000041">
      <w:pPr>
        <w:numPr>
          <w:ilvl w:val="0"/>
          <w:numId w:val="1"/>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Mejora de la comunicación: Al fomentar el autocuidado y la autonomía del paciente, se fortalece la comunicación entre el profesional de la salud y el paciente. Esto permite una mejor comprensión de las necesidades, preocupaciones y expectativas del paciente. Cuando los pacientes se sienten escuchados y tienen la oportunidad de participar activamente en su atención, se establece una relación de confianza y colaboración.</w:t>
      </w:r>
      <w:r w:rsidDel="00000000" w:rsidR="00000000" w:rsidRPr="00000000">
        <w:rPr>
          <w:rtl w:val="0"/>
        </w:rPr>
      </w:r>
    </w:p>
    <w:p w:rsidR="00000000" w:rsidDel="00000000" w:rsidP="00000000" w:rsidRDefault="00000000" w:rsidRPr="00000000" w14:paraId="00000042">
      <w:pPr>
        <w:numPr>
          <w:ilvl w:val="0"/>
          <w:numId w:val="4"/>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Identificación de riesgos y prevención de errores: Al promover el autocuidado, se alienta a los pacientes a participar en la identificación de riesgos y la prevención de errores dentro de la IPS. Los pacientes pueden brindar información importante sobre alergias, medicamentos previos, problemas de salud y otros factores relevantes para su atención. Esto ayuda a minimizar los riesgos asociados con diagnósticos incorrectos, medicación inadecuada o procedimientos inapropiados.</w:t>
      </w:r>
      <w:r w:rsidDel="00000000" w:rsidR="00000000" w:rsidRPr="00000000">
        <w:rPr>
          <w:rtl w:val="0"/>
        </w:rPr>
      </w:r>
    </w:p>
    <w:p w:rsidR="00000000" w:rsidDel="00000000" w:rsidP="00000000" w:rsidRDefault="00000000" w:rsidRPr="00000000" w14:paraId="00000043">
      <w:pPr>
        <w:numPr>
          <w:ilvl w:val="0"/>
          <w:numId w:val="5"/>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Educación y capacitación: La promoción del autocuidado y la autonomía del paciente brinda una oportunidad para educar y capacitar a los pacientes. Los profesionales de la salud pueden proporcionar información relevante sobre la enfermedad, el tratamiento y las medidas preventivas. Esto permite a los pacientes comprender mejor su condición de salud y adquirir las habilidades necesarias para cuidarse de manera adecuada.</w:t>
      </w:r>
      <w:r w:rsidDel="00000000" w:rsidR="00000000" w:rsidRPr="00000000">
        <w:rPr>
          <w:rtl w:val="0"/>
        </w:rPr>
      </w:r>
    </w:p>
    <w:p w:rsidR="00000000" w:rsidDel="00000000" w:rsidP="00000000" w:rsidRDefault="00000000" w:rsidRPr="00000000" w14:paraId="00000044">
      <w:pPr>
        <w:numPr>
          <w:ilvl w:val="0"/>
          <w:numId w:val="3"/>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Adherencia al tratamiento: Trabajar en la promoción del autocuidado y la autonomía del paciente dentro de la IPS, puede mejorar la adherencia al tratamiento. Al involucrar activamente a los pacientes en la toma de decisiones y proporcionarles las herramientas y el conocimiento necesarios, es más probable que sigan las recomendaciones médicas. Esto contribuye a una mejor gestión de la enfermedad y a resultados de salud más positivos.</w:t>
      </w:r>
      <w:r w:rsidDel="00000000" w:rsidR="00000000" w:rsidRPr="00000000">
        <w:rPr>
          <w:rtl w:val="0"/>
        </w:rPr>
      </w:r>
    </w:p>
    <w:p w:rsidR="00000000" w:rsidDel="00000000" w:rsidP="00000000" w:rsidRDefault="00000000" w:rsidRPr="00000000" w14:paraId="00000045">
      <w:pPr>
        <w:numPr>
          <w:ilvl w:val="0"/>
          <w:numId w:val="2"/>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Empoderamiento del paciente: Promover el autocuidado y la autonomía del paciente en la IPS permite empoderar a los pacientes para que sean responsables de su propia salud. Los pacientes se convierten en socios activos en su atención médica y toman medidas proactivas para mantener y mejorar su bienestar. Esto aumenta la confianza y la satisfacción del paciente, y contribuye a una mejor experiencia general de atención médica.</w:t>
      </w:r>
      <w:r w:rsidDel="00000000" w:rsidR="00000000" w:rsidRPr="00000000">
        <w:rPr>
          <w:rtl w:val="0"/>
        </w:rPr>
      </w:r>
    </w:p>
    <w:p w:rsidR="00000000" w:rsidDel="00000000" w:rsidP="00000000" w:rsidRDefault="00000000" w:rsidRPr="00000000" w14:paraId="00000046">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pocas palabras, la importancia de abordar el autocuidado se fundamenta en que los pacientes que no están involucrados ni informados completamente tienen menores probabilidades de tomar decisiones conscientes acerca de su tratamiento y las recomendaciones del personal asistencial, por lo tanto tienen menor probabilidad de hacer lo que deben para aprobar y alertar al personal asistencial en su diferentes tratamientos.</w:t>
      </w:r>
    </w:p>
    <w:p w:rsidR="00000000" w:rsidDel="00000000" w:rsidP="00000000" w:rsidRDefault="00000000" w:rsidRPr="00000000" w14:paraId="00000048">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bookmarkStart w:colFirst="0" w:colLast="0" w:name="_heading=h.2et92p0" w:id="3"/>
      <w:bookmarkEnd w:id="3"/>
      <w:r w:rsidDel="00000000" w:rsidR="00000000" w:rsidRPr="00000000">
        <w:rPr>
          <w:rFonts w:ascii="Century Gothic" w:cs="Century Gothic" w:eastAsia="Century Gothic" w:hAnsi="Century Gothic"/>
          <w:b w:val="1"/>
          <w:i w:val="0"/>
          <w:smallCaps w:val="0"/>
          <w:strike w:val="0"/>
          <w:color w:val="000000"/>
          <w:u w:val="none"/>
          <w:shd w:fill="auto" w:val="clear"/>
          <w:vertAlign w:val="baseline"/>
          <w:rtl w:val="0"/>
        </w:rPr>
        <w:t xml:space="preserve">ACCIONES INSEGURAS MÁS COMUNES QUE PERJUDICAN EL INVOLUCRAMIENTO DEL PACIENTE EN SU AUTOCUIDADO</w:t>
      </w:r>
    </w:p>
    <w:p w:rsidR="00000000" w:rsidDel="00000000" w:rsidP="00000000" w:rsidRDefault="00000000" w:rsidRPr="00000000" w14:paraId="00000049">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Desestimar la información y recomendaciones que suministran los pacientes, sus familiares y/o cuidadores, considerándolos sobreprotectores.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Deficiente ilustración al paciente acerca del autocuidado de su seguridad, específicamente se le debe enseñar a interrogar sobre su situación, los pasos a seguir y las consecuencias de cada una de sus decisiones. </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Inadecuada verificación de la comprensión de las actividades de cuidado en casa al paciente y/o su cuidador.</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Limitado acceso a servicios de salud de buena calidad. </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Deficiente educación interinstitucional dirigida a promover un mejor autocuidado.</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Desinterés o evasión de responsabilidad del paciente en el autocuidado de su salud. </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La escasa promoción sostenida de estilos de vida saludables.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Comunicación no efectiva entre los pacientes y los equipos de salud que los atienden.</w:t>
      </w:r>
    </w:p>
    <w:p w:rsidR="00000000" w:rsidDel="00000000" w:rsidP="00000000" w:rsidRDefault="00000000" w:rsidRPr="00000000" w14:paraId="00000052">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bookmarkStart w:colFirst="0" w:colLast="0" w:name="_heading=h.tyjcwt" w:id="4"/>
      <w:bookmarkEnd w:id="4"/>
      <w:r w:rsidDel="00000000" w:rsidR="00000000" w:rsidRPr="00000000">
        <w:rPr>
          <w:rFonts w:ascii="Century Gothic" w:cs="Century Gothic" w:eastAsia="Century Gothic" w:hAnsi="Century Gothic"/>
          <w:b w:val="1"/>
          <w:i w:val="0"/>
          <w:smallCaps w:val="0"/>
          <w:strike w:val="0"/>
          <w:color w:val="000000"/>
          <w:u w:val="none"/>
          <w:shd w:fill="auto" w:val="clear"/>
          <w:vertAlign w:val="baseline"/>
          <w:rtl w:val="0"/>
        </w:rPr>
        <w:t xml:space="preserve">PRÁCTICAS SEGURAS MÁS EFICACES PARA PROMOVER EL AUTOCUIDADO EN EL PACIENTE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Parafraseo para verificar el nivel de entendimiento por el paciente y/o cuidador. </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rtl w:val="0"/>
        </w:rPr>
        <w:t xml:space="preserve">Promover</w:t>
      </w: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 técnicas de comunicación con el paciente y comunicación asertiva.</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El apoyo mediante cuidadores informales.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La atención por vía telefónica o “telecuidado” y el contacto con enfermos a través del teléfono puede dar una mayor continuidad al tratamiento y apoyar a los pacientes a adoptar y mantener un estilo de vida que contribuya a controlar su enfermedad.</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Enseñar a los pacientes a estar alertas para identificar síntomas e ir modificando gradualmente el comportamiento hacia un correcto autocuidado. </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La educación del paciente y el aprendizaje de técnicas de autocuidado son esenciales para mejorar el desenlace de los tratamientos y evitar hospitalizaciones innecesarias. </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Las entrevistas motivacionales son un estilo directo focalizado sobre el paciente para lograr cambios de comportamiento. </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Los programas educativos que enseñan habilidades prácticas de autocuidado son más eficaces que el suministro de información por sí sola. </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r w:rsidDel="00000000" w:rsidR="00000000" w:rsidRPr="00000000">
        <w:rPr>
          <w:rFonts w:ascii="Century Gothic" w:cs="Century Gothic" w:eastAsia="Century Gothic" w:hAnsi="Century Gothic"/>
          <w:i w:val="0"/>
          <w:smallCaps w:val="0"/>
          <w:strike w:val="0"/>
          <w:color w:val="000000"/>
          <w:u w:val="none"/>
          <w:shd w:fill="auto" w:val="clear"/>
          <w:vertAlign w:val="baseline"/>
          <w:rtl w:val="0"/>
        </w:rPr>
        <w:t xml:space="preserve">Manejar el impacto emocional de la enfermedad sobre el paciente.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Century Gothic" w:cs="Century Gothic" w:eastAsia="Century Gothic" w:hAnsi="Century Gothic"/>
          <w:i w:val="0"/>
          <w:smallCaps w:val="0"/>
          <w:strike w:val="0"/>
          <w:color w:val="000000"/>
          <w:shd w:fill="auto" w:val="clear"/>
          <w:vertAlign w:val="baseline"/>
        </w:rPr>
      </w:pPr>
      <w:bookmarkStart w:colFirst="0" w:colLast="0" w:name="_heading=h.3dy6vkm" w:id="5"/>
      <w:bookmarkEnd w:id="5"/>
      <w:r w:rsidDel="00000000" w:rsidR="00000000" w:rsidRPr="00000000">
        <w:rPr>
          <w:rFonts w:ascii="Century Gothic" w:cs="Century Gothic" w:eastAsia="Century Gothic" w:hAnsi="Century Gothic"/>
          <w:b w:val="1"/>
          <w:i w:val="0"/>
          <w:smallCaps w:val="0"/>
          <w:strike w:val="0"/>
          <w:color w:val="000000"/>
          <w:u w:val="none"/>
          <w:shd w:fill="auto" w:val="clear"/>
          <w:vertAlign w:val="baseline"/>
          <w:rtl w:val="0"/>
        </w:rPr>
        <w:t xml:space="preserve">ACTIVIDADES DONDE SE ILUSTRA AL PACIENTE Y SUS ALLEGADOS EN EL AUTOCUIDADO DE SU SEGURIDAD. </w:t>
      </w:r>
    </w:p>
    <w:p w:rsidR="00000000" w:rsidDel="00000000" w:rsidP="00000000" w:rsidRDefault="00000000" w:rsidRPr="00000000" w14:paraId="0000005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F">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deben considerar los pacientes o sus allegados que en el pasado han sido objeto de la ocurrencia de un evento adverso y que se involucran de manera proactiva en los procesos de seguridad del paciente. </w:t>
      </w:r>
    </w:p>
    <w:p w:rsidR="00000000" w:rsidDel="00000000" w:rsidP="00000000" w:rsidRDefault="00000000" w:rsidRPr="00000000" w14:paraId="00000060">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deben realizar entre otras las siguientes acciones:</w:t>
      </w:r>
    </w:p>
    <w:p w:rsidR="00000000" w:rsidDel="00000000" w:rsidP="00000000" w:rsidRDefault="00000000" w:rsidRPr="00000000" w14:paraId="00000061">
      <w:pPr>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Ilustrar al paciente en el autocuidado de su seguridad, en particular se debe enseñar a interrogar sobre aspectos como:</w:t>
      </w:r>
    </w:p>
    <w:p w:rsidR="00000000" w:rsidDel="00000000" w:rsidP="00000000" w:rsidRDefault="00000000" w:rsidRPr="00000000" w14:paraId="0000006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¿Cuál es mi problema principal? (¿Qué enfermedad tengo?) </w:t>
      </w:r>
    </w:p>
    <w:p w:rsidR="00000000" w:rsidDel="00000000" w:rsidP="00000000" w:rsidRDefault="00000000" w:rsidRPr="00000000" w14:paraId="00000063">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¿Qué debo hacer? (¿Qué tratamiento debo seguir?) </w:t>
      </w:r>
    </w:p>
    <w:p w:rsidR="00000000" w:rsidDel="00000000" w:rsidP="00000000" w:rsidRDefault="00000000" w:rsidRPr="00000000" w14:paraId="00000064">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¿Por qué es importante para mí hacer eso, qué beneficios y riesgos tiene?</w:t>
      </w:r>
    </w:p>
    <w:p w:rsidR="00000000" w:rsidDel="00000000" w:rsidP="00000000" w:rsidRDefault="00000000" w:rsidRPr="00000000" w14:paraId="0000006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 quién acudir cuando hay sospecha de riesgos para la atención? </w:t>
      </w:r>
    </w:p>
    <w:p w:rsidR="00000000" w:rsidDel="00000000" w:rsidP="00000000" w:rsidRDefault="00000000" w:rsidRPr="00000000" w14:paraId="0000006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Ilustrar sobre la importancia de la identificación y el llamado por su nombre. </w:t>
      </w:r>
    </w:p>
    <w:p w:rsidR="00000000" w:rsidDel="00000000" w:rsidP="00000000" w:rsidRDefault="00000000" w:rsidRPr="00000000" w14:paraId="0000006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Ilustrar sobre la importancia del lavado de manos de los profesionales antes de ser atendido </w:t>
      </w:r>
    </w:p>
    <w:p w:rsidR="00000000" w:rsidDel="00000000" w:rsidP="00000000" w:rsidRDefault="00000000" w:rsidRPr="00000000" w14:paraId="0000006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Ilustrar sobre la vigilancia y participación en el proceso de administración de medicamento </w:t>
      </w:r>
    </w:p>
    <w:p w:rsidR="00000000" w:rsidDel="00000000" w:rsidP="00000000" w:rsidRDefault="00000000" w:rsidRPr="00000000" w14:paraId="00000069">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Ilustrar sobre la importancia del consentimiento informado </w:t>
      </w:r>
    </w:p>
    <w:p w:rsidR="00000000" w:rsidDel="00000000" w:rsidP="00000000" w:rsidRDefault="00000000" w:rsidRPr="00000000" w14:paraId="0000006A">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Ilustrar sobre lo que es un evento adverso y la comunicación que debe dar el profesional de salud en caso de ocurrencia del evento. </w:t>
      </w:r>
    </w:p>
    <w:p w:rsidR="00000000" w:rsidDel="00000000" w:rsidP="00000000" w:rsidRDefault="00000000" w:rsidRPr="00000000" w14:paraId="0000006B">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ind w:left="720" w:hanging="360"/>
        <w:jc w:val="both"/>
        <w:rPr>
          <w:rFonts w:ascii="Century Gothic" w:cs="Century Gothic" w:eastAsia="Century Gothic" w:hAnsi="Century Gothic"/>
        </w:rPr>
      </w:pPr>
      <w:r w:rsidDel="00000000" w:rsidR="00000000" w:rsidRPr="00000000">
        <w:rPr>
          <w:rtl w:val="0"/>
        </w:rPr>
      </w:r>
    </w:p>
    <w:tbl>
      <w:tblPr>
        <w:tblStyle w:val="Table2"/>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80"/>
        <w:gridCol w:w="1485"/>
        <w:gridCol w:w="2610"/>
        <w:gridCol w:w="3375"/>
        <w:tblGridChange w:id="0">
          <w:tblGrid>
            <w:gridCol w:w="1380"/>
            <w:gridCol w:w="1485"/>
            <w:gridCol w:w="2610"/>
            <w:gridCol w:w="3375"/>
          </w:tblGrid>
        </w:tblGridChange>
      </w:tblGrid>
      <w:tr>
        <w:trPr>
          <w:cantSplit w:val="0"/>
          <w:trHeight w:val="413" w:hRule="atLeast"/>
          <w:tblHeader w:val="0"/>
        </w:trPr>
        <w:tc>
          <w:tcPr>
            <w:gridSpan w:val="4"/>
          </w:tcPr>
          <w:p w:rsidR="00000000" w:rsidDel="00000000" w:rsidP="00000000" w:rsidRDefault="00000000" w:rsidRPr="00000000" w14:paraId="0000006D">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Control de Cambios</w:t>
            </w:r>
          </w:p>
        </w:tc>
      </w:tr>
      <w:tr>
        <w:trPr>
          <w:cantSplit w:val="0"/>
          <w:trHeight w:val="850" w:hRule="atLeast"/>
          <w:tblHeader w:val="0"/>
        </w:trPr>
        <w:tc>
          <w:tcPr>
            <w:shd w:fill="auto" w:val="clear"/>
            <w:vAlign w:val="center"/>
          </w:tcPr>
          <w:p w:rsidR="00000000" w:rsidDel="00000000" w:rsidP="00000000" w:rsidRDefault="00000000" w:rsidRPr="00000000" w14:paraId="00000071">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Versión N°</w:t>
            </w:r>
          </w:p>
        </w:tc>
        <w:tc>
          <w:tcPr>
            <w:shd w:fill="auto" w:val="clear"/>
            <w:vAlign w:val="center"/>
          </w:tcPr>
          <w:p w:rsidR="00000000" w:rsidDel="00000000" w:rsidP="00000000" w:rsidRDefault="00000000" w:rsidRPr="00000000" w14:paraId="0000007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Fecha de modificación</w:t>
            </w:r>
          </w:p>
        </w:tc>
        <w:tc>
          <w:tcPr>
            <w:shd w:fill="auto" w:val="clear"/>
            <w:vAlign w:val="center"/>
          </w:tcPr>
          <w:p w:rsidR="00000000" w:rsidDel="00000000" w:rsidP="00000000" w:rsidRDefault="00000000" w:rsidRPr="00000000" w14:paraId="00000073">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Aprobó</w:t>
            </w:r>
          </w:p>
        </w:tc>
        <w:tc>
          <w:tcPr>
            <w:shd w:fill="auto" w:val="clear"/>
            <w:vAlign w:val="center"/>
          </w:tcPr>
          <w:p w:rsidR="00000000" w:rsidDel="00000000" w:rsidP="00000000" w:rsidRDefault="00000000" w:rsidRPr="00000000" w14:paraId="00000074">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 del cambio</w:t>
            </w:r>
          </w:p>
        </w:tc>
      </w:tr>
      <w:tr>
        <w:trPr>
          <w:cantSplit w:val="0"/>
          <w:trHeight w:val="413" w:hRule="atLeast"/>
          <w:tblHeader w:val="0"/>
        </w:trPr>
        <w:tc>
          <w:tcPr>
            <w:shd w:fill="auto" w:val="clear"/>
            <w:vAlign w:val="center"/>
          </w:tcPr>
          <w:p w:rsidR="00000000" w:rsidDel="00000000" w:rsidP="00000000" w:rsidRDefault="00000000" w:rsidRPr="00000000" w14:paraId="0000007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shd w:fill="auto" w:val="clear"/>
            <w:vAlign w:val="center"/>
          </w:tcPr>
          <w:p w:rsidR="00000000" w:rsidDel="00000000" w:rsidP="00000000" w:rsidRDefault="00000000" w:rsidRPr="00000000" w14:paraId="0000007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26-06-2025</w:t>
            </w:r>
          </w:p>
        </w:tc>
        <w:tc>
          <w:tcPr>
            <w:shd w:fill="auto" w:val="clear"/>
            <w:vAlign w:val="center"/>
          </w:tcPr>
          <w:p w:rsidR="00000000" w:rsidDel="00000000" w:rsidP="00000000" w:rsidRDefault="00000000" w:rsidRPr="00000000" w14:paraId="0000007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Asesor de calidad</w:t>
            </w:r>
          </w:p>
        </w:tc>
        <w:tc>
          <w:tcPr>
            <w:shd w:fill="auto" w:val="clear"/>
            <w:vAlign w:val="center"/>
          </w:tcPr>
          <w:p w:rsidR="00000000" w:rsidDel="00000000" w:rsidP="00000000" w:rsidRDefault="00000000" w:rsidRPr="00000000" w14:paraId="0000007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Generalidades</w:t>
            </w:r>
          </w:p>
        </w:tc>
      </w:tr>
    </w:tbl>
    <w:p w:rsidR="00000000" w:rsidDel="00000000" w:rsidP="00000000" w:rsidRDefault="00000000" w:rsidRPr="00000000" w14:paraId="00000079">
      <w:pPr>
        <w:ind w:left="720" w:hanging="36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A">
      <w:pPr>
        <w:jc w:val="both"/>
        <w:rPr>
          <w:rFonts w:ascii="Century Gothic" w:cs="Century Gothic" w:eastAsia="Century Gothic" w:hAnsi="Century Gothic"/>
        </w:rPr>
      </w:pPr>
      <w:r w:rsidDel="00000000" w:rsidR="00000000" w:rsidRPr="00000000">
        <w:rPr>
          <w:rtl w:val="0"/>
        </w:rPr>
      </w:r>
    </w:p>
    <w:sectPr>
      <w:headerReference r:id="rId8" w:type="default"/>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ambria"/>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widowControl w:val="0"/>
      <w:spacing w:after="0" w:line="276" w:lineRule="auto"/>
      <w:rPr>
        <w:sz w:val="24"/>
        <w:szCs w:val="24"/>
      </w:rPr>
    </w:pPr>
    <w:r w:rsidDel="00000000" w:rsidR="00000000" w:rsidRPr="00000000">
      <w:rPr>
        <w:rtl w:val="0"/>
      </w:rPr>
    </w:r>
  </w:p>
  <w:tbl>
    <w:tblPr>
      <w:tblStyle w:val="Table3"/>
      <w:tblW w:w="9315.0" w:type="dxa"/>
      <w:jc w:val="left"/>
      <w:tblInd w:w="-36.0000000000000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2940"/>
      <w:gridCol w:w="3510"/>
      <w:tblGridChange w:id="0">
        <w:tblGrid>
          <w:gridCol w:w="2865"/>
          <w:gridCol w:w="2940"/>
          <w:gridCol w:w="3510"/>
        </w:tblGrid>
      </w:tblGridChange>
    </w:tblGrid>
    <w:tr>
      <w:trPr>
        <w:cantSplit w:val="0"/>
        <w:trHeight w:val="180.64453125" w:hRule="atLeast"/>
        <w:tblHeader w:val="0"/>
      </w:trPr>
      <w:tc>
        <w:tcPr>
          <w:shd w:fill="auto" w:val="clear"/>
        </w:tcPr>
        <w:p w:rsidR="00000000" w:rsidDel="00000000" w:rsidP="00000000" w:rsidRDefault="00000000" w:rsidRPr="00000000" w14:paraId="0000007E">
          <w:pPr>
            <w:tabs>
              <w:tab w:val="center" w:leader="none" w:pos="4419"/>
              <w:tab w:val="right" w:leader="none" w:pos="8838"/>
            </w:tabs>
            <w:ind w:right="73.46456692913421"/>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ELABORADO POR</w:t>
          </w:r>
        </w:p>
      </w:tc>
      <w:tc>
        <w:tcPr>
          <w:shd w:fill="auto" w:val="clear"/>
        </w:tcPr>
        <w:p w:rsidR="00000000" w:rsidDel="00000000" w:rsidP="00000000" w:rsidRDefault="00000000" w:rsidRPr="00000000" w14:paraId="0000007F">
          <w:pPr>
            <w:tabs>
              <w:tab w:val="center" w:leader="none" w:pos="4419"/>
              <w:tab w:val="right" w:leader="none" w:pos="8838"/>
            </w:tabs>
            <w:ind w:right="90.35433070866134"/>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REVISADO POR</w:t>
          </w:r>
        </w:p>
      </w:tc>
      <w:tc>
        <w:tcPr>
          <w:shd w:fill="auto" w:val="clear"/>
        </w:tcPr>
        <w:p w:rsidR="00000000" w:rsidDel="00000000" w:rsidP="00000000" w:rsidRDefault="00000000" w:rsidRPr="00000000" w14:paraId="00000080">
          <w:pPr>
            <w:tabs>
              <w:tab w:val="center" w:leader="none" w:pos="4419"/>
              <w:tab w:val="right" w:leader="none" w:pos="8838"/>
            </w:tabs>
            <w:ind w:right="45.35433070866134"/>
            <w:jc w:val="center"/>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81">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82">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83">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84">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85">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86">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p w:rsidR="00000000" w:rsidDel="00000000" w:rsidP="00000000" w:rsidRDefault="00000000" w:rsidRPr="00000000" w14:paraId="00000087">
    <w:pPr>
      <w:spacing w:after="0"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6200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6200F"/>
  </w:style>
  <w:style w:type="paragraph" w:styleId="Piedepgina">
    <w:name w:val="footer"/>
    <w:basedOn w:val="Normal"/>
    <w:link w:val="PiedepginaCar"/>
    <w:uiPriority w:val="99"/>
    <w:unhideWhenUsed w:val="1"/>
    <w:rsid w:val="0036200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6200F"/>
  </w:style>
  <w:style w:type="paragraph" w:styleId="Prrafodelista">
    <w:name w:val="List Paragraph"/>
    <w:basedOn w:val="Normal"/>
    <w:uiPriority w:val="34"/>
    <w:qFormat w:val="1"/>
    <w:rsid w:val="002A76EF"/>
    <w:pPr>
      <w:ind w:left="720"/>
      <w:contextualSpacing w:val="1"/>
    </w:pPr>
  </w:style>
  <w:style w:type="character" w:styleId="Ttulo1Car" w:customStyle="1">
    <w:name w:val="Título 1 Car"/>
    <w:basedOn w:val="Fuentedeprrafopredeter"/>
    <w:link w:val="Ttulo1"/>
    <w:uiPriority w:val="9"/>
    <w:rsid w:val="00C47182"/>
    <w:rPr>
      <w:rFonts w:ascii="Arial" w:hAnsi="Arial" w:cstheme="majorBidi" w:eastAsiaTheme="majorEastAsia"/>
      <w:b w:val="1"/>
      <w:sz w:val="24"/>
      <w:szCs w:val="32"/>
    </w:rPr>
  </w:style>
  <w:style w:type="character" w:styleId="Ttulo2Car" w:customStyle="1">
    <w:name w:val="Título 2 Car"/>
    <w:basedOn w:val="Fuentedeprrafopredeter"/>
    <w:link w:val="Ttulo2"/>
    <w:uiPriority w:val="9"/>
    <w:rsid w:val="0075372B"/>
    <w:rPr>
      <w:rFonts w:asciiTheme="majorHAnsi" w:cstheme="majorBidi" w:eastAsiaTheme="majorEastAsia" w:hAnsiTheme="majorHAnsi"/>
      <w:color w:val="2f5496" w:themeColor="accent1" w:themeShade="0000BF"/>
      <w:sz w:val="26"/>
      <w:szCs w:val="26"/>
    </w:rPr>
  </w:style>
  <w:style w:type="paragraph" w:styleId="Default" w:customStyle="1">
    <w:name w:val="Default"/>
    <w:rsid w:val="00FC6F7B"/>
    <w:pPr>
      <w:autoSpaceDE w:val="0"/>
      <w:autoSpaceDN w:val="0"/>
      <w:adjustRightInd w:val="0"/>
      <w:spacing w:after="0" w:line="240" w:lineRule="auto"/>
    </w:pPr>
    <w:rPr>
      <w:rFonts w:ascii="Arial" w:cs="Arial" w:hAnsi="Arial"/>
      <w:color w:val="000000"/>
      <w:sz w:val="24"/>
      <w:szCs w:val="24"/>
    </w:rPr>
  </w:style>
  <w:style w:type="paragraph" w:styleId="TtuloTDC">
    <w:name w:val="TOC Heading"/>
    <w:basedOn w:val="Ttulo1"/>
    <w:next w:val="Normal"/>
    <w:uiPriority w:val="39"/>
    <w:unhideWhenUsed w:val="1"/>
    <w:qFormat w:val="1"/>
    <w:rsid w:val="00056BBF"/>
    <w:pPr>
      <w:outlineLvl w:val="9"/>
    </w:pPr>
    <w:rPr>
      <w:rFonts w:asciiTheme="majorHAnsi" w:hAnsiTheme="majorHAnsi"/>
      <w:b w:val="0"/>
      <w:color w:val="2f5496" w:themeColor="accent1" w:themeShade="0000BF"/>
      <w:sz w:val="32"/>
      <w:lang w:eastAsia="es-CO"/>
    </w:rPr>
  </w:style>
  <w:style w:type="paragraph" w:styleId="TDC1">
    <w:name w:val="toc 1"/>
    <w:basedOn w:val="Normal"/>
    <w:next w:val="Normal"/>
    <w:autoRedefine w:val="1"/>
    <w:uiPriority w:val="39"/>
    <w:unhideWhenUsed w:val="1"/>
    <w:rsid w:val="00056BBF"/>
    <w:pPr>
      <w:spacing w:after="100"/>
    </w:pPr>
  </w:style>
  <w:style w:type="character" w:styleId="Hipervnculo">
    <w:name w:val="Hyperlink"/>
    <w:basedOn w:val="Fuentedeprrafopredeter"/>
    <w:uiPriority w:val="99"/>
    <w:unhideWhenUsed w:val="1"/>
    <w:rsid w:val="00056BBF"/>
    <w:rPr>
      <w:color w:val="0563c1" w:themeColor="hyperlink"/>
      <w:u w:val="single"/>
    </w:rPr>
  </w:style>
  <w:style w:type="table" w:styleId="Tablaconcuadrcula5oscura-nfasis2">
    <w:name w:val="Grid Table 5 Dark Accent 2"/>
    <w:basedOn w:val="Tablanormal"/>
    <w:uiPriority w:val="50"/>
    <w:rsid w:val="00DB6534"/>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d7d31"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d7d31"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d7d31"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d7d31" w:themeFill="accent2" w:val="clear"/>
      </w:tcPr>
    </w:tblStylePr>
    <w:tblStylePr w:type="band1Vert">
      <w:tblPr/>
      <w:tcPr>
        <w:shd w:color="auto" w:fill="f7caac" w:themeFill="accent2" w:themeFillTint="000066" w:val="clear"/>
      </w:tcPr>
    </w:tblStylePr>
    <w:tblStylePr w:type="band1Horz">
      <w:tblPr/>
      <w:tcPr>
        <w:shd w:color="auto" w:fill="f7caac" w:themeFill="accent2" w:themeFillTint="000066" w:val="clear"/>
      </w:tcPr>
    </w:tblStylePr>
  </w:style>
  <w:style w:type="table" w:styleId="Tablaconcuadrcula3-nfasis6">
    <w:name w:val="Grid Table 3 Accent 6"/>
    <w:basedOn w:val="Tablanormal"/>
    <w:uiPriority w:val="48"/>
    <w:rsid w:val="001D1902"/>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bottom w:color="a8d08d" w:space="0" w:sz="4" w:themeColor="accent6" w:themeTint="000099" w:val="single"/>
        </w:tcBorders>
      </w:tcPr>
    </w:tblStylePr>
    <w:tblStylePr w:type="nwCell">
      <w:tblPr/>
      <w:tcPr>
        <w:tcBorders>
          <w:bottom w:color="a8d08d" w:space="0" w:sz="4" w:themeColor="accent6" w:themeTint="000099" w:val="single"/>
        </w:tcBorders>
      </w:tcPr>
    </w:tblStylePr>
    <w:tblStylePr w:type="seCell">
      <w:tblPr/>
      <w:tcPr>
        <w:tcBorders>
          <w:top w:color="a8d08d" w:space="0" w:sz="4" w:themeColor="accent6" w:themeTint="000099" w:val="single"/>
        </w:tcBorders>
      </w:tcPr>
    </w:tblStylePr>
    <w:tblStylePr w:type="swCell">
      <w:tblPr/>
      <w:tcPr>
        <w:tcBorders>
          <w:top w:color="a8d08d" w:space="0" w:sz="4" w:themeColor="accent6" w:themeTint="000099" w:val="single"/>
        </w:tcBorders>
      </w:tcPr>
    </w:tblStylePr>
  </w:style>
  <w:style w:type="table" w:styleId="Tablaconcuadrcula3-nfasis5">
    <w:name w:val="Grid Table 3 Accent 5"/>
    <w:basedOn w:val="Tablanormal"/>
    <w:uiPriority w:val="48"/>
    <w:rsid w:val="001D1902"/>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band2Horz">
      <w:tcPr/>
    </w:tblStylePr>
    <w:tblStylePr w:type="band2Vert">
      <w:tcPr/>
    </w:tblStylePr>
    <w:tblStylePr w:type="firstCol">
      <w:pPr>
        <w:jc w:val="right"/>
      </w:pPr>
      <w:rPr>
        <w:i w:val="1"/>
      </w:rPr>
      <w:tcPr>
        <w:shd w:fill="ffffff" w:val="clear"/>
      </w:tcPr>
    </w:tblStylePr>
    <w:tblStylePr w:type="firstRow">
      <w:rPr>
        <w:b w:val="1"/>
      </w:rPr>
      <w:tcPr>
        <w:shd w:fill="ffffff" w:val="clear"/>
      </w:tcPr>
    </w:tblStylePr>
    <w:tblStylePr w:type="lastCol">
      <w:rPr>
        <w:i w:val="1"/>
      </w:rPr>
      <w:tcPr>
        <w:shd w:fill="ffffff" w:val="clear"/>
      </w:tcPr>
    </w:tblStylePr>
    <w:tblStylePr w:type="lastRow">
      <w:rPr>
        <w:b w:val="1"/>
      </w:rPr>
      <w:tcPr>
        <w:shd w:fill="ffffff" w:val="clear"/>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shd w:fill="ffffff" w:val="clear"/>
      </w:tcPr>
    </w:tblStylePr>
    <w:tblStylePr w:type="firstRow">
      <w:rPr>
        <w:b w:val="1"/>
      </w:rPr>
      <w:tcPr>
        <w:shd w:fill="ffffff" w:val="clear"/>
      </w:tcPr>
    </w:tblStylePr>
    <w:tblStylePr w:type="lastCol">
      <w:rPr>
        <w:i w:val="1"/>
      </w:rPr>
      <w:tcPr>
        <w:shd w:fill="ffffff" w:val="clear"/>
      </w:tcPr>
    </w:tblStylePr>
    <w:tblStylePr w:type="lastRow">
      <w:rPr>
        <w:b w:val="1"/>
      </w:rPr>
      <w:tcPr>
        <w:shd w:fill="ffffff" w:val="clear"/>
      </w:tcPr>
    </w:tblStyle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4lF5t9OzoO1LPJoucNW3kIk0/w==">CgMxLjAaHwoBMBIaChgICVIUChJ0YWJsZS5pbG01a2N1ZXFya2YyCGguZ2pkZ3hzMgloLjMwajB6bGwyCWguM3pueXNoNzIJaC4yZXQ5MnAwMghoLnR5amN3dDIJaC4zZHk2dmttOAByITFucWRMUlM5cXVuTHpwT3FOTDhWOUJRSlNDbEF5R1JsYQ==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2022-07-21T14:40:00Z</dcterms:created>
  <dc:creator>Angela Maria</dc:creator>
</cp:coreProperties>
</file>