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0A">
      <w:pPr>
        <w:spacing w:after="0" w:line="240" w:lineRule="auto"/>
        <w:jc w:val="center"/>
        <w:rPr>
          <w:rFonts w:ascii="Century Gothic" w:cs="Century Gothic" w:eastAsia="Century Gothic" w:hAnsi="Century Gothic"/>
          <w:b w:val="1"/>
          <w:bCs w:val="1"/>
          <w:sz w:val="48"/>
          <w:szCs w:val="48"/>
        </w:rPr>
      </w:pPr>
      <w:r w:rsidDel="00000000" w:rsidR="00000000" w:rsidRPr="00000000">
        <w:rPr>
          <w:rFonts w:ascii="Century Gothic" w:cs="Century Gothic" w:eastAsia="Century Gothic" w:hAnsi="Century Gothic"/>
          <w:b w:val="1"/>
          <w:bCs w:val="1"/>
          <w:sz w:val="48"/>
          <w:szCs w:val="48"/>
          <w:rtl w:val="0"/>
        </w:rPr>
        <w:t xml:space="preserve">PROTOCOLO DETECTAR, PREVENIR Y REDUCIR IAAS</w:t>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after="0" w:lineRule="auto"/>
        <w:rPr>
          <w:rFonts w:ascii="Century Gothic" w:cs="Century Gothic" w:eastAsia="Century Gothic" w:hAnsi="Century Gothic"/>
          <w:sz w:val="60"/>
          <w:szCs w:val="60"/>
        </w:rPr>
      </w:pPr>
      <w:r w:rsidDel="00000000" w:rsidR="00000000" w:rsidRPr="00000000">
        <w:rPr>
          <w:rtl w:val="0"/>
        </w:rPr>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B">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C">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D">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E">
      <w:pPr>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INTRODUCCIÓN</w:t>
      </w:r>
    </w:p>
    <w:p w:rsidR="00000000" w:rsidDel="00000000" w:rsidP="00000000" w:rsidRDefault="00000000" w:rsidRPr="00000000" w14:paraId="0000001F">
      <w:pPr>
        <w:spacing w:after="240" w:befor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“DETECTAR, PREVENIR Y REDUCIR EL RIESGO DE INFECCIONES ASOCIADAS CON LA ATENCIÓN EN SALUD”</w:t>
      </w:r>
    </w:p>
    <w:p w:rsidR="00000000" w:rsidDel="00000000" w:rsidP="00000000" w:rsidRDefault="00000000" w:rsidRPr="00000000" w14:paraId="00000020">
      <w:pPr>
        <w:spacing w:after="240" w:befor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 la actualidad las Infecciones asociadas a la atención en salud, son consideradas uno de los principales problemas de seguridad del paciente por ser un evento adverso en la mayoría de los casos prevenibles.</w:t>
      </w:r>
    </w:p>
    <w:p w:rsidR="00000000" w:rsidDel="00000000" w:rsidP="00000000" w:rsidRDefault="00000000" w:rsidRPr="00000000" w14:paraId="00000021">
      <w:pPr>
        <w:spacing w:after="240" w:befor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Al mismo tiempo son consideradas como uno de los mejores indicadores de calidad de la atención debido a su frecuencia, la gravedad que conllevan, el aumento significativo de los costos que implica su ocurrencia y porque reflejan el resultado de acciones del equipo de salud, susceptibles de ser modificadas de acuerdo a los estándares vigentes.</w:t>
      </w:r>
    </w:p>
    <w:p w:rsidR="00000000" w:rsidDel="00000000" w:rsidP="00000000" w:rsidRDefault="00000000" w:rsidRPr="00000000" w14:paraId="00000022">
      <w:pPr>
        <w:spacing w:after="240" w:before="240" w:lineRule="auto"/>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rtl w:val="0"/>
        </w:rPr>
        <w:t xml:space="preserve">La vigilancia y control epidemiológico nacen de la necesidad de evitar el contagio de enfermedades infecciosas en la comunidad. En sus inicios se implementaron acciones como aislamiento y cuarentena de enfermos, al transcurrir los años, gracias al aporte de la Organización Mundial de la Salud (OMS) y la Organización Panamericana de la Salud (OPS) se crearon sistemas de vigilancia epidemiológica con implementación gubernamental en cada país.</w:t>
      </w:r>
      <w:r w:rsidDel="00000000" w:rsidR="00000000" w:rsidRPr="00000000">
        <w:rPr>
          <w:rtl w:val="0"/>
        </w:rPr>
      </w:r>
    </w:p>
    <w:p w:rsidR="00000000" w:rsidDel="00000000" w:rsidP="00000000" w:rsidRDefault="00000000" w:rsidRPr="00000000" w14:paraId="00000023">
      <w:pPr>
        <w:spacing w:after="240" w:befor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Este documento pretende ser una herramienta que oriente a los profesionales de ENDOCRINOLOGY &amp; HEALTH S.A.S en el desarrollo del sistema de vigilancia epidemiológica de infecciones asociadas a la atención en salud, así como en la prevención y control de las mismas.</w:t>
      </w:r>
    </w:p>
    <w:p w:rsidR="00000000" w:rsidDel="00000000" w:rsidP="00000000" w:rsidRDefault="00000000" w:rsidRPr="00000000" w14:paraId="00000024">
      <w:pPr>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OBJETIVO GENERAL</w:t>
      </w:r>
    </w:p>
    <w:p w:rsidR="00000000" w:rsidDel="00000000" w:rsidP="00000000" w:rsidRDefault="00000000" w:rsidRPr="00000000" w14:paraId="00000025">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Adoptar un sistema de vigilancia y prevención de infecciones, estandarizando el reporte y gestión de las IAAS a través de la definición de las mismas y manteniendo el control para detectar, prevenir y reducir el riesgo de infecciones asociadas a la atención en los pacientes desarrollando, fortaleciendo destrezas y técnicas adecuadas en un hábito permanente entre los colaboradores de ENDOCRINOLOGY &amp; HEALTH S.A.S que estén a cargo del cuidado del usuario. </w:t>
      </w:r>
    </w:p>
    <w:p w:rsidR="00000000" w:rsidDel="00000000" w:rsidP="00000000" w:rsidRDefault="00000000" w:rsidRPr="00000000" w14:paraId="00000026">
      <w:pPr>
        <w:keepNext w:val="1"/>
        <w:keepLines w:val="1"/>
        <w:pBdr>
          <w:top w:space="0" w:sz="0" w:val="nil"/>
          <w:left w:space="0" w:sz="0" w:val="nil"/>
          <w:bottom w:space="0" w:sz="0" w:val="nil"/>
          <w:right w:space="0" w:sz="0" w:val="nil"/>
          <w:between w:space="0" w:sz="0" w:val="nil"/>
        </w:pBdr>
        <w:spacing w:after="80" w:before="360" w:lineRule="auto"/>
        <w:jc w:val="both"/>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OBJETIVOS ESPECÍFICOS</w:t>
      </w:r>
    </w:p>
    <w:p w:rsidR="00000000" w:rsidDel="00000000" w:rsidP="00000000" w:rsidRDefault="00000000" w:rsidRPr="00000000" w14:paraId="00000027">
      <w:pPr>
        <w:numPr>
          <w:ilvl w:val="0"/>
          <w:numId w:val="9"/>
        </w:numPr>
        <w:pBdr>
          <w:top w:space="0" w:sz="0" w:val="nil"/>
          <w:left w:space="0" w:sz="0" w:val="nil"/>
          <w:bottom w:space="0" w:sz="0" w:val="nil"/>
          <w:right w:space="0" w:sz="0" w:val="nil"/>
          <w:between w:space="0" w:sz="0" w:val="nil"/>
        </w:pBdr>
        <w:spacing w:after="0" w:before="240" w:lineRule="auto"/>
        <w:ind w:left="720" w:hanging="360"/>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Detectar cuáles son los errores o fallas en la atención clínica que favorecen la aparición del riesgo de infecciones asociadas a la atención de pacientes.</w:t>
      </w:r>
    </w:p>
    <w:p w:rsidR="00000000" w:rsidDel="00000000" w:rsidP="00000000" w:rsidRDefault="00000000" w:rsidRPr="00000000" w14:paraId="00000028">
      <w:pPr>
        <w:numPr>
          <w:ilvl w:val="0"/>
          <w:numId w:val="9"/>
        </w:numPr>
        <w:pBdr>
          <w:top w:space="0" w:sz="0" w:val="nil"/>
          <w:left w:space="0" w:sz="0" w:val="nil"/>
          <w:bottom w:space="0" w:sz="0" w:val="nil"/>
          <w:right w:space="0" w:sz="0" w:val="nil"/>
          <w:between w:space="0" w:sz="0" w:val="nil"/>
        </w:pBdr>
        <w:spacing w:after="0" w:lineRule="auto"/>
        <w:ind w:left="720" w:hanging="360"/>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Aumentar el reporte y búsqueda activa de las infecciones asociadas a la atención en salud, permitiendo el mejoramiento en los procesos para su control y dando lugar a la creación de indicadores de impacto que permiten medir la calidad de la atención en relación al tema de control de infecciones.</w:t>
      </w:r>
    </w:p>
    <w:p w:rsidR="00000000" w:rsidDel="00000000" w:rsidP="00000000" w:rsidRDefault="00000000" w:rsidRPr="00000000" w14:paraId="00000029">
      <w:pPr>
        <w:numPr>
          <w:ilvl w:val="0"/>
          <w:numId w:val="9"/>
        </w:numPr>
        <w:pBdr>
          <w:top w:space="0" w:sz="0" w:val="nil"/>
          <w:left w:space="0" w:sz="0" w:val="nil"/>
          <w:bottom w:space="0" w:sz="0" w:val="nil"/>
          <w:right w:space="0" w:sz="0" w:val="nil"/>
          <w:between w:space="0" w:sz="0" w:val="nil"/>
        </w:pBdr>
        <w:spacing w:after="0" w:lineRule="auto"/>
        <w:ind w:left="720" w:hanging="360"/>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Concientizar al personal clínico y demás trabajadores (incluso los administradores) de las infecciones asociadas a la atención en salud.</w:t>
      </w:r>
    </w:p>
    <w:p w:rsidR="00000000" w:rsidDel="00000000" w:rsidP="00000000" w:rsidRDefault="00000000" w:rsidRPr="00000000" w14:paraId="0000002A">
      <w:pPr>
        <w:numPr>
          <w:ilvl w:val="0"/>
          <w:numId w:val="9"/>
        </w:numPr>
        <w:pBdr>
          <w:top w:space="0" w:sz="0" w:val="nil"/>
          <w:left w:space="0" w:sz="0" w:val="nil"/>
          <w:bottom w:space="0" w:sz="0" w:val="nil"/>
          <w:right w:space="0" w:sz="0" w:val="nil"/>
          <w:between w:space="0" w:sz="0" w:val="nil"/>
        </w:pBdr>
        <w:spacing w:after="0" w:lineRule="auto"/>
        <w:ind w:left="720" w:hanging="360"/>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Identificar los factores contributivos que favorecen la aparición del riesgo de infecciones asociadas a la atención del paciente, detectando y controlando oportunamente las fuentes.</w:t>
      </w:r>
    </w:p>
    <w:p w:rsidR="00000000" w:rsidDel="00000000" w:rsidP="00000000" w:rsidRDefault="00000000" w:rsidRPr="00000000" w14:paraId="0000002B">
      <w:pPr>
        <w:widowControl w:val="0"/>
        <w:numPr>
          <w:ilvl w:val="0"/>
          <w:numId w:val="9"/>
        </w:numPr>
        <w:pBdr>
          <w:top w:space="0" w:sz="0" w:val="nil"/>
          <w:left w:space="0" w:sz="0" w:val="nil"/>
          <w:bottom w:space="0" w:sz="0" w:val="nil"/>
          <w:right w:space="0" w:sz="0" w:val="nil"/>
          <w:between w:space="0" w:sz="0" w:val="nil"/>
        </w:pBdr>
        <w:spacing w:after="0" w:lineRule="auto"/>
        <w:ind w:left="720" w:hanging="360"/>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Identificar las barreras y defensas de seguridad para prevenir o mitigar las consecuencias de la aparición del riesgo de infecciones asociadas a la atención del paciente.</w:t>
      </w:r>
    </w:p>
    <w:p w:rsidR="00000000" w:rsidDel="00000000" w:rsidP="00000000" w:rsidRDefault="00000000" w:rsidRPr="00000000" w14:paraId="0000002C">
      <w:pPr>
        <w:widowControl w:val="0"/>
        <w:numPr>
          <w:ilvl w:val="0"/>
          <w:numId w:val="9"/>
        </w:numPr>
        <w:pBdr>
          <w:top w:space="0" w:sz="0" w:val="nil"/>
          <w:left w:space="0" w:sz="0" w:val="nil"/>
          <w:bottom w:space="0" w:sz="0" w:val="nil"/>
          <w:right w:space="0" w:sz="0" w:val="nil"/>
          <w:between w:space="0" w:sz="0" w:val="nil"/>
        </w:pBdr>
        <w:spacing w:after="0" w:lineRule="auto"/>
        <w:ind w:left="720" w:hanging="360"/>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Implementar buenas prácticas (políticas, administrativas y asistenciales), que favorezcan la creación de una cultura institucional que vele por la prevención de la aparición del riesgo de infecciones asociadas a la atención del paciente</w:t>
      </w:r>
      <w:r w:rsidDel="00000000" w:rsidR="00000000" w:rsidRPr="00000000">
        <w:rPr>
          <w:rFonts w:ascii="Century Gothic" w:cs="Century Gothic" w:eastAsia="Century Gothic" w:hAnsi="Century Gothic"/>
          <w:rtl w:val="0"/>
        </w:rPr>
        <w:t xml:space="preserve">.</w:t>
      </w:r>
      <w:r w:rsidDel="00000000" w:rsidR="00000000" w:rsidRPr="00000000">
        <w:rPr>
          <w:rtl w:val="0"/>
        </w:rPr>
      </w:r>
    </w:p>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after="0" w:lineRule="auto"/>
        <w:ind w:left="720"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E">
      <w:pPr>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ALCANCE</w:t>
      </w:r>
    </w:p>
    <w:p w:rsidR="00000000" w:rsidDel="00000000" w:rsidP="00000000" w:rsidRDefault="00000000" w:rsidRPr="00000000" w14:paraId="0000002F">
      <w:pPr>
        <w:widowControl w:val="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La instrucción del presente manual está dirigida a todo el personal que participe directamente durante el servicio de atención al paciente dentro del ENDOCRINOLOGY &amp; HEALTH S.A.S. </w:t>
      </w:r>
      <w:r w:rsidDel="00000000" w:rsidR="00000000" w:rsidRPr="00000000">
        <w:rPr>
          <w:rtl w:val="0"/>
        </w:rPr>
      </w:r>
    </w:p>
    <w:p w:rsidR="00000000" w:rsidDel="00000000" w:rsidP="00000000" w:rsidRDefault="00000000" w:rsidRPr="00000000" w14:paraId="00000030">
      <w:pPr>
        <w:widowControl w:val="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RESPONSABLE:</w:t>
      </w:r>
    </w:p>
    <w:p w:rsidR="00000000" w:rsidDel="00000000" w:rsidP="00000000" w:rsidRDefault="00000000" w:rsidRPr="00000000" w14:paraId="00000031">
      <w:pPr>
        <w:widowControl w:val="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Comité de seguridad del paciente</w:t>
      </w:r>
      <w:r w:rsidDel="00000000" w:rsidR="00000000" w:rsidRPr="00000000">
        <w:rPr>
          <w:rtl w:val="0"/>
        </w:rPr>
      </w:r>
    </w:p>
    <w:p w:rsidR="00000000" w:rsidDel="00000000" w:rsidP="00000000" w:rsidRDefault="00000000" w:rsidRPr="00000000" w14:paraId="00000032">
      <w:pPr>
        <w:widowControl w:val="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MARCO NORMATIVO:</w:t>
      </w:r>
    </w:p>
    <w:p w:rsidR="00000000" w:rsidDel="00000000" w:rsidP="00000000" w:rsidRDefault="00000000" w:rsidRPr="00000000" w14:paraId="00000033">
      <w:pPr>
        <w:numPr>
          <w:ilvl w:val="0"/>
          <w:numId w:val="8"/>
        </w:numPr>
        <w:pBdr>
          <w:top w:space="0" w:sz="0" w:val="nil"/>
          <w:left w:space="0" w:sz="0" w:val="nil"/>
          <w:bottom w:space="0" w:sz="0" w:val="nil"/>
          <w:right w:space="0" w:sz="0" w:val="nil"/>
          <w:between w:space="0" w:sz="0" w:val="nil"/>
        </w:pBdr>
        <w:spacing w:after="36" w:before="36" w:lineRule="auto"/>
        <w:ind w:left="720" w:hanging="360"/>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Paquetes instruccionales para la seguridad del paciente del Ministerios de salud y Protección Social.</w:t>
      </w:r>
    </w:p>
    <w:p w:rsidR="00000000" w:rsidDel="00000000" w:rsidP="00000000" w:rsidRDefault="00000000" w:rsidRPr="00000000" w14:paraId="00000034">
      <w:pPr>
        <w:numPr>
          <w:ilvl w:val="0"/>
          <w:numId w:val="8"/>
        </w:numPr>
        <w:pBdr>
          <w:top w:space="0" w:sz="0" w:val="nil"/>
          <w:left w:space="0" w:sz="0" w:val="nil"/>
          <w:bottom w:space="0" w:sz="0" w:val="nil"/>
          <w:right w:space="0" w:sz="0" w:val="nil"/>
          <w:between w:space="0" w:sz="0" w:val="nil"/>
        </w:pBdr>
        <w:spacing w:after="36" w:before="36" w:lineRule="auto"/>
        <w:ind w:left="720" w:hanging="360"/>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Paquete instructional Detectar prevenir y reducir infecciones asociadas con la </w:t>
      </w:r>
      <w:r w:rsidDel="00000000" w:rsidR="00000000" w:rsidRPr="00000000">
        <w:rPr>
          <w:rFonts w:ascii="Century Gothic" w:cs="Century Gothic" w:eastAsia="Century Gothic" w:hAnsi="Century Gothic"/>
          <w:rtl w:val="0"/>
        </w:rPr>
        <w:t xml:space="preserve">Atención</w:t>
      </w:r>
      <w:r w:rsidDel="00000000" w:rsidR="00000000" w:rsidRPr="00000000">
        <w:rPr>
          <w:rFonts w:ascii="Century Gothic" w:cs="Century Gothic" w:eastAsia="Century Gothic" w:hAnsi="Century Gothic"/>
          <w:color w:val="000000"/>
          <w:rtl w:val="0"/>
        </w:rPr>
        <w:t xml:space="preserve"> en salud </w:t>
      </w:r>
    </w:p>
    <w:p w:rsidR="00000000" w:rsidDel="00000000" w:rsidP="00000000" w:rsidRDefault="00000000" w:rsidRPr="00000000" w14:paraId="00000035">
      <w:pPr>
        <w:numPr>
          <w:ilvl w:val="0"/>
          <w:numId w:val="8"/>
        </w:numPr>
        <w:pBdr>
          <w:top w:space="0" w:sz="0" w:val="nil"/>
          <w:left w:space="0" w:sz="0" w:val="nil"/>
          <w:bottom w:space="0" w:sz="0" w:val="nil"/>
          <w:right w:space="0" w:sz="0" w:val="nil"/>
          <w:between w:space="0" w:sz="0" w:val="nil"/>
        </w:pBdr>
        <w:spacing w:after="36" w:before="36" w:lineRule="auto"/>
        <w:ind w:left="720" w:hanging="360"/>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Decreto 780 del 2016 SOGCS.</w:t>
      </w:r>
    </w:p>
    <w:p w:rsidR="00000000" w:rsidDel="00000000" w:rsidP="00000000" w:rsidRDefault="00000000" w:rsidRPr="00000000" w14:paraId="00000036">
      <w:pPr>
        <w:numPr>
          <w:ilvl w:val="0"/>
          <w:numId w:val="8"/>
        </w:numPr>
        <w:pBdr>
          <w:top w:space="0" w:sz="0" w:val="nil"/>
          <w:left w:space="0" w:sz="0" w:val="nil"/>
          <w:bottom w:space="0" w:sz="0" w:val="nil"/>
          <w:right w:space="0" w:sz="0" w:val="nil"/>
          <w:between w:space="0" w:sz="0" w:val="nil"/>
        </w:pBdr>
        <w:spacing w:after="36" w:before="36" w:lineRule="auto"/>
        <w:ind w:left="720" w:hanging="360"/>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Resolución 3100 de 2019 Sistema Único de Habilitación.</w:t>
      </w:r>
    </w:p>
    <w:p w:rsidR="00000000" w:rsidDel="00000000" w:rsidP="00000000" w:rsidRDefault="00000000" w:rsidRPr="00000000" w14:paraId="00000037">
      <w:pPr>
        <w:widowControl w:val="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8">
      <w:pPr>
        <w:widowControl w:val="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DEFINICIONES</w:t>
      </w:r>
    </w:p>
    <w:p w:rsidR="00000000" w:rsidDel="00000000" w:rsidP="00000000" w:rsidRDefault="00000000" w:rsidRPr="00000000" w14:paraId="00000039">
      <w:pPr>
        <w:spacing w:after="240" w:befor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 considera Infección Asociada a la Atención en Salud (IAAS) aquella que no estaba presente ni en período de incubación al momento de la atención del usuario o de la realización de un procedimiento ambulatorio, y que se adquiere como consecuencia directa de dicha atención.</w:t>
      </w:r>
    </w:p>
    <w:p w:rsidR="00000000" w:rsidDel="00000000" w:rsidP="00000000" w:rsidRDefault="00000000" w:rsidRPr="00000000" w14:paraId="0000003A">
      <w:pPr>
        <w:spacing w:after="240" w:befor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También deben considerarse como IAAS las infecciones adquiridas por el personal asistencial o los visitantes, siempre que se logre identificar la cadena de transmisión, el agente causal y el foco dentro de la institución prestadora de servicios de salud.</w:t>
      </w:r>
    </w:p>
    <w:p w:rsidR="00000000" w:rsidDel="00000000" w:rsidP="00000000" w:rsidRDefault="00000000" w:rsidRPr="00000000" w14:paraId="0000003B">
      <w:pPr>
        <w:spacing w:after="240" w:befor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Las IAAS en el ámbito ambulatorio pueden manifestarse durante la atención o posterior a ella (hasta 30 días después de la consulta), siempre que exista evidencia de su relación con la prestación del servicio. Estas infecciones son resultado de la interacción entre el agente, el huésped y el entorno asistencial, donde confluyen factores como la condición de salud del usuario, el uso de dispositivos o insumos médicos, y la posible presencia de agentes resistentes a los desinfectantes o antimicrobianos de uso habitual.</w:t>
      </w:r>
      <w:r w:rsidDel="00000000" w:rsidR="00000000" w:rsidRPr="00000000">
        <w:rPr>
          <w:rtl w:val="0"/>
        </w:rPr>
      </w:r>
    </w:p>
    <w:p w:rsidR="00000000" w:rsidDel="00000000" w:rsidP="00000000" w:rsidRDefault="00000000" w:rsidRPr="00000000" w14:paraId="0000003C">
      <w:pPr>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INFECCIONES ENDÓGENAS:</w:t>
      </w:r>
      <w:r w:rsidDel="00000000" w:rsidR="00000000" w:rsidRPr="00000000">
        <w:rPr>
          <w:rFonts w:ascii="Century Gothic" w:cs="Century Gothic" w:eastAsia="Century Gothic" w:hAnsi="Century Gothic"/>
          <w:rtl w:val="0"/>
        </w:rPr>
        <w:t xml:space="preserve"> Son producidas por la propia flora del usuario. </w:t>
      </w:r>
    </w:p>
    <w:p w:rsidR="00000000" w:rsidDel="00000000" w:rsidP="00000000" w:rsidRDefault="00000000" w:rsidRPr="00000000" w14:paraId="0000003D">
      <w:pPr>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INFECCIÓN EXÓGENA:</w:t>
      </w:r>
      <w:r w:rsidDel="00000000" w:rsidR="00000000" w:rsidRPr="00000000">
        <w:rPr>
          <w:rFonts w:ascii="Century Gothic" w:cs="Century Gothic" w:eastAsia="Century Gothic" w:hAnsi="Century Gothic"/>
          <w:rtl w:val="0"/>
        </w:rPr>
        <w:t xml:space="preserve"> Resulta de la transmisión de gérmenes a partir de un foco distinto al propio usuario.</w:t>
      </w:r>
    </w:p>
    <w:p w:rsidR="00000000" w:rsidDel="00000000" w:rsidP="00000000" w:rsidRDefault="00000000" w:rsidRPr="00000000" w14:paraId="0000003E">
      <w:pPr>
        <w:spacing w:after="240" w:befor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INFECCIÓN EXTRAINSTITUCIONAL:</w:t>
      </w:r>
      <w:r w:rsidDel="00000000" w:rsidR="00000000" w:rsidRPr="00000000">
        <w:rPr>
          <w:rFonts w:ascii="Century Gothic" w:cs="Century Gothic" w:eastAsia="Century Gothic" w:hAnsi="Century Gothic"/>
          <w:rtl w:val="0"/>
        </w:rPr>
        <w:t xml:space="preserve"> Las infecciones que se presentan en las siguientes circunstancias no se consideran intrainstitucionales, dado que se asocian a procesos infecciosos presentes al momento de la admisión, y aquellas en las que el paciente ingresa infectado y sale con el mismo proceso.</w:t>
      </w:r>
    </w:p>
    <w:p w:rsidR="00000000" w:rsidDel="00000000" w:rsidP="00000000" w:rsidRDefault="00000000" w:rsidRPr="00000000" w14:paraId="0000003F">
      <w:pPr>
        <w:spacing w:after="240" w:befor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 clasifican como extrainstitucional:</w:t>
      </w:r>
    </w:p>
    <w:p w:rsidR="00000000" w:rsidDel="00000000" w:rsidP="00000000" w:rsidRDefault="00000000" w:rsidRPr="00000000" w14:paraId="00000040">
      <w:pPr>
        <w:numPr>
          <w:ilvl w:val="0"/>
          <w:numId w:val="12"/>
        </w:numPr>
        <w:pBdr>
          <w:top w:space="0" w:sz="0" w:val="nil"/>
          <w:left w:space="0" w:sz="0" w:val="nil"/>
          <w:bottom w:space="0" w:sz="0" w:val="nil"/>
          <w:right w:space="0" w:sz="0" w:val="nil"/>
          <w:between w:space="0" w:sz="0" w:val="nil"/>
        </w:pBdr>
        <w:spacing w:after="0" w:before="240" w:lineRule="auto"/>
        <w:ind w:left="720" w:hanging="360"/>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Paciente que ingresa infectado y sale con el mismo proceso.</w:t>
      </w:r>
    </w:p>
    <w:p w:rsidR="00000000" w:rsidDel="00000000" w:rsidP="00000000" w:rsidRDefault="00000000" w:rsidRPr="00000000" w14:paraId="00000041">
      <w:pPr>
        <w:numPr>
          <w:ilvl w:val="0"/>
          <w:numId w:val="12"/>
        </w:numPr>
        <w:pBdr>
          <w:top w:space="0" w:sz="0" w:val="nil"/>
          <w:left w:space="0" w:sz="0" w:val="nil"/>
          <w:bottom w:space="0" w:sz="0" w:val="nil"/>
          <w:right w:space="0" w:sz="0" w:val="nil"/>
          <w:between w:space="0" w:sz="0" w:val="nil"/>
        </w:pBdr>
        <w:spacing w:after="240" w:lineRule="auto"/>
        <w:ind w:left="720" w:hanging="360"/>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Paciente que ingresa en periodo de incubación y desarrolla la infección.</w:t>
      </w:r>
    </w:p>
    <w:p w:rsidR="00000000" w:rsidDel="00000000" w:rsidP="00000000" w:rsidRDefault="00000000" w:rsidRPr="00000000" w14:paraId="00000042">
      <w:pPr>
        <w:spacing w:after="240" w:befor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AGENTES:</w:t>
      </w:r>
      <w:r w:rsidDel="00000000" w:rsidR="00000000" w:rsidRPr="00000000">
        <w:rPr>
          <w:rFonts w:ascii="Century Gothic" w:cs="Century Gothic" w:eastAsia="Century Gothic" w:hAnsi="Century Gothic"/>
          <w:rtl w:val="0"/>
        </w:rPr>
        <w:t xml:space="preserve"> Cualquier agente infeccioso puede ser el causante. Los más frecuentemente implicados son las bacterias, los bacilos gran negativos y los cocos gran positivos en su orden, aunque también se describen IAAS por hongos y virus.</w:t>
      </w:r>
    </w:p>
    <w:p w:rsidR="00000000" w:rsidDel="00000000" w:rsidP="00000000" w:rsidRDefault="00000000" w:rsidRPr="00000000" w14:paraId="00000043">
      <w:pPr>
        <w:spacing w:after="240" w:befor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BACTERIAS:</w:t>
      </w:r>
      <w:r w:rsidDel="00000000" w:rsidR="00000000" w:rsidRPr="00000000">
        <w:rPr>
          <w:rFonts w:ascii="Century Gothic" w:cs="Century Gothic" w:eastAsia="Century Gothic" w:hAnsi="Century Gothic"/>
          <w:rtl w:val="0"/>
        </w:rPr>
        <w:t xml:space="preserve"> Bacterias comensales encontradas en la flora normal de las personas sanas. (Por ejemplo, los estafilococos cutáneos negativos a la coagulasa pueden causar infección del catéter intravascular y Escherichia coli intestinal es la causa más común de infección urinaria.). Las bacterias patógenas tienen mayor virulencia y causan infecciones (esporádicas o endémicas), independientemente del estado del huésped). Las bacterias grampositivas: causan una gran variedad de infecciones pulmonares, óseas, cardíacas y sanguíneas y a menudo son resistentes a los antibióticos. Las bacterias gram negativas pueden colonizar varios sitios cuando las defensas del huésped están comprometidas (inserción de un catéter o de una cánula, sonda vesical) y causar infecciones graves (del sitio de una intervención quirúrgica, los pulmones, el peritoneo, bacteriemia). Estos gramnegativos a menudo se aíslan en agua y en zonas húmedas (Pseudomonas spp), y pueden además colonizar el aparato digestivo de los pacientes hospitalizados.</w:t>
      </w:r>
    </w:p>
    <w:p w:rsidR="00000000" w:rsidDel="00000000" w:rsidP="00000000" w:rsidRDefault="00000000" w:rsidRPr="00000000" w14:paraId="00000044">
      <w:pPr>
        <w:spacing w:after="240" w:befor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VIRUS:</w:t>
      </w:r>
      <w:r w:rsidDel="00000000" w:rsidR="00000000" w:rsidRPr="00000000">
        <w:rPr>
          <w:rFonts w:ascii="Century Gothic" w:cs="Century Gothic" w:eastAsia="Century Gothic" w:hAnsi="Century Gothic"/>
          <w:rtl w:val="0"/>
        </w:rPr>
        <w:t xml:space="preserve"> Existe la posibilidad de transmisión intrahospitalaria de muchos virus, incluso los virus de la hepatitis B y C (transfusiones, diálisis, inyecciones, endoscopia), el virus sincitial respiratorio (VSR), los rotavirus y los enterovirus (transmitidos por contacto del ano con la boca y por vía fecal-oral). También pueden transmitir otros virus, como el citomegalovirus, el VIH y los virus de Ebola, la influenza, el herpes simple y la varicela zóster.</w:t>
      </w:r>
    </w:p>
    <w:p w:rsidR="00000000" w:rsidDel="00000000" w:rsidP="00000000" w:rsidRDefault="00000000" w:rsidRPr="00000000" w14:paraId="00000045">
      <w:pPr>
        <w:spacing w:after="240" w:befor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FACTORES DE RIESGO:</w:t>
      </w:r>
      <w:r w:rsidDel="00000000" w:rsidR="00000000" w:rsidRPr="00000000">
        <w:rPr>
          <w:rFonts w:ascii="Century Gothic" w:cs="Century Gothic" w:eastAsia="Century Gothic" w:hAnsi="Century Gothic"/>
          <w:rtl w:val="0"/>
        </w:rPr>
        <w:t xml:space="preserve"> La infección institucional se produce como consecuencia de la interacción entre agente, huésped y medio ambiente, como un proceso infeccioso de carácter multicausal. Existen diversos factores de riesgo:</w:t>
      </w:r>
    </w:p>
    <w:p w:rsidR="00000000" w:rsidDel="00000000" w:rsidP="00000000" w:rsidRDefault="00000000" w:rsidRPr="00000000" w14:paraId="00000046">
      <w:pPr>
        <w:numPr>
          <w:ilvl w:val="0"/>
          <w:numId w:val="6"/>
        </w:numPr>
        <w:pBdr>
          <w:top w:space="0" w:sz="0" w:val="nil"/>
          <w:left w:space="0" w:sz="0" w:val="nil"/>
          <w:bottom w:space="0" w:sz="0" w:val="nil"/>
          <w:right w:space="0" w:sz="0" w:val="nil"/>
          <w:between w:space="0" w:sz="0" w:val="nil"/>
        </w:pBdr>
        <w:spacing w:after="0" w:before="240" w:lineRule="auto"/>
        <w:ind w:left="720" w:hanging="360"/>
        <w:jc w:val="both"/>
        <w:rPr>
          <w:rFonts w:ascii="Times New Roman" w:cs="Times New Roman" w:eastAsia="Times New Roman" w:hAnsi="Times New Roman"/>
          <w:color w:val="000000"/>
        </w:rPr>
      </w:pPr>
      <w:r w:rsidDel="00000000" w:rsidR="00000000" w:rsidRPr="00000000">
        <w:rPr>
          <w:rFonts w:ascii="Century Gothic" w:cs="Century Gothic" w:eastAsia="Century Gothic" w:hAnsi="Century Gothic"/>
          <w:b w:val="1"/>
          <w:bCs w:val="1"/>
          <w:color w:val="000000"/>
          <w:rtl w:val="0"/>
        </w:rPr>
        <w:t xml:space="preserve">Endógenos:</w:t>
      </w:r>
      <w:r w:rsidDel="00000000" w:rsidR="00000000" w:rsidRPr="00000000">
        <w:rPr>
          <w:rFonts w:ascii="Century Gothic" w:cs="Century Gothic" w:eastAsia="Century Gothic" w:hAnsi="Century Gothic"/>
          <w:color w:val="000000"/>
          <w:rtl w:val="0"/>
        </w:rPr>
        <w:t xml:space="preserve"> inherentes al paciente, como son: edad, sexo, disminución de las defensas a causa del estrés que genera la hospitalización, la patología de base con la cual ingresa a la profesional, la alteración de las barreras anatómicas (piel y mucosas) e inmunológicas (inmunidad humoral y celular) debido a procedimientos invasivos diagnósticos y terapéuticos, uso de antimicrobianos e inmunosupresores, entre otros, necesarios para el tratamiento, durante su permanencia en el hospital los cuales determinan la susceptibilidad particular.</w:t>
      </w:r>
    </w:p>
    <w:p w:rsidR="00000000" w:rsidDel="00000000" w:rsidP="00000000" w:rsidRDefault="00000000" w:rsidRPr="00000000" w14:paraId="00000047">
      <w:pPr>
        <w:numPr>
          <w:ilvl w:val="0"/>
          <w:numId w:val="6"/>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rPr>
      </w:pPr>
      <w:r w:rsidDel="00000000" w:rsidR="00000000" w:rsidRPr="00000000">
        <w:rPr>
          <w:rFonts w:ascii="Century Gothic" w:cs="Century Gothic" w:eastAsia="Century Gothic" w:hAnsi="Century Gothic"/>
          <w:b w:val="1"/>
          <w:bCs w:val="1"/>
          <w:color w:val="000000"/>
          <w:rtl w:val="0"/>
        </w:rPr>
        <w:t xml:space="preserve">Exógenos:</w:t>
      </w:r>
      <w:r w:rsidDel="00000000" w:rsidR="00000000" w:rsidRPr="00000000">
        <w:rPr>
          <w:rFonts w:ascii="Century Gothic" w:cs="Century Gothic" w:eastAsia="Century Gothic" w:hAnsi="Century Gothic"/>
          <w:color w:val="000000"/>
          <w:rtl w:val="0"/>
        </w:rPr>
        <w:t xml:space="preserve"> La virulencia de la cepa: determinada por la patogenicidad de las especies y el número de microorganismos. Generalmente los agentes infecciosos adquiridos en el medio hospitalario, pueden presentar más patogenicidad y/o virulencia y ser más resistentes a los antibióticos y/o antisépticos.</w:t>
      </w:r>
    </w:p>
    <w:p w:rsidR="00000000" w:rsidDel="00000000" w:rsidP="00000000" w:rsidRDefault="00000000" w:rsidRPr="00000000" w14:paraId="00000048">
      <w:pPr>
        <w:numPr>
          <w:ilvl w:val="0"/>
          <w:numId w:val="6"/>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rPr>
      </w:pPr>
      <w:r w:rsidDel="00000000" w:rsidR="00000000" w:rsidRPr="00000000">
        <w:rPr>
          <w:rFonts w:ascii="Century Gothic" w:cs="Century Gothic" w:eastAsia="Century Gothic" w:hAnsi="Century Gothic"/>
          <w:b w:val="1"/>
          <w:bCs w:val="1"/>
          <w:color w:val="000000"/>
          <w:rtl w:val="0"/>
        </w:rPr>
        <w:t xml:space="preserve">Inherentes al servicio: </w:t>
      </w:r>
      <w:r w:rsidDel="00000000" w:rsidR="00000000" w:rsidRPr="00000000">
        <w:rPr>
          <w:rFonts w:ascii="Century Gothic" w:cs="Century Gothic" w:eastAsia="Century Gothic" w:hAnsi="Century Gothic"/>
          <w:color w:val="000000"/>
          <w:rtl w:val="0"/>
        </w:rPr>
        <w:t xml:space="preserve">incluyen la planta física, su mantenimiento (el medio ambiente cuando no es el adecuado puede propiciar la permanencia y transmisión de los microorganismos patógenos), el cumplimiento de protocolos, el volumen y rotación del personal y el cumplimiento estricto por parte de este de todas las normas de bioseguridad pertinentes.</w:t>
      </w:r>
    </w:p>
    <w:p w:rsidR="00000000" w:rsidDel="00000000" w:rsidP="00000000" w:rsidRDefault="00000000" w:rsidRPr="00000000" w14:paraId="00000049">
      <w:pPr>
        <w:widowControl w:val="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4A">
      <w:pPr>
        <w:widowControl w:val="0"/>
        <w:jc w:val="both"/>
        <w:rPr>
          <w:rFonts w:ascii="Century Gothic" w:cs="Century Gothic" w:eastAsia="Century Gothic" w:hAnsi="Century Gothic"/>
          <w:b w:val="1"/>
          <w:bCs w:val="1"/>
          <w:u w:val="single"/>
        </w:rPr>
      </w:pPr>
      <w:r w:rsidDel="00000000" w:rsidR="00000000" w:rsidRPr="00000000">
        <w:rPr>
          <w:rFonts w:ascii="Century Gothic" w:cs="Century Gothic" w:eastAsia="Century Gothic" w:hAnsi="Century Gothic"/>
          <w:b w:val="1"/>
          <w:bCs w:val="1"/>
          <w:u w:val="single"/>
          <w:rtl w:val="0"/>
        </w:rPr>
        <w:t xml:space="preserve">DETECTAR INFECCIONES ASOCIADAS AL CUIDADO DE LA SALUD</w:t>
      </w:r>
    </w:p>
    <w:p w:rsidR="00000000" w:rsidDel="00000000" w:rsidP="00000000" w:rsidRDefault="00000000" w:rsidRPr="00000000" w14:paraId="0000004B">
      <w:pPr>
        <w:widowControl w:val="0"/>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rtl w:val="0"/>
        </w:rPr>
        <w:t xml:space="preserve">METAS ESTABLECIDAS EN ENDOCRINOLOGY &amp; HEALTH S.A.S </w:t>
      </w:r>
      <w:r w:rsidDel="00000000" w:rsidR="00000000" w:rsidRPr="00000000">
        <w:rPr>
          <w:rFonts w:ascii="Century Gothic" w:cs="Century Gothic" w:eastAsia="Century Gothic" w:hAnsi="Century Gothic"/>
          <w:color w:val="000000"/>
          <w:rtl w:val="0"/>
        </w:rPr>
        <w:t xml:space="preserve">Detectar e investigar oportunamente el 100% de las infecciones asociadas a la atención en salud. </w:t>
      </w:r>
    </w:p>
    <w:p w:rsidR="00000000" w:rsidDel="00000000" w:rsidP="00000000" w:rsidRDefault="00000000" w:rsidRPr="00000000" w14:paraId="0000004C">
      <w:pPr>
        <w:numPr>
          <w:ilvl w:val="0"/>
          <w:numId w:val="7"/>
        </w:numPr>
        <w:pBdr>
          <w:top w:space="0" w:sz="0" w:val="nil"/>
          <w:left w:space="0" w:sz="0" w:val="nil"/>
          <w:bottom w:space="0" w:sz="0" w:val="nil"/>
          <w:right w:space="0" w:sz="0" w:val="nil"/>
          <w:between w:space="0" w:sz="0" w:val="nil"/>
        </w:pBdr>
        <w:spacing w:after="0" w:lineRule="auto"/>
        <w:ind w:left="720" w:hanging="360"/>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Vigilar la incidencia y distribución de las IAAS, encontrar la fuente de infección de las infecciones asociadas a la atención en salud detectadas.</w:t>
      </w:r>
    </w:p>
    <w:p w:rsidR="00000000" w:rsidDel="00000000" w:rsidP="00000000" w:rsidRDefault="00000000" w:rsidRPr="00000000" w14:paraId="0000004D">
      <w:pPr>
        <w:numPr>
          <w:ilvl w:val="0"/>
          <w:numId w:val="7"/>
        </w:numPr>
        <w:pBdr>
          <w:top w:space="0" w:sz="0" w:val="nil"/>
          <w:left w:space="0" w:sz="0" w:val="nil"/>
          <w:bottom w:space="0" w:sz="0" w:val="nil"/>
          <w:right w:space="0" w:sz="0" w:val="nil"/>
          <w:between w:space="0" w:sz="0" w:val="nil"/>
        </w:pBdr>
        <w:spacing w:after="0" w:lineRule="auto"/>
        <w:ind w:left="720" w:hanging="360"/>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Corregir los procesos que estén implicados en las infecciones asociadas a la atención en salud. </w:t>
      </w:r>
    </w:p>
    <w:p w:rsidR="00000000" w:rsidDel="00000000" w:rsidP="00000000" w:rsidRDefault="00000000" w:rsidRPr="00000000" w14:paraId="0000004E">
      <w:pPr>
        <w:numPr>
          <w:ilvl w:val="0"/>
          <w:numId w:val="7"/>
        </w:numPr>
        <w:pBdr>
          <w:top w:space="0" w:sz="0" w:val="nil"/>
          <w:left w:space="0" w:sz="0" w:val="nil"/>
          <w:bottom w:space="0" w:sz="0" w:val="nil"/>
          <w:right w:space="0" w:sz="0" w:val="nil"/>
          <w:between w:space="0" w:sz="0" w:val="nil"/>
        </w:pBdr>
        <w:spacing w:after="0" w:lineRule="auto"/>
        <w:ind w:left="720" w:hanging="360"/>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rtl w:val="0"/>
        </w:rPr>
        <w:t xml:space="preserve">Normalizar</w:t>
      </w:r>
      <w:r w:rsidDel="00000000" w:rsidR="00000000" w:rsidRPr="00000000">
        <w:rPr>
          <w:rFonts w:ascii="Century Gothic" w:cs="Century Gothic" w:eastAsia="Century Gothic" w:hAnsi="Century Gothic"/>
          <w:color w:val="000000"/>
          <w:rtl w:val="0"/>
        </w:rPr>
        <w:t xml:space="preserve"> procedimientos para prevenir la aparición de infecciones asociadas a la atención en salud.</w:t>
      </w:r>
    </w:p>
    <w:p w:rsidR="00000000" w:rsidDel="00000000" w:rsidP="00000000" w:rsidRDefault="00000000" w:rsidRPr="00000000" w14:paraId="0000004F">
      <w:pPr>
        <w:numPr>
          <w:ilvl w:val="0"/>
          <w:numId w:val="7"/>
        </w:numPr>
        <w:pBdr>
          <w:top w:space="0" w:sz="0" w:val="nil"/>
          <w:left w:space="0" w:sz="0" w:val="nil"/>
          <w:bottom w:space="0" w:sz="0" w:val="nil"/>
          <w:right w:space="0" w:sz="0" w:val="nil"/>
          <w:between w:space="0" w:sz="0" w:val="nil"/>
        </w:pBdr>
        <w:spacing w:after="0" w:lineRule="auto"/>
        <w:ind w:left="720" w:hanging="360"/>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Lograr el control y la reducción del número de infecciones asociadas a la atención en salud.</w:t>
      </w:r>
    </w:p>
    <w:p w:rsidR="00000000" w:rsidDel="00000000" w:rsidP="00000000" w:rsidRDefault="00000000" w:rsidRPr="00000000" w14:paraId="00000050">
      <w:pPr>
        <w:numPr>
          <w:ilvl w:val="0"/>
          <w:numId w:val="7"/>
        </w:numPr>
        <w:pBdr>
          <w:top w:space="0" w:sz="0" w:val="nil"/>
          <w:left w:space="0" w:sz="0" w:val="nil"/>
          <w:bottom w:space="0" w:sz="0" w:val="nil"/>
          <w:right w:space="0" w:sz="0" w:val="nil"/>
          <w:between w:space="0" w:sz="0" w:val="nil"/>
        </w:pBdr>
        <w:spacing w:after="240" w:lineRule="auto"/>
        <w:ind w:left="720" w:hanging="360"/>
        <w:jc w:val="both"/>
        <w:rPr>
          <w:rFonts w:ascii="Times New Roman" w:cs="Times New Roman" w:eastAsia="Times New Roman" w:hAnsi="Times New Roman"/>
          <w:color w:val="000000"/>
        </w:rPr>
      </w:pPr>
      <w:r w:rsidDel="00000000" w:rsidR="00000000" w:rsidRPr="00000000">
        <w:rPr>
          <w:rFonts w:ascii="Century Gothic" w:cs="Century Gothic" w:eastAsia="Century Gothic" w:hAnsi="Century Gothic"/>
          <w:color w:val="000000"/>
          <w:rtl w:val="0"/>
        </w:rPr>
        <w:t xml:space="preserve">Concientizar al personal</w:t>
      </w:r>
      <w:r w:rsidDel="00000000" w:rsidR="00000000" w:rsidRPr="00000000">
        <w:rPr>
          <w:rFonts w:ascii="Century Gothic" w:cs="Century Gothic" w:eastAsia="Century Gothic" w:hAnsi="Century Gothic"/>
          <w:rtl w:val="0"/>
        </w:rPr>
        <w:t xml:space="preserve"> asistencial</w:t>
      </w:r>
      <w:r w:rsidDel="00000000" w:rsidR="00000000" w:rsidRPr="00000000">
        <w:rPr>
          <w:rFonts w:ascii="Century Gothic" w:cs="Century Gothic" w:eastAsia="Century Gothic" w:hAnsi="Century Gothic"/>
          <w:color w:val="000000"/>
          <w:rtl w:val="0"/>
        </w:rPr>
        <w:t xml:space="preserve"> y demás trabajadores </w:t>
      </w:r>
      <w:r w:rsidDel="00000000" w:rsidR="00000000" w:rsidRPr="00000000">
        <w:rPr>
          <w:rFonts w:ascii="Century Gothic" w:cs="Century Gothic" w:eastAsia="Century Gothic" w:hAnsi="Century Gothic"/>
          <w:rtl w:val="0"/>
        </w:rPr>
        <w:t xml:space="preserve">de ENDOCRINOLOGY &amp; HEALTH S.A.S</w:t>
      </w:r>
      <w:r w:rsidDel="00000000" w:rsidR="00000000" w:rsidRPr="00000000">
        <w:rPr>
          <w:rFonts w:ascii="Century Gothic" w:cs="Century Gothic" w:eastAsia="Century Gothic" w:hAnsi="Century Gothic"/>
          <w:b w:val="1"/>
          <w:bCs w:val="1"/>
          <w:color w:val="000000"/>
          <w:rtl w:val="0"/>
        </w:rPr>
        <w:t xml:space="preserve"> </w:t>
      </w:r>
      <w:r w:rsidDel="00000000" w:rsidR="00000000" w:rsidRPr="00000000">
        <w:rPr>
          <w:rFonts w:ascii="Century Gothic" w:cs="Century Gothic" w:eastAsia="Century Gothic" w:hAnsi="Century Gothic"/>
          <w:rtl w:val="0"/>
        </w:rPr>
        <w:t xml:space="preserve">(</w:t>
      </w:r>
      <w:r w:rsidDel="00000000" w:rsidR="00000000" w:rsidRPr="00000000">
        <w:rPr>
          <w:rFonts w:ascii="Century Gothic" w:cs="Century Gothic" w:eastAsia="Century Gothic" w:hAnsi="Century Gothic"/>
          <w:color w:val="000000"/>
          <w:rtl w:val="0"/>
        </w:rPr>
        <w:t xml:space="preserve">incluso los administradores) de las infecciones asociadas a la atención en salud y la resistencia a los antimicrobianos, de manera que aprecien la necesidad de acción preventiva.</w:t>
      </w:r>
    </w:p>
    <w:p w:rsidR="00000000" w:rsidDel="00000000" w:rsidP="00000000" w:rsidRDefault="00000000" w:rsidRPr="00000000" w14:paraId="00000051">
      <w:pPr>
        <w:spacing w:after="240" w:befor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ESTRATEGIAS PARA LA CONSECUENCIÓN DE LAS METAS ESTABLECIDAS </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pacing w:after="0" w:before="240" w:lineRule="auto"/>
        <w:ind w:left="720" w:hanging="360"/>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Incrementar la búsqueda activa de casos de infección en los servicios</w:t>
      </w:r>
      <w:r w:rsidDel="00000000" w:rsidR="00000000" w:rsidRPr="00000000">
        <w:rPr>
          <w:rFonts w:ascii="Century Gothic" w:cs="Century Gothic" w:eastAsia="Century Gothic" w:hAnsi="Century Gothic"/>
          <w:rtl w:val="0"/>
        </w:rPr>
        <w:t xml:space="preserve">.</w:t>
      </w:r>
      <w:r w:rsidDel="00000000" w:rsidR="00000000" w:rsidRPr="00000000">
        <w:rPr>
          <w:rtl w:val="0"/>
        </w:rPr>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pacing w:after="0" w:lineRule="auto"/>
        <w:ind w:left="720" w:hanging="360"/>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Análisis de las probables causas e intervención sobre éstas.</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pacing w:after="0" w:lineRule="auto"/>
        <w:ind w:left="720" w:hanging="360"/>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Cumplimiento en la aplicación de las normas de asepsia. </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pacing w:after="0" w:lineRule="auto"/>
        <w:ind w:left="720" w:hanging="360"/>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Cumplimiento en la aplicación de las normas de bioseguridad.</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pacing w:after="0" w:lineRule="auto"/>
        <w:ind w:left="720" w:hanging="360"/>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Normalización de procesos en áreas críticas.</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pacing w:after="0" w:lineRule="auto"/>
        <w:ind w:left="720" w:hanging="360"/>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Controlar los riesgos ambientales de infección.</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pacing w:after="0" w:lineRule="auto"/>
        <w:ind w:left="720" w:hanging="360"/>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Prevenir la infección de los miembros del personal.</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pacing w:after="0" w:lineRule="auto"/>
        <w:ind w:left="720" w:hanging="360"/>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Verificar adherencia en los protocolos de limpieza y desinfección.</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pacing w:after="0" w:lineRule="auto"/>
        <w:ind w:left="720" w:hanging="360"/>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Verificar adherencia en los protocolos de correcto lavado de manos. </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pacing w:after="0" w:lineRule="auto"/>
        <w:ind w:left="720" w:hanging="360"/>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Implementación de los 5 momentos de lavado de manos. </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pacing w:after="0" w:lineRule="auto"/>
        <w:ind w:left="720" w:hanging="360"/>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Cumplir con la política de no reúso de dispositivos médicos. </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pacing w:after="0" w:lineRule="auto"/>
        <w:ind w:left="720" w:hanging="360"/>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Publicar piezas publicitarias en </w:t>
      </w:r>
      <w:r w:rsidDel="00000000" w:rsidR="00000000" w:rsidRPr="00000000">
        <w:rPr>
          <w:rFonts w:ascii="Century Gothic" w:cs="Century Gothic" w:eastAsia="Century Gothic" w:hAnsi="Century Gothic"/>
          <w:rtl w:val="0"/>
        </w:rPr>
        <w:t xml:space="preserve">la IPS </w:t>
      </w:r>
      <w:r w:rsidDel="00000000" w:rsidR="00000000" w:rsidRPr="00000000">
        <w:rPr>
          <w:rFonts w:ascii="Century Gothic" w:cs="Century Gothic" w:eastAsia="Century Gothic" w:hAnsi="Century Gothic"/>
          <w:color w:val="000000"/>
          <w:rtl w:val="0"/>
        </w:rPr>
        <w:t xml:space="preserve">para evitar riesgos de infecciones para pacientes y visitantes.</w:t>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INSUMOS, DISP. MÉDICOS Y TALENTO HUMANO</w:t>
      </w:r>
    </w:p>
    <w:p w:rsidR="00000000" w:rsidDel="00000000" w:rsidP="00000000" w:rsidRDefault="00000000" w:rsidRPr="00000000" w14:paraId="00000060">
      <w:pPr>
        <w:jc w:val="both"/>
        <w:rPr>
          <w:rFonts w:ascii="Century Gothic" w:cs="Century Gothic" w:eastAsia="Century Gothic" w:hAnsi="Century Gothic"/>
          <w:b w:val="1"/>
          <w:bCs w:val="1"/>
          <w:u w:val="single"/>
        </w:rPr>
      </w:pPr>
      <w:r w:rsidDel="00000000" w:rsidR="00000000" w:rsidRPr="00000000">
        <w:rPr>
          <w:rtl w:val="0"/>
        </w:rPr>
      </w:r>
    </w:p>
    <w:p w:rsidR="00000000" w:rsidDel="00000000" w:rsidP="00000000" w:rsidRDefault="00000000" w:rsidRPr="00000000" w14:paraId="00000061">
      <w:pPr>
        <w:jc w:val="both"/>
        <w:rPr>
          <w:rFonts w:ascii="Century Gothic" w:cs="Century Gothic" w:eastAsia="Century Gothic" w:hAnsi="Century Gothic"/>
          <w:b w:val="1"/>
          <w:bCs w:val="1"/>
          <w:u w:val="single"/>
        </w:rPr>
      </w:pPr>
      <w:r w:rsidDel="00000000" w:rsidR="00000000" w:rsidRPr="00000000">
        <w:rPr>
          <w:rFonts w:ascii="Century Gothic" w:cs="Century Gothic" w:eastAsia="Century Gothic" w:hAnsi="Century Gothic"/>
          <w:b w:val="1"/>
          <w:bCs w:val="1"/>
          <w:u w:val="single"/>
          <w:rtl w:val="0"/>
        </w:rPr>
        <w:t xml:space="preserve">PREVENIR INFECCIONES ASOCIADAS CON LA ATENCIÓN DE LA SALUD.</w:t>
      </w:r>
    </w:p>
    <w:p w:rsidR="00000000" w:rsidDel="00000000" w:rsidP="00000000" w:rsidRDefault="00000000" w:rsidRPr="00000000" w14:paraId="00000062">
      <w:pPr>
        <w:jc w:val="both"/>
        <w:rPr>
          <w:rFonts w:ascii="Century Gothic" w:cs="Century Gothic" w:eastAsia="Century Gothic" w:hAnsi="Century Gothic"/>
          <w:color w:val="0d0d0d"/>
        </w:rPr>
      </w:pPr>
      <w:r w:rsidDel="00000000" w:rsidR="00000000" w:rsidRPr="00000000">
        <w:rPr>
          <w:rFonts w:ascii="Century Gothic" w:cs="Century Gothic" w:eastAsia="Century Gothic" w:hAnsi="Century Gothic"/>
          <w:b w:val="1"/>
          <w:bCs w:val="1"/>
          <w:rtl w:val="0"/>
        </w:rPr>
        <w:t xml:space="preserve">LAVADO DE MANOS: </w:t>
      </w:r>
      <w:r w:rsidDel="00000000" w:rsidR="00000000" w:rsidRPr="00000000">
        <w:rPr>
          <w:rFonts w:ascii="Century Gothic" w:cs="Century Gothic" w:eastAsia="Century Gothic" w:hAnsi="Century Gothic"/>
          <w:color w:val="0d0d0d"/>
          <w:highlight w:val="white"/>
          <w:rtl w:val="0"/>
        </w:rPr>
        <w:t xml:space="preserve">Lavarse las manos con frecuencia y correctamente es una de las medidas más efectivas para prevenir la propagación de IIAS, es importante </w:t>
      </w:r>
      <w:r w:rsidDel="00000000" w:rsidR="00000000" w:rsidRPr="00000000">
        <w:rPr>
          <w:rFonts w:ascii="Century Gothic" w:cs="Century Gothic" w:eastAsia="Century Gothic" w:hAnsi="Century Gothic"/>
          <w:rtl w:val="0"/>
        </w:rPr>
        <w:t xml:space="preserve">aplicar los cinco momentos del lavado de manos y los pasos para el correcto lavado de estas.</w:t>
      </w:r>
      <w:r w:rsidDel="00000000" w:rsidR="00000000" w:rsidRPr="00000000">
        <w:rPr>
          <w:rtl w:val="0"/>
        </w:rPr>
      </w:r>
    </w:p>
    <w:p w:rsidR="00000000" w:rsidDel="00000000" w:rsidP="00000000" w:rsidRDefault="00000000" w:rsidRPr="00000000" w14:paraId="00000063">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Pr>
        <w:drawing>
          <wp:inline distB="114300" distT="114300" distL="114300" distR="114300">
            <wp:extent cx="3052763" cy="3772342"/>
            <wp:effectExtent b="0" l="0" r="0" t="0"/>
            <wp:docPr id="12" name="image2.png"/>
            <a:graphic>
              <a:graphicData uri="http://schemas.openxmlformats.org/drawingml/2006/picture">
                <pic:pic>
                  <pic:nvPicPr>
                    <pic:cNvPr id="0" name="image2.png"/>
                    <pic:cNvPicPr preferRelativeResize="0"/>
                  </pic:nvPicPr>
                  <pic:blipFill>
                    <a:blip r:embed="rId7"/>
                    <a:srcRect b="9382" l="0" r="0" t="0"/>
                    <a:stretch>
                      <a:fillRect/>
                    </a:stretch>
                  </pic:blipFill>
                  <pic:spPr>
                    <a:xfrm>
                      <a:off x="0" y="0"/>
                      <a:ext cx="3052763" cy="3772342"/>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jc w:val="both"/>
        <w:rPr>
          <w:rFonts w:ascii="Century Gothic" w:cs="Century Gothic" w:eastAsia="Century Gothic" w:hAnsi="Century Gothic"/>
          <w:b w:val="1"/>
          <w:bCs w:val="1"/>
          <w:u w:val="single"/>
        </w:rPr>
      </w:pPr>
      <w:r w:rsidDel="00000000" w:rsidR="00000000" w:rsidRPr="00000000">
        <w:rPr>
          <w:rFonts w:ascii="Century Gothic" w:cs="Century Gothic" w:eastAsia="Century Gothic" w:hAnsi="Century Gothic"/>
          <w:b w:val="1"/>
          <w:bCs w:val="1"/>
          <w:u w:val="single"/>
          <w:rtl w:val="0"/>
        </w:rPr>
        <w:t xml:space="preserve">REDUCCIÓN DE INFECCIONES ASOCIADAS CON LA ATENCIÓN DE LA SALUD.</w:t>
      </w:r>
    </w:p>
    <w:p w:rsidR="00000000" w:rsidDel="00000000" w:rsidP="00000000" w:rsidRDefault="00000000" w:rsidRPr="00000000" w14:paraId="00000065">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Como parte de la prevención de infecciones asociadas con la atención en salud, en la IPS se aplican las siguientes acciones: </w:t>
      </w:r>
    </w:p>
    <w:p w:rsidR="00000000" w:rsidDel="00000000" w:rsidP="00000000" w:rsidRDefault="00000000" w:rsidRPr="00000000" w14:paraId="00000066">
      <w:pPr>
        <w:numPr>
          <w:ilvl w:val="0"/>
          <w:numId w:val="17"/>
        </w:numPr>
        <w:spacing w:after="0" w:lineRule="auto"/>
        <w:ind w:left="720" w:hanging="360"/>
        <w:jc w:val="both"/>
        <w:rPr>
          <w:rFonts w:ascii="Arial" w:cs="Arial" w:eastAsia="Arial" w:hAnsi="Arial"/>
        </w:rPr>
      </w:pPr>
      <w:r w:rsidDel="00000000" w:rsidR="00000000" w:rsidRPr="00000000">
        <w:rPr>
          <w:rFonts w:ascii="Century Gothic" w:cs="Century Gothic" w:eastAsia="Century Gothic" w:hAnsi="Century Gothic"/>
          <w:b w:val="1"/>
          <w:bCs w:val="1"/>
          <w:rtl w:val="0"/>
        </w:rPr>
        <w:t xml:space="preserve">EDUCACIÓN AL PERSONAL:</w:t>
      </w:r>
      <w:r w:rsidDel="00000000" w:rsidR="00000000" w:rsidRPr="00000000">
        <w:rPr>
          <w:rFonts w:ascii="Century Gothic" w:cs="Century Gothic" w:eastAsia="Century Gothic" w:hAnsi="Century Gothic"/>
          <w:rtl w:val="0"/>
        </w:rPr>
        <w:t xml:space="preserve"> Capacitaciones encaminadas a la higiene de manos y en el protocolo de prevención de infecciones. </w:t>
      </w:r>
    </w:p>
    <w:p w:rsidR="00000000" w:rsidDel="00000000" w:rsidP="00000000" w:rsidRDefault="00000000" w:rsidRPr="00000000" w14:paraId="00000067">
      <w:pPr>
        <w:numPr>
          <w:ilvl w:val="0"/>
          <w:numId w:val="17"/>
        </w:numPr>
        <w:spacing w:after="0" w:lineRule="auto"/>
        <w:ind w:left="720" w:hanging="360"/>
        <w:jc w:val="both"/>
        <w:rPr>
          <w:rFonts w:ascii="Arial" w:cs="Arial" w:eastAsia="Arial" w:hAnsi="Arial"/>
          <w:b w:val="1"/>
          <w:bCs w:val="1"/>
        </w:rPr>
      </w:pPr>
      <w:r w:rsidDel="00000000" w:rsidR="00000000" w:rsidRPr="00000000">
        <w:rPr>
          <w:rFonts w:ascii="Century Gothic" w:cs="Century Gothic" w:eastAsia="Century Gothic" w:hAnsi="Century Gothic"/>
          <w:b w:val="1"/>
          <w:bCs w:val="1"/>
          <w:rtl w:val="0"/>
        </w:rPr>
        <w:t xml:space="preserve">MEDICIÓN DE INDICADORES: </w:t>
      </w:r>
      <w:r w:rsidDel="00000000" w:rsidR="00000000" w:rsidRPr="00000000">
        <w:rPr>
          <w:rFonts w:ascii="Century Gothic" w:cs="Century Gothic" w:eastAsia="Century Gothic" w:hAnsi="Century Gothic"/>
          <w:color w:val="0d0d0d"/>
          <w:highlight w:val="white"/>
          <w:rtl w:val="0"/>
        </w:rPr>
        <w:t xml:space="preserve">Tasa de cumplimiento de higiene de manos, Tasa de uso adecuado de equipo de protección personal (EPP), Tasa de limpieza y desinfección de superficies, Tasa de notificación de enfermedades infecciosas. </w:t>
      </w:r>
      <w:r w:rsidDel="00000000" w:rsidR="00000000" w:rsidRPr="00000000">
        <w:rPr>
          <w:rtl w:val="0"/>
        </w:rPr>
      </w:r>
    </w:p>
    <w:p w:rsidR="00000000" w:rsidDel="00000000" w:rsidP="00000000" w:rsidRDefault="00000000" w:rsidRPr="00000000" w14:paraId="00000068">
      <w:pPr>
        <w:numPr>
          <w:ilvl w:val="0"/>
          <w:numId w:val="17"/>
        </w:numPr>
        <w:ind w:left="720" w:hanging="360"/>
        <w:jc w:val="both"/>
        <w:rPr>
          <w:rFonts w:ascii="Arial" w:cs="Arial" w:eastAsia="Arial" w:hAnsi="Arial"/>
          <w:b w:val="1"/>
          <w:bCs w:val="1"/>
        </w:rPr>
      </w:pPr>
      <w:r w:rsidDel="00000000" w:rsidR="00000000" w:rsidRPr="00000000">
        <w:rPr>
          <w:rFonts w:ascii="Century Gothic" w:cs="Century Gothic" w:eastAsia="Century Gothic" w:hAnsi="Century Gothic"/>
          <w:b w:val="1"/>
          <w:bCs w:val="1"/>
          <w:rtl w:val="0"/>
        </w:rPr>
        <w:t xml:space="preserve">AUDITORÍAS DE LAVADO DE MANOS: </w:t>
      </w:r>
      <w:r w:rsidDel="00000000" w:rsidR="00000000" w:rsidRPr="00000000">
        <w:rPr>
          <w:rFonts w:ascii="Century Gothic" w:cs="Century Gothic" w:eastAsia="Century Gothic" w:hAnsi="Century Gothic"/>
          <w:rtl w:val="0"/>
        </w:rPr>
        <w:t xml:space="preserve">De manera semestral se debe hacer auditoria de lavado de manos a todo el personal de la IPS, aplicando listas de chequeo.</w:t>
      </w:r>
      <w:r w:rsidDel="00000000" w:rsidR="00000000" w:rsidRPr="00000000">
        <w:rPr>
          <w:rFonts w:ascii="Century Gothic" w:cs="Century Gothic" w:eastAsia="Century Gothic" w:hAnsi="Century Gothic"/>
          <w:b w:val="1"/>
          <w:bCs w:val="1"/>
          <w:rtl w:val="0"/>
        </w:rPr>
        <w:t xml:space="preserve"> </w:t>
      </w:r>
    </w:p>
    <w:p w:rsidR="00000000" w:rsidDel="00000000" w:rsidP="00000000" w:rsidRDefault="00000000" w:rsidRPr="00000000" w14:paraId="00000069">
      <w:pPr>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CLASIFICACIÓN DE LAS INFECCIONES ASOCIADA A LA ATENCIÓN EN SALUD</w:t>
      </w:r>
      <w:r w:rsidDel="00000000" w:rsidR="00000000" w:rsidRPr="00000000">
        <w:rPr>
          <w:rtl w:val="0"/>
        </w:rPr>
      </w:r>
    </w:p>
    <w:p w:rsidR="00000000" w:rsidDel="00000000" w:rsidP="00000000" w:rsidRDefault="00000000" w:rsidRPr="00000000" w14:paraId="0000006A">
      <w:pPr>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rtl w:val="0"/>
        </w:rPr>
        <w:t xml:space="preserve">Una IAAS se considera en las siguientes situaciones:  </w:t>
      </w:r>
      <w:r w:rsidDel="00000000" w:rsidR="00000000" w:rsidRPr="00000000">
        <w:rPr>
          <w:rtl w:val="0"/>
        </w:rPr>
      </w:r>
    </w:p>
    <w:p w:rsidR="00000000" w:rsidDel="00000000" w:rsidP="00000000" w:rsidRDefault="00000000" w:rsidRPr="00000000" w14:paraId="0000006B">
      <w:pPr>
        <w:widowControl w:val="0"/>
        <w:numPr>
          <w:ilvl w:val="0"/>
          <w:numId w:val="15"/>
        </w:numPr>
        <w:spacing w:after="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Paciente que ingresó sano, adquirió la infección y la desarrolló en ENDOCRINOLOGY &amp; HEALTH S.A.S </w:t>
      </w:r>
    </w:p>
    <w:p w:rsidR="00000000" w:rsidDel="00000000" w:rsidP="00000000" w:rsidRDefault="00000000" w:rsidRPr="00000000" w14:paraId="0000006C">
      <w:pPr>
        <w:widowControl w:val="0"/>
        <w:numPr>
          <w:ilvl w:val="0"/>
          <w:numId w:val="15"/>
        </w:numPr>
        <w:spacing w:after="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Paciente que ingresó con una infección, pero adquirió otra en ENDOCRINOLOGY &amp; HEALTH S.A.S  </w:t>
      </w:r>
    </w:p>
    <w:p w:rsidR="00000000" w:rsidDel="00000000" w:rsidP="00000000" w:rsidRDefault="00000000" w:rsidRPr="00000000" w14:paraId="0000006D">
      <w:pPr>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E">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una IAAS NO se considera en las siguientes situaciones:</w:t>
      </w:r>
    </w:p>
    <w:p w:rsidR="00000000" w:rsidDel="00000000" w:rsidP="00000000" w:rsidRDefault="00000000" w:rsidRPr="00000000" w14:paraId="0000006F">
      <w:pPr>
        <w:numPr>
          <w:ilvl w:val="0"/>
          <w:numId w:val="5"/>
        </w:numPr>
        <w:pBdr>
          <w:top w:space="0" w:sz="0" w:val="nil"/>
          <w:left w:space="0" w:sz="0" w:val="nil"/>
          <w:bottom w:space="0" w:sz="0" w:val="nil"/>
          <w:right w:space="0" w:sz="0" w:val="nil"/>
          <w:between w:space="0" w:sz="0" w:val="nil"/>
        </w:pBdr>
        <w:spacing w:after="0" w:lineRule="auto"/>
        <w:ind w:left="709" w:hanging="360"/>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Una infección asociada con una complicación o con una extensión de una infección que ya se encontraba presente en el momento del registro del Paciente, a menos que un cambio en el patógeno o en los síntomas sugieran la adquisición de una nueva infección.</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0" w:lineRule="auto"/>
        <w:jc w:val="both"/>
        <w:rPr>
          <w:rFonts w:ascii="Century Gothic" w:cs="Century Gothic" w:eastAsia="Century Gothic" w:hAnsi="Century Gothic"/>
          <w:b w:val="1"/>
          <w:bCs w:val="1"/>
          <w:color w:val="000000"/>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lineRule="auto"/>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INFECCIONES POTENCIALES ASOCIADAS A LA ATENCIÓN EN SALUD DE LA</w:t>
      </w:r>
      <w:r w:rsidDel="00000000" w:rsidR="00000000" w:rsidRPr="00000000">
        <w:rPr>
          <w:rFonts w:ascii="Century Gothic" w:cs="Century Gothic" w:eastAsia="Century Gothic" w:hAnsi="Century Gothic"/>
          <w:b w:val="1"/>
          <w:bCs w:val="1"/>
          <w:rtl w:val="0"/>
        </w:rPr>
        <w:t xml:space="preserve"> IPS ENDOCRINOLOGY &amp; HEALTH S.A.S</w:t>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lineRule="auto"/>
        <w:jc w:val="both"/>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0" w:lineRule="auto"/>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En este sentido l</w:t>
      </w:r>
      <w:r w:rsidDel="00000000" w:rsidR="00000000" w:rsidRPr="00000000">
        <w:rPr>
          <w:rFonts w:ascii="Century Gothic" w:cs="Century Gothic" w:eastAsia="Century Gothic" w:hAnsi="Century Gothic"/>
          <w:rtl w:val="0"/>
        </w:rPr>
        <w:t xml:space="preserve">as posibles infecciones potenciales asociadas a las</w:t>
      </w:r>
      <w:r w:rsidDel="00000000" w:rsidR="00000000" w:rsidRPr="00000000">
        <w:rPr>
          <w:rFonts w:ascii="Century Gothic" w:cs="Century Gothic" w:eastAsia="Century Gothic" w:hAnsi="Century Gothic"/>
          <w:color w:val="000000"/>
          <w:rtl w:val="0"/>
        </w:rPr>
        <w:t xml:space="preserve"> IAAS que podrían ser </w:t>
      </w:r>
      <w:r w:rsidDel="00000000" w:rsidR="00000000" w:rsidRPr="00000000">
        <w:rPr>
          <w:rFonts w:ascii="Century Gothic" w:cs="Century Gothic" w:eastAsia="Century Gothic" w:hAnsi="Century Gothic"/>
          <w:rtl w:val="0"/>
        </w:rPr>
        <w:t xml:space="preserve">asociadas a los servicios que se prestan dentro de ENDOCRINOLOGY &amp; HEALTH S.A.S, son las siguientes:  </w:t>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lineRule="auto"/>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 </w:t>
      </w:r>
    </w:p>
    <w:p w:rsidR="00000000" w:rsidDel="00000000" w:rsidP="00000000" w:rsidRDefault="00000000" w:rsidRPr="00000000" w14:paraId="00000076">
      <w:pPr>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    1</w:t>
      </w:r>
      <w:r w:rsidDel="00000000" w:rsidR="00000000" w:rsidRPr="00000000">
        <w:rPr>
          <w:rFonts w:ascii="Century Gothic" w:cs="Century Gothic" w:eastAsia="Century Gothic" w:hAnsi="Century Gothic"/>
          <w:b w:val="1"/>
          <w:bCs w:val="1"/>
          <w:color w:val="000000"/>
          <w:rtl w:val="0"/>
        </w:rPr>
        <w:t xml:space="preserve">. Infecciones de Tejidos Blandos y de la Piel. </w:t>
      </w:r>
      <w:r w:rsidDel="00000000" w:rsidR="00000000" w:rsidRPr="00000000">
        <w:rPr>
          <w:rtl w:val="0"/>
        </w:rPr>
      </w:r>
    </w:p>
    <w:p w:rsidR="00000000" w:rsidDel="00000000" w:rsidP="00000000" w:rsidRDefault="00000000" w:rsidRPr="00000000" w14:paraId="00000077">
      <w:pPr>
        <w:numPr>
          <w:ilvl w:val="0"/>
          <w:numId w:val="4"/>
        </w:numPr>
        <w:ind w:left="720" w:hanging="360"/>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Piel (incluye virales como varicela, sarampión y rubéola)</w:t>
      </w:r>
    </w:p>
    <w:p w:rsidR="00000000" w:rsidDel="00000000" w:rsidP="00000000" w:rsidRDefault="00000000" w:rsidRPr="00000000" w14:paraId="00000078">
      <w:pPr>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color w:val="000000"/>
          <w:rtl w:val="0"/>
        </w:rPr>
        <w:t xml:space="preserve">Definición:</w:t>
      </w:r>
      <w:r w:rsidDel="00000000" w:rsidR="00000000" w:rsidRPr="00000000">
        <w:rPr>
          <w:rFonts w:ascii="Century Gothic" w:cs="Century Gothic" w:eastAsia="Century Gothic" w:hAnsi="Century Gothic"/>
          <w:color w:val="000000"/>
          <w:rtl w:val="0"/>
        </w:rPr>
        <w:t xml:space="preserve"> las infecciones de la piel deben reunir por lo menos uno de los siguientes criterios:</w:t>
      </w:r>
      <w:r w:rsidDel="00000000" w:rsidR="00000000" w:rsidRPr="00000000">
        <w:rPr>
          <w:rtl w:val="0"/>
        </w:rPr>
      </w:r>
    </w:p>
    <w:p w:rsidR="00000000" w:rsidDel="00000000" w:rsidP="00000000" w:rsidRDefault="00000000" w:rsidRPr="00000000" w14:paraId="00000079">
      <w:pPr>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color w:val="000000"/>
          <w:rtl w:val="0"/>
        </w:rPr>
        <w:t xml:space="preserve">Criterio 1</w:t>
      </w:r>
      <w:r w:rsidDel="00000000" w:rsidR="00000000" w:rsidRPr="00000000">
        <w:rPr>
          <w:rFonts w:ascii="Century Gothic" w:cs="Century Gothic" w:eastAsia="Century Gothic" w:hAnsi="Century Gothic"/>
          <w:color w:val="000000"/>
          <w:rtl w:val="0"/>
        </w:rPr>
        <w:t xml:space="preserve">: El paciente tiene drenaje purulento, pústulas, vesículas o furúnculos.</w:t>
      </w:r>
      <w:r w:rsidDel="00000000" w:rsidR="00000000" w:rsidRPr="00000000">
        <w:rPr>
          <w:rtl w:val="0"/>
        </w:rPr>
      </w:r>
    </w:p>
    <w:p w:rsidR="00000000" w:rsidDel="00000000" w:rsidP="00000000" w:rsidRDefault="00000000" w:rsidRPr="00000000" w14:paraId="0000007A">
      <w:pPr>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color w:val="000000"/>
          <w:rtl w:val="0"/>
        </w:rPr>
        <w:t xml:space="preserve">Criterio 2:</w:t>
      </w:r>
      <w:r w:rsidDel="00000000" w:rsidR="00000000" w:rsidRPr="00000000">
        <w:rPr>
          <w:rFonts w:ascii="Century Gothic" w:cs="Century Gothic" w:eastAsia="Century Gothic" w:hAnsi="Century Gothic"/>
          <w:color w:val="000000"/>
          <w:rtl w:val="0"/>
        </w:rPr>
        <w:t xml:space="preserve"> El paciente tiene por lo menos dos de los siguientes síntomas o signos sin otra causa reconocida: dolor o sensibilidad anormal, tumefacción localizada, enrojecimiento o calor</w:t>
      </w: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7B">
      <w:pPr>
        <w:spacing w:after="240" w:befor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Medidas preventivas implementadas en la IPS ENDOCRINOLOGY &amp; HEALTH S.A.S:</w:t>
      </w:r>
    </w:p>
    <w:p w:rsidR="00000000" w:rsidDel="00000000" w:rsidP="00000000" w:rsidRDefault="00000000" w:rsidRPr="00000000" w14:paraId="0000007C">
      <w:pPr>
        <w:numPr>
          <w:ilvl w:val="0"/>
          <w:numId w:val="13"/>
        </w:numPr>
        <w:spacing w:after="0" w:befor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Lavado de manos obligatorio antes y después de cada procedimiento.</w:t>
      </w:r>
    </w:p>
    <w:p w:rsidR="00000000" w:rsidDel="00000000" w:rsidP="00000000" w:rsidRDefault="00000000" w:rsidRPr="00000000" w14:paraId="0000007D">
      <w:pPr>
        <w:numPr>
          <w:ilvl w:val="0"/>
          <w:numId w:val="13"/>
        </w:numPr>
        <w:spacing w:after="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Uso de guantes estériles y material de un solo uso cuando se requiera.</w:t>
      </w:r>
    </w:p>
    <w:p w:rsidR="00000000" w:rsidDel="00000000" w:rsidP="00000000" w:rsidRDefault="00000000" w:rsidRPr="00000000" w14:paraId="0000007E">
      <w:pPr>
        <w:spacing w:after="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7F">
      <w:pPr>
        <w:spacing w:after="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DEFINICIÓN DE LOS EVENTOS DE VIGILANCIA</w:t>
      </w: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80">
      <w:pPr>
        <w:spacing w:after="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81">
      <w:pPr>
        <w:spacing w:after="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Es de gran importancia que los eventos por vigilar tengan una definición precisa que facilite el proceso de recolección de datos, estas definiciones debe aplicarlas de manera constante el personal encargado de la vigilancia en toda la población en riesgo de la IPS.</w:t>
      </w:r>
    </w:p>
    <w:p w:rsidR="00000000" w:rsidDel="00000000" w:rsidP="00000000" w:rsidRDefault="00000000" w:rsidRPr="00000000" w14:paraId="00000082">
      <w:pPr>
        <w:spacing w:after="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83">
      <w:pPr>
        <w:spacing w:after="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bCs w:val="1"/>
          <w:rtl w:val="0"/>
        </w:rPr>
        <w:t xml:space="preserve">LOS ELEMENTOS DE IDENTIFICACIÓN ESENCIALES SON:</w:t>
      </w: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84">
      <w:pPr>
        <w:spacing w:after="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85">
      <w:pPr>
        <w:numPr>
          <w:ilvl w:val="0"/>
          <w:numId w:val="3"/>
        </w:numPr>
        <w:spacing w:after="0" w:lineRule="auto"/>
        <w:ind w:left="720" w:firstLine="72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rtl w:val="0"/>
        </w:rPr>
        <w:t xml:space="preserve">Nombre de la persona </w:t>
      </w:r>
    </w:p>
    <w:p w:rsidR="00000000" w:rsidDel="00000000" w:rsidP="00000000" w:rsidRDefault="00000000" w:rsidRPr="00000000" w14:paraId="00000086">
      <w:pPr>
        <w:numPr>
          <w:ilvl w:val="0"/>
          <w:numId w:val="3"/>
        </w:numPr>
        <w:spacing w:after="0" w:lineRule="auto"/>
        <w:ind w:left="720" w:firstLine="72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rtl w:val="0"/>
        </w:rPr>
        <w:t xml:space="preserve">Edad </w:t>
      </w:r>
    </w:p>
    <w:p w:rsidR="00000000" w:rsidDel="00000000" w:rsidP="00000000" w:rsidRDefault="00000000" w:rsidRPr="00000000" w14:paraId="00000087">
      <w:pPr>
        <w:numPr>
          <w:ilvl w:val="0"/>
          <w:numId w:val="3"/>
        </w:numPr>
        <w:spacing w:after="0" w:lineRule="auto"/>
        <w:ind w:left="720" w:firstLine="72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rtl w:val="0"/>
        </w:rPr>
        <w:t xml:space="preserve">Sexo </w:t>
      </w:r>
    </w:p>
    <w:p w:rsidR="00000000" w:rsidDel="00000000" w:rsidP="00000000" w:rsidRDefault="00000000" w:rsidRPr="00000000" w14:paraId="00000088">
      <w:pPr>
        <w:numPr>
          <w:ilvl w:val="0"/>
          <w:numId w:val="3"/>
        </w:numPr>
        <w:spacing w:after="0" w:lineRule="auto"/>
        <w:ind w:left="720" w:firstLine="72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rtl w:val="0"/>
        </w:rPr>
        <w:t xml:space="preserve">Servicio  </w:t>
      </w:r>
    </w:p>
    <w:p w:rsidR="00000000" w:rsidDel="00000000" w:rsidP="00000000" w:rsidRDefault="00000000" w:rsidRPr="00000000" w14:paraId="00000089">
      <w:pPr>
        <w:numPr>
          <w:ilvl w:val="0"/>
          <w:numId w:val="1"/>
        </w:numPr>
        <w:spacing w:after="0" w:lineRule="auto"/>
        <w:ind w:left="720" w:firstLine="72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rtl w:val="0"/>
        </w:rPr>
        <w:t xml:space="preserve">Fecha de ingreso </w:t>
      </w:r>
    </w:p>
    <w:p w:rsidR="00000000" w:rsidDel="00000000" w:rsidP="00000000" w:rsidRDefault="00000000" w:rsidRPr="00000000" w14:paraId="0000008A">
      <w:pPr>
        <w:numPr>
          <w:ilvl w:val="0"/>
          <w:numId w:val="1"/>
        </w:numPr>
        <w:spacing w:after="0" w:lineRule="auto"/>
        <w:ind w:left="720" w:firstLine="72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rtl w:val="0"/>
        </w:rPr>
        <w:t xml:space="preserve">Fecha de inicio de la infección </w:t>
      </w:r>
    </w:p>
    <w:p w:rsidR="00000000" w:rsidDel="00000000" w:rsidP="00000000" w:rsidRDefault="00000000" w:rsidRPr="00000000" w14:paraId="0000008B">
      <w:pPr>
        <w:numPr>
          <w:ilvl w:val="0"/>
          <w:numId w:val="1"/>
        </w:numPr>
        <w:spacing w:after="0" w:lineRule="auto"/>
        <w:ind w:left="720" w:firstLine="72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rtl w:val="0"/>
        </w:rPr>
        <w:t xml:space="preserve">Sitio y tipo de infección </w:t>
      </w:r>
    </w:p>
    <w:p w:rsidR="00000000" w:rsidDel="00000000" w:rsidP="00000000" w:rsidRDefault="00000000" w:rsidRPr="00000000" w14:paraId="0000008C">
      <w:pPr>
        <w:spacing w:after="0" w:lineRule="auto"/>
        <w:ind w:left="720"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D">
      <w:pPr>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8E">
      <w:pPr>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Para el reporte de un evento adverso de IAAS se diligencia el formato utilizado en la IPS. </w:t>
      </w:r>
    </w:p>
    <w:p w:rsidR="00000000" w:rsidDel="00000000" w:rsidP="00000000" w:rsidRDefault="00000000" w:rsidRPr="00000000" w14:paraId="0000008F">
      <w:pPr>
        <w:numPr>
          <w:ilvl w:val="0"/>
          <w:numId w:val="11"/>
        </w:numPr>
        <w:spacing w:after="0" w:lineRule="auto"/>
        <w:ind w:left="720" w:hanging="360"/>
        <w:jc w:val="both"/>
        <w:rPr>
          <w:rFonts w:ascii="Century Gothic" w:cs="Century Gothic" w:eastAsia="Century Gothic" w:hAnsi="Century Gothic"/>
          <w:b w:val="1"/>
          <w:bCs w:val="1"/>
        </w:rPr>
      </w:pPr>
      <w:hyperlink r:id="rId8">
        <w:r w:rsidDel="00000000" w:rsidR="00000000" w:rsidRPr="00000000">
          <w:rPr>
            <w:rFonts w:ascii="Century Gothic" w:cs="Century Gothic" w:eastAsia="Century Gothic" w:hAnsi="Century Gothic"/>
            <w:color w:val="0000ee"/>
            <w:u w:val="single"/>
            <w:rtl w:val="0"/>
          </w:rPr>
          <w:t xml:space="preserve">EVENTOS ADVERSOS (5).png</w:t>
        </w:r>
      </w:hyperlink>
      <w:r w:rsidDel="00000000" w:rsidR="00000000" w:rsidRPr="00000000">
        <w:rPr>
          <w:rtl w:val="0"/>
        </w:rPr>
      </w:r>
    </w:p>
    <w:p w:rsidR="00000000" w:rsidDel="00000000" w:rsidP="00000000" w:rsidRDefault="00000000" w:rsidRPr="00000000" w14:paraId="00000090">
      <w:pPr>
        <w:numPr>
          <w:ilvl w:val="0"/>
          <w:numId w:val="11"/>
        </w:numPr>
        <w:ind w:left="720" w:hanging="360"/>
        <w:jc w:val="both"/>
        <w:rPr>
          <w:rFonts w:ascii="Century Gothic" w:cs="Century Gothic" w:eastAsia="Century Gothic" w:hAnsi="Century Gothic"/>
        </w:rPr>
      </w:pPr>
      <w:hyperlink r:id="rId9">
        <w:r w:rsidDel="00000000" w:rsidR="00000000" w:rsidRPr="00000000">
          <w:rPr>
            <w:rFonts w:ascii="Century Gothic" w:cs="Century Gothic" w:eastAsia="Century Gothic" w:hAnsi="Century Gothic"/>
            <w:color w:val="0000ee"/>
            <w:u w:val="single"/>
            <w:rtl w:val="0"/>
          </w:rPr>
          <w:t xml:space="preserve">PP-FR-003 FORMATO FISICO REPORTE DE EVENTO ADVERSO.docx</w:t>
        </w:r>
      </w:hyperlink>
      <w:r w:rsidDel="00000000" w:rsidR="00000000" w:rsidRPr="00000000">
        <w:rPr>
          <w:rtl w:val="0"/>
        </w:rPr>
      </w:r>
    </w:p>
    <w:p w:rsidR="00000000" w:rsidDel="00000000" w:rsidP="00000000" w:rsidRDefault="00000000" w:rsidRPr="00000000" w14:paraId="00000091">
      <w:pPr>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Fuentes de Información:</w:t>
      </w:r>
      <w:r w:rsidDel="00000000" w:rsidR="00000000" w:rsidRPr="00000000">
        <w:rPr>
          <w:rtl w:val="0"/>
        </w:rPr>
      </w:r>
    </w:p>
    <w:p w:rsidR="00000000" w:rsidDel="00000000" w:rsidP="00000000" w:rsidRDefault="00000000" w:rsidRPr="00000000" w14:paraId="00000092">
      <w:pPr>
        <w:numPr>
          <w:ilvl w:val="0"/>
          <w:numId w:val="10"/>
        </w:numPr>
        <w:pBdr>
          <w:top w:space="0" w:sz="0" w:val="nil"/>
          <w:left w:space="0" w:sz="0" w:val="nil"/>
          <w:bottom w:space="0" w:sz="0" w:val="nil"/>
          <w:right w:space="0" w:sz="0" w:val="nil"/>
          <w:between w:space="0" w:sz="0" w:val="nil"/>
        </w:pBdr>
        <w:spacing w:after="0" w:lineRule="auto"/>
        <w:ind w:left="36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El personal asistencial de apoyo identifica aquellos usuarios con riesgo más alto de adquirir infección asociada a la atención en salud permitiendo la oportuna intervención de los factores de riesgo.</w:t>
      </w:r>
    </w:p>
    <w:p w:rsidR="00000000" w:rsidDel="00000000" w:rsidP="00000000" w:rsidRDefault="00000000" w:rsidRPr="00000000" w14:paraId="00000093">
      <w:pPr>
        <w:keepNext w:val="1"/>
        <w:keepLines w:val="1"/>
        <w:pBdr>
          <w:top w:space="0" w:sz="0" w:val="nil"/>
          <w:left w:space="0" w:sz="0" w:val="nil"/>
          <w:bottom w:space="0" w:sz="0" w:val="nil"/>
          <w:right w:space="0" w:sz="0" w:val="nil"/>
          <w:between w:space="0" w:sz="0" w:val="nil"/>
        </w:pBdr>
        <w:spacing w:after="80" w:before="360" w:lineRule="auto"/>
        <w:jc w:val="both"/>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INDICADORES DE LAS IAAS</w:t>
      </w:r>
    </w:p>
    <w:p w:rsidR="00000000" w:rsidDel="00000000" w:rsidP="00000000" w:rsidRDefault="00000000" w:rsidRPr="00000000" w14:paraId="00000094">
      <w:pPr>
        <w:pBdr>
          <w:top w:space="0" w:sz="0" w:val="nil"/>
          <w:left w:space="0" w:sz="0" w:val="nil"/>
          <w:bottom w:space="0" w:sz="0" w:val="nil"/>
          <w:right w:space="0" w:sz="0" w:val="nil"/>
          <w:between w:space="0" w:sz="0" w:val="nil"/>
        </w:pBdr>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Indicador de frecuencia:</w:t>
      </w:r>
    </w:p>
    <w:p w:rsidR="00000000" w:rsidDel="00000000" w:rsidP="00000000" w:rsidRDefault="00000000" w:rsidRPr="00000000" w14:paraId="00000095">
      <w:pPr>
        <w:numPr>
          <w:ilvl w:val="0"/>
          <w:numId w:val="16"/>
        </w:numPr>
        <w:spacing w:after="0" w:lineRule="auto"/>
        <w:ind w:left="36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Incidencia   </w:t>
      </w:r>
    </w:p>
    <w:p w:rsidR="00000000" w:rsidDel="00000000" w:rsidP="00000000" w:rsidRDefault="00000000" w:rsidRPr="00000000" w14:paraId="00000096">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 incidencia se calcula como el número de episodios de infección nuevos –o sujetos afectados por este problema-detectados en un cierto periodo de calendario (por ejemplo un mes), dividido entre el número de pacientes atendidos en ese mismo periodo X 100 que es el factor</w:t>
      </w:r>
    </w:p>
    <w:tbl>
      <w:tblPr>
        <w:tblStyle w:val="Table1"/>
        <w:tblW w:w="9400.0" w:type="dxa"/>
        <w:jc w:val="left"/>
        <w:tblLayout w:type="fixed"/>
        <w:tblLook w:val="0400"/>
      </w:tblPr>
      <w:tblGrid>
        <w:gridCol w:w="2777"/>
        <w:gridCol w:w="6373"/>
        <w:gridCol w:w="250"/>
        <w:tblGridChange w:id="0">
          <w:tblGrid>
            <w:gridCol w:w="2777"/>
            <w:gridCol w:w="6373"/>
            <w:gridCol w:w="250"/>
          </w:tblGrid>
        </w:tblGridChange>
      </w:tblGrid>
      <w:tr>
        <w:trPr>
          <w:cantSplit w:val="0"/>
          <w:trHeight w:val="705" w:hRule="atLeast"/>
          <w:tblHeader w:val="0"/>
        </w:trPr>
        <w:tc>
          <w:tcPr>
            <w:vMerge w:val="restart"/>
            <w:shd w:fill="auto" w:val="clear"/>
            <w:vAlign w:val="center"/>
          </w:tcPr>
          <w:p w:rsidR="00000000" w:rsidDel="00000000" w:rsidP="00000000" w:rsidRDefault="00000000" w:rsidRPr="00000000" w14:paraId="00000097">
            <w:pPr>
              <w:spacing w:after="0" w:line="276"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Proporción de infecciones:  </w:t>
            </w:r>
          </w:p>
        </w:tc>
        <w:tc>
          <w:tcPr>
            <w:tcBorders>
              <w:bottom w:color="000000" w:space="0" w:sz="4" w:val="single"/>
            </w:tcBorders>
            <w:shd w:fill="auto" w:val="clear"/>
            <w:vAlign w:val="center"/>
          </w:tcPr>
          <w:p w:rsidR="00000000" w:rsidDel="00000000" w:rsidP="00000000" w:rsidRDefault="00000000" w:rsidRPr="00000000" w14:paraId="00000098">
            <w:pPr>
              <w:spacing w:after="0" w:line="276"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Número de pacientes que presentaron infecciones en el mes </w:t>
            </w:r>
          </w:p>
        </w:tc>
      </w:tr>
      <w:tr>
        <w:trPr>
          <w:cantSplit w:val="0"/>
          <w:trHeight w:val="525" w:hRule="atLeast"/>
          <w:tblHeader w:val="0"/>
        </w:trPr>
        <w:tc>
          <w:tcPr>
            <w:vMerge w:val="continue"/>
            <w:shd w:fill="auto" w:val="cle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c>
        <w:tc>
          <w:tcPr>
            <w:vMerge w:val="restart"/>
            <w:tcBorders>
              <w:top w:color="000000" w:space="0" w:sz="4" w:val="single"/>
            </w:tcBorders>
            <w:shd w:fill="auto" w:val="clear"/>
            <w:vAlign w:val="center"/>
          </w:tcPr>
          <w:p w:rsidR="00000000" w:rsidDel="00000000" w:rsidP="00000000" w:rsidRDefault="00000000" w:rsidRPr="00000000" w14:paraId="0000009A">
            <w:pPr>
              <w:spacing w:after="0" w:line="276"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Número total de pacientes atendidos en el mes</w:t>
            </w:r>
          </w:p>
        </w:tc>
      </w:tr>
      <w:tr>
        <w:trPr>
          <w:cantSplit w:val="0"/>
          <w:trHeight w:val="555" w:hRule="atLeast"/>
          <w:tblHeader w:val="0"/>
        </w:trPr>
        <w:tc>
          <w:tcPr>
            <w:vMerge w:val="continue"/>
            <w:shd w:fill="auto" w:val="clea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c>
        <w:tc>
          <w:tcPr>
            <w:vMerge w:val="continue"/>
            <w:tcBorders>
              <w:top w:color="000000" w:space="0" w:sz="4" w:val="single"/>
            </w:tcBorders>
            <w:shd w:fill="auto" w:val="clear"/>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c>
        <w:tc>
          <w:tcPr>
            <w:shd w:fill="auto" w:val="clear"/>
            <w:vAlign w:val="bottom"/>
          </w:tcPr>
          <w:p w:rsidR="00000000" w:rsidDel="00000000" w:rsidP="00000000" w:rsidRDefault="00000000" w:rsidRPr="00000000" w14:paraId="0000009D">
            <w:pPr>
              <w:spacing w:after="0" w:line="276" w:lineRule="auto"/>
              <w:jc w:val="both"/>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9E">
      <w:pPr>
        <w:keepNext w:val="1"/>
        <w:keepLines w:val="1"/>
        <w:pBdr>
          <w:top w:space="0" w:sz="0" w:val="nil"/>
          <w:left w:space="0" w:sz="0" w:val="nil"/>
          <w:bottom w:space="0" w:sz="0" w:val="nil"/>
          <w:right w:space="0" w:sz="0" w:val="nil"/>
          <w:between w:space="0" w:sz="0" w:val="nil"/>
        </w:pBdr>
        <w:spacing w:after="80" w:before="360" w:lineRule="auto"/>
        <w:jc w:val="both"/>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ACTIVIDADES DE VIGILANCIA</w:t>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0" w:lineRule="auto"/>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El reporte de IAAS se debe diligenciar en cada servicio de la profesional donde se detecte, mediante el “reporte de eventos adversos”</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000000"/>
          <w:rtl w:val="0"/>
        </w:rPr>
        <w:t xml:space="preserve">El representante destinado por el Comité de</w:t>
      </w:r>
      <w:r w:rsidDel="00000000" w:rsidR="00000000" w:rsidRPr="00000000">
        <w:rPr>
          <w:rFonts w:ascii="Century Gothic" w:cs="Century Gothic" w:eastAsia="Century Gothic" w:hAnsi="Century Gothic"/>
          <w:rtl w:val="0"/>
        </w:rPr>
        <w:t xml:space="preserve"> infecciones</w:t>
      </w:r>
      <w:r w:rsidDel="00000000" w:rsidR="00000000" w:rsidRPr="00000000">
        <w:rPr>
          <w:rFonts w:ascii="Century Gothic" w:cs="Century Gothic" w:eastAsia="Century Gothic" w:hAnsi="Century Gothic"/>
          <w:color w:val="000000"/>
          <w:rtl w:val="0"/>
        </w:rPr>
        <w:t xml:space="preserve">, los presenta para su consecuente análisis. </w:t>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0" w:lineRule="auto"/>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 </w:t>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color w:val="000000"/>
          <w:rtl w:val="0"/>
        </w:rPr>
        <w:t xml:space="preserve">Por otra parte, los informes de las actividades de vigilancia sirven para comunicar y educar a los colaboradores de la salud y administrativos</w:t>
      </w:r>
      <w:r w:rsidDel="00000000" w:rsidR="00000000" w:rsidRPr="00000000">
        <w:rPr>
          <w:rFonts w:ascii="Century Gothic" w:cs="Century Gothic" w:eastAsia="Century Gothic" w:hAnsi="Century Gothic"/>
          <w:rtl w:val="0"/>
        </w:rPr>
        <w:t xml:space="preserve"> de la IPS. </w:t>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0" w:lineRule="auto"/>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Los datos resumidos en estos informes deben ser relevantes y de fácil comprensión para individuos y grupos de diferentes necesidades y diferente tipo y nivel de responsabilidad y educación. Antes de realizar el informe, la persona encargada de la vigilancia directa debe revisar y comentar los casos con el encargado del comité a fin de eliminar los usuarios internos y externos con infecciones, distinguir entre microorganismos contaminantes y aislamientos bacteriológicos significativos.  </w:t>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0" w:lineRule="auto"/>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 </w:t>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0" w:lineRule="auto"/>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Las reuniones deben realizarse de preferencia mensualmente. Es recomendable que se incluyan frecuencia global de infecciones, episodios por servicios</w:t>
      </w:r>
      <w:r w:rsidDel="00000000" w:rsidR="00000000" w:rsidRPr="00000000">
        <w:rPr>
          <w:rFonts w:ascii="Century Gothic" w:cs="Century Gothic" w:eastAsia="Century Gothic" w:hAnsi="Century Gothic"/>
          <w:rtl w:val="0"/>
        </w:rPr>
        <w:t xml:space="preserve"> y </w:t>
      </w:r>
      <w:r w:rsidDel="00000000" w:rsidR="00000000" w:rsidRPr="00000000">
        <w:rPr>
          <w:rFonts w:ascii="Century Gothic" w:cs="Century Gothic" w:eastAsia="Century Gothic" w:hAnsi="Century Gothic"/>
          <w:color w:val="000000"/>
          <w:rtl w:val="0"/>
        </w:rPr>
        <w:t xml:space="preserve">tipo de infección</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000000"/>
          <w:rtl w:val="0"/>
        </w:rPr>
        <w:t xml:space="preserve">En la presentación de estos informes la estructuración de cuadros y gráficas que incluyen comparación con periodos previos facilita un rápido análisis y una mejor comprensión de los eventos identificados en el periodo informado. En caso de brotes epidémicos de IAAS deben elaborarse comunicaciones especiales que servirán como vehículos tanto para llamar la atención sobre el problema, como para promover actividades de control. </w:t>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0" w:lineRule="auto"/>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 </w:t>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0" w:lineRule="auto"/>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El comité </w:t>
      </w:r>
      <w:r w:rsidDel="00000000" w:rsidR="00000000" w:rsidRPr="00000000">
        <w:rPr>
          <w:rFonts w:ascii="Century Gothic" w:cs="Century Gothic" w:eastAsia="Century Gothic" w:hAnsi="Century Gothic"/>
          <w:rtl w:val="0"/>
        </w:rPr>
        <w:t xml:space="preserve">de infecciones</w:t>
      </w:r>
      <w:r w:rsidDel="00000000" w:rsidR="00000000" w:rsidRPr="00000000">
        <w:rPr>
          <w:rFonts w:ascii="Century Gothic" w:cs="Century Gothic" w:eastAsia="Century Gothic" w:hAnsi="Century Gothic"/>
          <w:color w:val="000000"/>
          <w:rtl w:val="0"/>
        </w:rPr>
        <w:t xml:space="preserve"> deberá valorar periódicamente la eficacia de sus actividades de vigilancia para llenar los requerimientos únicos de la profesional. </w:t>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0" w:lineRule="auto"/>
        <w:jc w:val="both"/>
        <w:rPr>
          <w:rFonts w:ascii="Century Gothic" w:cs="Century Gothic" w:eastAsia="Century Gothic" w:hAnsi="Century Gothic"/>
          <w:b w:val="1"/>
          <w:bCs w:val="1"/>
          <w:color w:val="000000"/>
        </w:rPr>
      </w:pPr>
      <w:r w:rsidDel="00000000" w:rsidR="00000000" w:rsidRPr="00000000">
        <w:rPr>
          <w:rtl w:val="0"/>
        </w:rPr>
      </w:r>
    </w:p>
    <w:p w:rsidR="00000000" w:rsidDel="00000000" w:rsidP="00000000" w:rsidRDefault="00000000" w:rsidRPr="00000000" w14:paraId="000000A9">
      <w:pPr>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MECANISMO DE SOCIALIZACIÓN</w:t>
      </w:r>
      <w:r w:rsidDel="00000000" w:rsidR="00000000" w:rsidRPr="00000000">
        <w:rPr>
          <w:rtl w:val="0"/>
        </w:rPr>
      </w:r>
    </w:p>
    <w:p w:rsidR="00000000" w:rsidDel="00000000" w:rsidP="00000000" w:rsidRDefault="00000000" w:rsidRPr="00000000" w14:paraId="000000AA">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Anualmente se incluyen los temas de Atención en Salud y paquetes Instruccionales en el Programa de Formación Continua Institucional. Ver el cronograma de Formación Continua Institucional. </w:t>
      </w:r>
    </w:p>
    <w:p w:rsidR="00000000" w:rsidDel="00000000" w:rsidP="00000000" w:rsidRDefault="00000000" w:rsidRPr="00000000" w14:paraId="000000AB">
      <w:pPr>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EDUCACIÓN AL USUARIO Y SU FAMILIA</w:t>
      </w:r>
      <w:r w:rsidDel="00000000" w:rsidR="00000000" w:rsidRPr="00000000">
        <w:rPr>
          <w:rtl w:val="0"/>
        </w:rPr>
      </w:r>
    </w:p>
    <w:p w:rsidR="00000000" w:rsidDel="00000000" w:rsidP="00000000" w:rsidRDefault="00000000" w:rsidRPr="00000000" w14:paraId="000000AC">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Anualmente se incluyen los temas de Atención en Salud y paquetes Instruccionales en el Programa de Educación al usuario y su familia. </w:t>
      </w:r>
    </w:p>
    <w:p w:rsidR="00000000" w:rsidDel="00000000" w:rsidP="00000000" w:rsidRDefault="00000000" w:rsidRPr="00000000" w14:paraId="000000AD">
      <w:pPr>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AE">
      <w:pPr>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DOCUMENTOS DE REFERENCIA</w:t>
      </w:r>
      <w:r w:rsidDel="00000000" w:rsidR="00000000" w:rsidRPr="00000000">
        <w:rPr>
          <w:rtl w:val="0"/>
        </w:rPr>
      </w:r>
    </w:p>
    <w:p w:rsidR="00000000" w:rsidDel="00000000" w:rsidP="00000000" w:rsidRDefault="00000000" w:rsidRPr="00000000" w14:paraId="000000AF">
      <w:pPr>
        <w:widowControl w:val="0"/>
        <w:numPr>
          <w:ilvl w:val="0"/>
          <w:numId w:val="14"/>
        </w:numPr>
        <w:pBdr>
          <w:top w:space="0" w:sz="0" w:val="nil"/>
          <w:left w:space="0" w:sz="0" w:val="nil"/>
          <w:bottom w:space="0" w:sz="0" w:val="nil"/>
          <w:right w:space="0" w:sz="0" w:val="nil"/>
          <w:between w:space="0" w:sz="0" w:val="nil"/>
        </w:pBdr>
        <w:spacing w:after="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Actualización de Criterios de Infección. Estudio de Prevalencia de Infecciones Nosocomiales en España. Sociedad Española de Medicina Preventiva, Salud Pública e Higiene; 2010.</w:t>
      </w:r>
    </w:p>
    <w:p w:rsidR="00000000" w:rsidDel="00000000" w:rsidP="00000000" w:rsidRDefault="00000000" w:rsidRPr="00000000" w14:paraId="000000B0">
      <w:pPr>
        <w:widowControl w:val="0"/>
        <w:numPr>
          <w:ilvl w:val="0"/>
          <w:numId w:val="14"/>
        </w:numPr>
        <w:pBdr>
          <w:top w:space="0" w:sz="0" w:val="nil"/>
          <w:left w:space="0" w:sz="0" w:val="nil"/>
          <w:bottom w:space="0" w:sz="0" w:val="nil"/>
          <w:right w:space="0" w:sz="0" w:val="nil"/>
          <w:between w:space="0" w:sz="0" w:val="nil"/>
        </w:pBdr>
        <w:spacing w:after="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CDC/NHSN Surveillance Definition of Healthcare-Associated Infection and Criteria for Specific Types of Infections in the Acute Care Setting; 2010.</w:t>
      </w:r>
    </w:p>
    <w:p w:rsidR="00000000" w:rsidDel="00000000" w:rsidP="00000000" w:rsidRDefault="00000000" w:rsidRPr="00000000" w14:paraId="000000B1">
      <w:pPr>
        <w:widowControl w:val="0"/>
        <w:numPr>
          <w:ilvl w:val="0"/>
          <w:numId w:val="14"/>
        </w:numPr>
        <w:spacing w:after="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Estrategias para prevenir la transmision de </w:t>
      </w:r>
      <w:r w:rsidDel="00000000" w:rsidR="00000000" w:rsidRPr="00000000">
        <w:rPr>
          <w:rFonts w:ascii="Century Gothic" w:cs="Century Gothic" w:eastAsia="Century Gothic" w:hAnsi="Century Gothic"/>
          <w:i w:val="1"/>
          <w:iCs w:val="1"/>
          <w:rtl w:val="0"/>
        </w:rPr>
        <w:t xml:space="preserve">staphylococcus aureus </w:t>
      </w:r>
      <w:r w:rsidDel="00000000" w:rsidR="00000000" w:rsidRPr="00000000">
        <w:rPr>
          <w:rFonts w:ascii="Century Gothic" w:cs="Century Gothic" w:eastAsia="Century Gothic" w:hAnsi="Century Gothic"/>
          <w:rtl w:val="0"/>
        </w:rPr>
        <w:t xml:space="preserve">meticilino resistente (SAMR) en las instituciones de cuidados agudos. codeinep: grupo asesor del control de infecciones y epidemiología. sitio en internet. disponible en [http://www.codeinep.org/restricted/5%ba%20entrega%20compendio%20isq.pdf]. acceso el 13 de julio de 2010.</w:t>
      </w:r>
    </w:p>
    <w:p w:rsidR="00000000" w:rsidDel="00000000" w:rsidP="00000000" w:rsidRDefault="00000000" w:rsidRPr="00000000" w14:paraId="000000B2">
      <w:pPr>
        <w:widowControl w:val="0"/>
        <w:numPr>
          <w:ilvl w:val="0"/>
          <w:numId w:val="14"/>
        </w:numPr>
        <w:spacing w:after="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González Echeverry, Germán; Arroyave Marta Lucía. Manual de Vigilancia Epidemiologica de las Infecciones Intrahospitalarias. Facultad Nacional de Salud Pública. Universidad de Antioquia. 2000.</w:t>
      </w:r>
    </w:p>
    <w:p w:rsidR="00000000" w:rsidDel="00000000" w:rsidP="00000000" w:rsidRDefault="00000000" w:rsidRPr="00000000" w14:paraId="000000B3">
      <w:pPr>
        <w:widowControl w:val="0"/>
        <w:numPr>
          <w:ilvl w:val="0"/>
          <w:numId w:val="14"/>
        </w:numPr>
        <w:spacing w:after="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Infecciones Intrahospitalarias. Sitio en internet. Disponible en: </w:t>
      </w:r>
      <w:hyperlink r:id="rId10">
        <w:r w:rsidDel="00000000" w:rsidR="00000000" w:rsidRPr="00000000">
          <w:rPr>
            <w:rFonts w:ascii="Century Gothic" w:cs="Century Gothic" w:eastAsia="Century Gothic" w:hAnsi="Century Gothic"/>
            <w:rtl w:val="0"/>
          </w:rPr>
          <w:t xml:space="preserve">http://190.25.230.149:8080/dspace/bitstream/123456789/541/1/vigilancia%20infecciones%20intrahospitalarias.pdf</w:t>
        </w:r>
      </w:hyperlink>
      <w:r w:rsidDel="00000000" w:rsidR="00000000" w:rsidRPr="00000000">
        <w:rPr>
          <w:rFonts w:ascii="Century Gothic" w:cs="Century Gothic" w:eastAsia="Century Gothic" w:hAnsi="Century Gothic"/>
          <w:rtl w:val="0"/>
        </w:rPr>
        <w:t xml:space="preserve">. Acceso el 3 de noviembre de 2010.</w:t>
      </w:r>
    </w:p>
    <w:p w:rsidR="00000000" w:rsidDel="00000000" w:rsidP="00000000" w:rsidRDefault="00000000" w:rsidRPr="00000000" w14:paraId="000000B4">
      <w:pPr>
        <w:widowControl w:val="0"/>
        <w:numPr>
          <w:ilvl w:val="0"/>
          <w:numId w:val="14"/>
        </w:numPr>
        <w:spacing w:after="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Infección Intrahospitalaria. Prevención y control. Hospital Universitario San Vicente de Paúl. Medellín, Colombia. 2000.</w:t>
      </w:r>
    </w:p>
    <w:p w:rsidR="00000000" w:rsidDel="00000000" w:rsidP="00000000" w:rsidRDefault="00000000" w:rsidRPr="00000000" w14:paraId="000000B5">
      <w:pPr>
        <w:widowControl w:val="0"/>
        <w:numPr>
          <w:ilvl w:val="0"/>
          <w:numId w:val="14"/>
        </w:numPr>
        <w:spacing w:after="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León Rosales, Samuel Ponce y Soto Hernández José Luis.  Infecciones intrahospitalarias. mc graw-hill. interamericana. méxico.2002.</w:t>
      </w:r>
    </w:p>
    <w:p w:rsidR="00000000" w:rsidDel="00000000" w:rsidP="00000000" w:rsidRDefault="00000000" w:rsidRPr="00000000" w14:paraId="000000B6">
      <w:pPr>
        <w:widowControl w:val="0"/>
        <w:numPr>
          <w:ilvl w:val="0"/>
          <w:numId w:val="14"/>
        </w:numPr>
        <w:spacing w:after="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Organización Mundial de la Salud. Prevención de las Infecciones Intrahospitalarias. Sitio en Internet. Disponible en: </w:t>
      </w:r>
      <w:hyperlink r:id="rId11">
        <w:r w:rsidDel="00000000" w:rsidR="00000000" w:rsidRPr="00000000">
          <w:rPr>
            <w:rFonts w:ascii="Century Gothic" w:cs="Century Gothic" w:eastAsia="Century Gothic" w:hAnsi="Century Gothic"/>
            <w:rtl w:val="0"/>
          </w:rPr>
          <w:t xml:space="preserve">http://www.who.int/csr/resources/publications/ES_WHO_CDS_CSR_EPH_2002_12.pdf</w:t>
        </w:r>
      </w:hyperlink>
      <w:r w:rsidDel="00000000" w:rsidR="00000000" w:rsidRPr="00000000">
        <w:rPr>
          <w:rFonts w:ascii="Century Gothic" w:cs="Century Gothic" w:eastAsia="Century Gothic" w:hAnsi="Century Gothic"/>
          <w:rtl w:val="0"/>
        </w:rPr>
        <w:t xml:space="preserve">. Acceso el 2 de Noviembre de 2010.</w:t>
      </w:r>
    </w:p>
    <w:p w:rsidR="00000000" w:rsidDel="00000000" w:rsidP="00000000" w:rsidRDefault="00000000" w:rsidRPr="00000000" w14:paraId="000000B7">
      <w:pPr>
        <w:widowControl w:val="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9">
      <w:pPr>
        <w:jc w:val="both"/>
        <w:rPr>
          <w:rFonts w:ascii="Century Gothic" w:cs="Century Gothic" w:eastAsia="Century Gothic" w:hAnsi="Century Gothic"/>
        </w:rPr>
      </w:pPr>
      <w:r w:rsidDel="00000000" w:rsidR="00000000" w:rsidRPr="00000000">
        <w:rPr>
          <w:rtl w:val="0"/>
        </w:rPr>
      </w:r>
    </w:p>
    <w:sectPr>
      <w:headerReference r:id="rId12" w:type="default"/>
      <w:headerReference r:id="rId13" w:type="first"/>
      <w:headerReference r:id="rId14" w:type="even"/>
      <w:footerReference r:id="rId15" w:type="default"/>
      <w:footerReference r:id="rId16" w:type="first"/>
      <w:footerReference r:id="rId17" w:type="even"/>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ambr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spacing w:after="0" w:lineRule="auto"/>
      <w:rPr>
        <w:rFonts w:ascii="Arial" w:cs="Arial" w:eastAsia="Arial" w:hAnsi="Arial"/>
        <w:sz w:val="24"/>
        <w:szCs w:val="2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widowControl w:val="0"/>
      <w:spacing w:after="0" w:line="240" w:lineRule="auto"/>
      <w:rPr>
        <w:rFonts w:ascii="Arial" w:cs="Arial" w:eastAsia="Arial" w:hAnsi="Arial"/>
        <w:sz w:val="16"/>
        <w:szCs w:val="16"/>
      </w:rPr>
    </w:pPr>
    <w:r w:rsidDel="00000000" w:rsidR="00000000" w:rsidRPr="00000000">
      <w:rPr>
        <w:rtl w:val="0"/>
      </w:rPr>
    </w:r>
  </w:p>
  <w:tbl>
    <w:tblPr>
      <w:tblStyle w:val="Table2"/>
      <w:tblW w:w="10215.0" w:type="dxa"/>
      <w:jc w:val="left"/>
      <w:tblInd w:w="-5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6015"/>
      <w:gridCol w:w="2205"/>
      <w:tblGridChange w:id="0">
        <w:tblGrid>
          <w:gridCol w:w="1995"/>
          <w:gridCol w:w="6015"/>
          <w:gridCol w:w="2205"/>
        </w:tblGrid>
      </w:tblGridChange>
    </w:tblGrid>
    <w:tr>
      <w:trPr>
        <w:cantSplit w:val="0"/>
        <w:trHeight w:val="510.5882352941177" w:hRule="atLeast"/>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BB">
          <w:pPr>
            <w:jc w:val="center"/>
            <w:rPr>
              <w:rFonts w:ascii="Calibri" w:cs="Calibri" w:eastAsia="Calibri" w:hAnsi="Calibri"/>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114300</wp:posOffset>
                </wp:positionV>
                <wp:extent cx="1010603" cy="340305"/>
                <wp:effectExtent b="0" l="0" r="0" t="0"/>
                <wp:wrapNone/>
                <wp:docPr id="1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10603" cy="340305"/>
                        </a:xfrm>
                        <a:prstGeom prst="rect"/>
                        <a:ln/>
                      </pic:spPr>
                    </pic:pic>
                  </a:graphicData>
                </a:graphic>
              </wp:anchor>
            </w:drawing>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BC">
          <w:pPr>
            <w:tabs>
              <w:tab w:val="center" w:leader="none" w:pos="4252"/>
              <w:tab w:val="right" w:leader="none" w:pos="8504"/>
            </w:tabs>
            <w:ind w:left="10" w:right="7" w:firstLine="0"/>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PROTOCOLO DETECTAR, PREVENIR Y REDUCIR IAAS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BD">
          <w:pPr>
            <w:tabs>
              <w:tab w:val="center" w:leader="none" w:pos="4252"/>
              <w:tab w:val="right" w:leader="none" w:pos="8504"/>
            </w:tabs>
            <w:ind w:left="10" w:right="-139.25196850393604"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Código: PP-PR-001</w:t>
          </w:r>
        </w:p>
      </w:tc>
    </w:tr>
    <w:tr>
      <w:trPr>
        <w:cantSplit w:val="0"/>
        <w:trHeight w:val="419.4117647058823"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BF">
          <w:pPr>
            <w:tabs>
              <w:tab w:val="center" w:leader="none" w:pos="4252"/>
              <w:tab w:val="right" w:leader="none" w:pos="8504"/>
            </w:tabs>
            <w:spacing w:after="0" w:before="0" w:line="240" w:lineRule="auto"/>
            <w:ind w:left="0" w:right="7" w:firstLine="0"/>
            <w:jc w:val="center"/>
            <w:rPr>
              <w:rFonts w:ascii="Arial" w:cs="Arial" w:eastAsia="Arial" w:hAnsi="Arial"/>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C0">
          <w:pPr>
            <w:tabs>
              <w:tab w:val="center" w:leader="none" w:pos="4252"/>
              <w:tab w:val="right" w:leader="none" w:pos="8504"/>
            </w:tabs>
            <w:ind w:left="10" w:right="-139.25196850393604"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Versión: 02</w:t>
          </w:r>
        </w:p>
      </w:tc>
    </w:tr>
    <w:tr>
      <w:trPr>
        <w:cantSplit w:val="0"/>
        <w:trHeight w:val="419.4117647058823"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auto" w:val="clear"/>
          <w:vAlign w:val="center"/>
        </w:tcPr>
        <w:p w:rsidR="00000000" w:rsidDel="00000000" w:rsidP="00000000" w:rsidRDefault="00000000" w:rsidRPr="00000000" w14:paraId="000000C2">
          <w:pPr>
            <w:tabs>
              <w:tab w:val="center" w:leader="none" w:pos="4419"/>
              <w:tab w:val="right" w:leader="none" w:pos="8838"/>
            </w:tabs>
            <w:spacing w:after="0" w:before="0" w:line="240" w:lineRule="auto"/>
            <w:ind w:left="0" w:firstLine="0"/>
            <w:jc w:val="center"/>
            <w:rPr>
              <w:rFonts w:ascii="Arial" w:cs="Arial" w:eastAsia="Arial" w:hAnsi="Arial"/>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C3">
          <w:pPr>
            <w:tabs>
              <w:tab w:val="center" w:leader="none" w:pos="4252"/>
              <w:tab w:val="right" w:leader="none" w:pos="8504"/>
            </w:tabs>
            <w:ind w:left="10" w:right="-139.25196850393604"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Fecha: 05-2025</w:t>
          </w:r>
        </w:p>
      </w:tc>
    </w:tr>
  </w:tbl>
  <w:p w:rsidR="00000000" w:rsidDel="00000000" w:rsidP="00000000" w:rsidRDefault="00000000" w:rsidRPr="00000000" w14:paraId="000000C4">
    <w:pPr>
      <w:spacing w:after="0" w:line="240" w:lineRule="auto"/>
      <w:ind w:right="7"/>
      <w:jc w:val="both"/>
      <w:rPr>
        <w:rFonts w:ascii="Arial" w:cs="Arial" w:eastAsia="Arial" w:hAnsi="Arial"/>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lowerLetter"/>
      <w:lvlText w:val="%1."/>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1080" w:hanging="360"/>
      </w:pPr>
      <w:rPr>
        <w:rFonts w:ascii="Arial" w:cs="Arial" w:eastAsia="Arial" w:hAnsi="Arial"/>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lowerLetter"/>
      <w:lvlText w:val="%1."/>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lowerLetter"/>
      <w:lvlText w:val="%1."/>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lowerLetter"/>
      <w:lvlText w:val="%1."/>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lowerLetter"/>
      <w:lvlText w:val="%1."/>
      <w:lvlJc w:val="left"/>
      <w:pPr>
        <w:ind w:left="36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lowerLetter"/>
      <w:lvlText w:val="%1."/>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2"/>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lowerLetter"/>
      <w:lvlText w:val="%1."/>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table" w:styleId="TableNormal0" w:customStyle="1">
    <w:name w:val="Table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paragraph" w:styleId="Normal0" w:customStyle="1">
    <w:name w:val="Normal0"/>
  </w:style>
  <w:style w:type="table" w:styleId="NormalTable0" w:customStyle="1">
    <w:name w:val="Normal Table0"/>
    <w:tblPr>
      <w:tblCellMar>
        <w:top w:w="0.0" w:type="dxa"/>
        <w:left w:w="0.0" w:type="dxa"/>
        <w:bottom w:w="0.0" w:type="dxa"/>
        <w:right w:w="0.0" w:type="dxa"/>
      </w:tblCellMar>
    </w:tblPr>
  </w:style>
  <w:style w:type="paragraph" w:styleId="heading10" w:customStyle="1">
    <w:name w:val="heading 10"/>
    <w:basedOn w:val="Normal0"/>
    <w:next w:val="Normal0"/>
    <w:pPr>
      <w:keepNext w:val="1"/>
      <w:keepLines w:val="1"/>
      <w:spacing w:after="120" w:before="480"/>
    </w:pPr>
    <w:rPr>
      <w:b w:val="1"/>
      <w:sz w:val="48"/>
      <w:szCs w:val="48"/>
    </w:rPr>
  </w:style>
  <w:style w:type="paragraph" w:styleId="heading20" w:customStyle="1">
    <w:name w:val="heading 20"/>
    <w:basedOn w:val="Normal0"/>
    <w:next w:val="Normal0"/>
    <w:pPr>
      <w:keepNext w:val="1"/>
      <w:keepLines w:val="1"/>
      <w:spacing w:after="80" w:before="360"/>
    </w:pPr>
    <w:rPr>
      <w:b w:val="1"/>
      <w:sz w:val="36"/>
      <w:szCs w:val="36"/>
    </w:rPr>
  </w:style>
  <w:style w:type="paragraph" w:styleId="heading30" w:customStyle="1">
    <w:name w:val="heading 30"/>
    <w:basedOn w:val="Normal0"/>
    <w:next w:val="Normal0"/>
    <w:pPr>
      <w:keepNext w:val="1"/>
      <w:keepLines w:val="1"/>
      <w:spacing w:after="80" w:before="280"/>
    </w:pPr>
    <w:rPr>
      <w:b w:val="1"/>
      <w:sz w:val="28"/>
      <w:szCs w:val="28"/>
    </w:rPr>
  </w:style>
  <w:style w:type="paragraph" w:styleId="heading40" w:customStyle="1">
    <w:name w:val="heading 40"/>
    <w:basedOn w:val="Normal0"/>
    <w:next w:val="Normal0"/>
    <w:pPr>
      <w:keepNext w:val="1"/>
      <w:keepLines w:val="1"/>
      <w:spacing w:after="40" w:before="240"/>
    </w:pPr>
    <w:rPr>
      <w:b w:val="1"/>
      <w:sz w:val="24"/>
      <w:szCs w:val="24"/>
    </w:rPr>
  </w:style>
  <w:style w:type="paragraph" w:styleId="heading50" w:customStyle="1">
    <w:name w:val="heading 50"/>
    <w:basedOn w:val="Normal0"/>
    <w:next w:val="Normal0"/>
    <w:pPr>
      <w:keepNext w:val="1"/>
      <w:keepLines w:val="1"/>
      <w:spacing w:after="40" w:before="220"/>
    </w:pPr>
    <w:rPr>
      <w:b w:val="1"/>
    </w:rPr>
  </w:style>
  <w:style w:type="paragraph" w:styleId="heading60" w:customStyle="1">
    <w:name w:val="heading 60"/>
    <w:basedOn w:val="Normal0"/>
    <w:next w:val="Normal0"/>
    <w:pPr>
      <w:keepNext w:val="1"/>
      <w:keepLines w:val="1"/>
      <w:spacing w:after="40" w:before="200"/>
    </w:pPr>
    <w:rPr>
      <w:b w:val="1"/>
      <w:sz w:val="20"/>
      <w:szCs w:val="20"/>
    </w:rPr>
  </w:style>
  <w:style w:type="paragraph" w:styleId="Title0" w:customStyle="1">
    <w:name w:val="Title0"/>
    <w:basedOn w:val="Normal0"/>
    <w:next w:val="Normal0"/>
    <w:pPr>
      <w:keepNext w:val="1"/>
      <w:keepLines w:val="1"/>
      <w:spacing w:after="120" w:before="480"/>
    </w:pPr>
    <w:rPr>
      <w:b w:val="1"/>
      <w:sz w:val="72"/>
      <w:szCs w:val="72"/>
    </w:rPr>
  </w:style>
  <w:style w:type="paragraph" w:styleId="Normal1" w:customStyle="1">
    <w:name w:val="Normal1"/>
  </w:style>
  <w:style w:type="table" w:styleId="NormalTable1" w:customStyle="1">
    <w:name w:val="Normal Table1"/>
    <w:tblPr>
      <w:tblCellMar>
        <w:top w:w="0.0" w:type="dxa"/>
        <w:left w:w="0.0" w:type="dxa"/>
        <w:bottom w:w="0.0" w:type="dxa"/>
        <w:right w:w="0.0" w:type="dxa"/>
      </w:tblCellMar>
    </w:tblPr>
  </w:style>
  <w:style w:type="paragraph" w:styleId="heading11" w:customStyle="1">
    <w:name w:val="heading 11"/>
    <w:basedOn w:val="Normal1"/>
    <w:next w:val="Normal1"/>
    <w:pPr>
      <w:keepNext w:val="1"/>
      <w:keepLines w:val="1"/>
      <w:spacing w:after="120" w:before="480"/>
    </w:pPr>
    <w:rPr>
      <w:b w:val="1"/>
      <w:sz w:val="48"/>
      <w:szCs w:val="48"/>
    </w:rPr>
  </w:style>
  <w:style w:type="paragraph" w:styleId="heading21" w:customStyle="1">
    <w:name w:val="heading 21"/>
    <w:basedOn w:val="Normal1"/>
    <w:next w:val="Normal1"/>
    <w:pPr>
      <w:keepNext w:val="1"/>
      <w:keepLines w:val="1"/>
      <w:spacing w:after="80" w:before="360"/>
    </w:pPr>
    <w:rPr>
      <w:b w:val="1"/>
      <w:sz w:val="36"/>
      <w:szCs w:val="36"/>
    </w:rPr>
  </w:style>
  <w:style w:type="paragraph" w:styleId="heading31" w:customStyle="1">
    <w:name w:val="heading 31"/>
    <w:basedOn w:val="Normal1"/>
    <w:next w:val="Normal1"/>
    <w:pPr>
      <w:keepNext w:val="1"/>
      <w:keepLines w:val="1"/>
      <w:spacing w:after="80" w:before="280"/>
    </w:pPr>
    <w:rPr>
      <w:b w:val="1"/>
      <w:sz w:val="28"/>
      <w:szCs w:val="28"/>
    </w:rPr>
  </w:style>
  <w:style w:type="paragraph" w:styleId="heading41" w:customStyle="1">
    <w:name w:val="heading 41"/>
    <w:basedOn w:val="Normal1"/>
    <w:next w:val="Normal1"/>
    <w:pPr>
      <w:keepNext w:val="1"/>
      <w:keepLines w:val="1"/>
      <w:spacing w:after="40" w:before="240"/>
    </w:pPr>
    <w:rPr>
      <w:b w:val="1"/>
      <w:sz w:val="24"/>
      <w:szCs w:val="24"/>
    </w:rPr>
  </w:style>
  <w:style w:type="paragraph" w:styleId="heading51" w:customStyle="1">
    <w:name w:val="heading 51"/>
    <w:basedOn w:val="Normal1"/>
    <w:next w:val="Normal1"/>
    <w:pPr>
      <w:keepNext w:val="1"/>
      <w:keepLines w:val="1"/>
      <w:spacing w:after="40" w:before="220"/>
    </w:pPr>
    <w:rPr>
      <w:b w:val="1"/>
    </w:rPr>
  </w:style>
  <w:style w:type="paragraph" w:styleId="heading61" w:customStyle="1">
    <w:name w:val="heading 61"/>
    <w:basedOn w:val="Normal1"/>
    <w:next w:val="Normal1"/>
    <w:pPr>
      <w:keepNext w:val="1"/>
      <w:keepLines w:val="1"/>
      <w:spacing w:after="40" w:before="200"/>
    </w:pPr>
    <w:rPr>
      <w:b w:val="1"/>
      <w:sz w:val="20"/>
      <w:szCs w:val="20"/>
    </w:rPr>
  </w:style>
  <w:style w:type="paragraph" w:styleId="Title1" w:customStyle="1">
    <w:name w:val="Title1"/>
    <w:basedOn w:val="Normal1"/>
    <w:next w:val="Normal1"/>
    <w:pPr>
      <w:keepNext w:val="1"/>
      <w:keepLines w:val="1"/>
      <w:spacing w:after="120" w:before="480"/>
    </w:pPr>
    <w:rPr>
      <w:b w:val="1"/>
      <w:sz w:val="72"/>
      <w:szCs w:val="72"/>
    </w:rPr>
  </w:style>
  <w:style w:type="paragraph" w:styleId="Normal2" w:customStyle="1">
    <w:name w:val="Normal2"/>
  </w:style>
  <w:style w:type="paragraph" w:styleId="heading12" w:customStyle="1">
    <w:name w:val="heading 12"/>
    <w:basedOn w:val="Normal2"/>
    <w:next w:val="Normal2"/>
    <w:pPr>
      <w:keepNext w:val="1"/>
      <w:keepLines w:val="1"/>
      <w:spacing w:after="120" w:before="480"/>
    </w:pPr>
    <w:rPr>
      <w:b w:val="1"/>
      <w:sz w:val="48"/>
      <w:szCs w:val="48"/>
    </w:rPr>
  </w:style>
  <w:style w:type="paragraph" w:styleId="heading22" w:customStyle="1">
    <w:name w:val="heading 22"/>
    <w:basedOn w:val="Normal2"/>
    <w:next w:val="Normal2"/>
    <w:pPr>
      <w:keepNext w:val="1"/>
      <w:keepLines w:val="1"/>
      <w:spacing w:after="80" w:before="360"/>
    </w:pPr>
    <w:rPr>
      <w:b w:val="1"/>
      <w:sz w:val="36"/>
      <w:szCs w:val="36"/>
    </w:rPr>
  </w:style>
  <w:style w:type="paragraph" w:styleId="heading32" w:customStyle="1">
    <w:name w:val="heading 32"/>
    <w:basedOn w:val="Normal2"/>
    <w:next w:val="Normal2"/>
    <w:pPr>
      <w:keepNext w:val="1"/>
      <w:keepLines w:val="1"/>
      <w:spacing w:after="80" w:before="280"/>
    </w:pPr>
    <w:rPr>
      <w:b w:val="1"/>
      <w:sz w:val="28"/>
      <w:szCs w:val="28"/>
    </w:rPr>
  </w:style>
  <w:style w:type="paragraph" w:styleId="heading42" w:customStyle="1">
    <w:name w:val="heading 42"/>
    <w:basedOn w:val="Normal2"/>
    <w:next w:val="Normal2"/>
    <w:pPr>
      <w:keepNext w:val="1"/>
      <w:keepLines w:val="1"/>
      <w:spacing w:after="40" w:before="240"/>
    </w:pPr>
    <w:rPr>
      <w:b w:val="1"/>
      <w:sz w:val="24"/>
      <w:szCs w:val="24"/>
    </w:rPr>
  </w:style>
  <w:style w:type="paragraph" w:styleId="heading52" w:customStyle="1">
    <w:name w:val="heading 52"/>
    <w:basedOn w:val="Normal2"/>
    <w:next w:val="Normal2"/>
    <w:pPr>
      <w:keepNext w:val="1"/>
      <w:keepLines w:val="1"/>
      <w:spacing w:after="40" w:before="220"/>
    </w:pPr>
    <w:rPr>
      <w:b w:val="1"/>
    </w:rPr>
  </w:style>
  <w:style w:type="paragraph" w:styleId="heading62" w:customStyle="1">
    <w:name w:val="heading 62"/>
    <w:basedOn w:val="Normal2"/>
    <w:next w:val="Normal2"/>
    <w:pPr>
      <w:keepNext w:val="1"/>
      <w:keepLines w:val="1"/>
      <w:spacing w:after="40" w:before="200"/>
    </w:pPr>
    <w:rPr>
      <w:b w:val="1"/>
      <w:sz w:val="20"/>
      <w:szCs w:val="20"/>
    </w:rPr>
  </w:style>
  <w:style w:type="paragraph" w:styleId="Title2" w:customStyle="1">
    <w:name w:val="Title2"/>
    <w:basedOn w:val="Normal2"/>
    <w:next w:val="Normal2"/>
    <w:pPr>
      <w:keepNext w:val="1"/>
      <w:keepLines w:val="1"/>
      <w:spacing w:after="120" w:before="480"/>
    </w:pPr>
    <w:rPr>
      <w:b w:val="1"/>
      <w:sz w:val="72"/>
      <w:szCs w:val="72"/>
    </w:rPr>
  </w:style>
  <w:style w:type="table" w:styleId="16" w:customStyle="1">
    <w:name w:val="16"/>
    <w:basedOn w:val="NormalTable1"/>
    <w:pPr>
      <w:spacing w:after="0" w:line="240" w:lineRule="auto"/>
    </w:pPr>
    <w:tblPr>
      <w:tblStyleRowBandSize w:val="1"/>
      <w:tblStyleColBandSize w:val="1"/>
      <w:tblCellMar>
        <w:left w:w="115.0" w:type="dxa"/>
        <w:right w:w="115.0" w:type="dxa"/>
      </w:tblCellMar>
    </w:tblPr>
  </w:style>
  <w:style w:type="table" w:styleId="15" w:customStyle="1">
    <w:name w:val="15"/>
    <w:basedOn w:val="NormalTable1"/>
    <w:pPr>
      <w:spacing w:after="0" w:line="240" w:lineRule="auto"/>
    </w:pPr>
    <w:tblPr>
      <w:tblStyleRowBandSize w:val="1"/>
      <w:tblStyleColBandSize w:val="1"/>
      <w:tblCellMar>
        <w:left w:w="115.0" w:type="dxa"/>
        <w:right w:w="115.0" w:type="dxa"/>
      </w:tblCellMar>
    </w:tblPr>
  </w:style>
  <w:style w:type="table" w:styleId="14" w:customStyle="1">
    <w:name w:val="14"/>
    <w:basedOn w:val="NormalTable1"/>
    <w:pPr>
      <w:spacing w:after="0" w:line="240" w:lineRule="auto"/>
    </w:pPr>
    <w:tblPr>
      <w:tblStyleRowBandSize w:val="1"/>
      <w:tblStyleColBandSize w:val="1"/>
      <w:tblCellMar>
        <w:left w:w="115.0" w:type="dxa"/>
        <w:right w:w="115.0" w:type="dxa"/>
      </w:tblCellMar>
    </w:tblPr>
  </w:style>
  <w:style w:type="table" w:styleId="13" w:customStyle="1">
    <w:name w:val="13"/>
    <w:basedOn w:val="NormalTable1"/>
    <w:pPr>
      <w:spacing w:after="0" w:line="240" w:lineRule="auto"/>
    </w:pPr>
    <w:tblPr>
      <w:tblStyleRowBandSize w:val="1"/>
      <w:tblStyleColBandSize w:val="1"/>
      <w:tblCellMar>
        <w:left w:w="115.0" w:type="dxa"/>
        <w:right w:w="115.0" w:type="dxa"/>
      </w:tblCellMar>
    </w:tblPr>
  </w:style>
  <w:style w:type="paragraph" w:styleId="Subtitle0" w:customStyle="1">
    <w:name w:val="Subtitle0"/>
    <w:basedOn w:val="Normal2"/>
    <w:next w:val="Normal2"/>
    <w:pPr>
      <w:keepNext w:val="1"/>
      <w:keepLines w:val="1"/>
      <w:spacing w:after="80" w:before="360"/>
    </w:pPr>
    <w:rPr>
      <w:rFonts w:ascii="Georgia" w:cs="Georgia" w:eastAsia="Georgia" w:hAnsi="Georgia"/>
      <w:i w:val="1"/>
      <w:color w:val="666666"/>
      <w:sz w:val="48"/>
      <w:szCs w:val="48"/>
    </w:rPr>
  </w:style>
  <w:style w:type="table" w:styleId="12" w:customStyle="1">
    <w:name w:val="12"/>
    <w:basedOn w:val="NormalTable1"/>
    <w:pPr>
      <w:spacing w:after="0" w:line="240" w:lineRule="auto"/>
    </w:pPr>
    <w:tblPr>
      <w:tblStyleRowBandSize w:val="1"/>
      <w:tblStyleColBandSize w:val="1"/>
      <w:tblCellMar>
        <w:left w:w="115.0" w:type="dxa"/>
        <w:right w:w="115.0" w:type="dxa"/>
      </w:tblCellMar>
    </w:tblPr>
  </w:style>
  <w:style w:type="table" w:styleId="11" w:customStyle="1">
    <w:name w:val="11"/>
    <w:basedOn w:val="NormalTable1"/>
    <w:pPr>
      <w:spacing w:after="0" w:line="240" w:lineRule="auto"/>
    </w:pPr>
    <w:tblPr>
      <w:tblStyleRowBandSize w:val="1"/>
      <w:tblStyleColBandSize w:val="1"/>
      <w:tblCellMar>
        <w:left w:w="115.0" w:type="dxa"/>
        <w:right w:w="115.0" w:type="dxa"/>
      </w:tblCellMar>
    </w:tblPr>
  </w:style>
  <w:style w:type="table" w:styleId="10" w:customStyle="1">
    <w:name w:val="10"/>
    <w:basedOn w:val="NormalTable1"/>
    <w:pPr>
      <w:spacing w:after="0" w:line="240" w:lineRule="auto"/>
    </w:pPr>
    <w:tblPr>
      <w:tblStyleRowBandSize w:val="1"/>
      <w:tblStyleColBandSize w:val="1"/>
      <w:tblCellMar>
        <w:left w:w="115.0" w:type="dxa"/>
        <w:right w:w="115.0" w:type="dxa"/>
      </w:tblCellMar>
    </w:tblPr>
  </w:style>
  <w:style w:type="table" w:styleId="9" w:customStyle="1">
    <w:name w:val="9"/>
    <w:basedOn w:val="NormalTable1"/>
    <w:pPr>
      <w:spacing w:after="0" w:line="240" w:lineRule="auto"/>
    </w:pPr>
    <w:tblPr>
      <w:tblStyleRowBandSize w:val="1"/>
      <w:tblStyleColBandSize w:val="1"/>
      <w:tblCellMar>
        <w:left w:w="115.0" w:type="dxa"/>
        <w:right w:w="115.0" w:type="dxa"/>
      </w:tblCellMar>
    </w:tblPr>
  </w:style>
  <w:style w:type="paragraph" w:styleId="Subtitle1" w:customStyle="1">
    <w:name w:val="Subtitle1"/>
    <w:basedOn w:val="Normal2"/>
    <w:next w:val="Normal2"/>
    <w:pPr>
      <w:keepNext w:val="1"/>
      <w:keepLines w:val="1"/>
      <w:spacing w:after="80" w:before="360"/>
    </w:pPr>
    <w:rPr>
      <w:rFonts w:ascii="Georgia" w:cs="Georgia" w:eastAsia="Georgia" w:hAnsi="Georgia"/>
      <w:i w:val="1"/>
      <w:color w:val="666666"/>
      <w:sz w:val="48"/>
      <w:szCs w:val="48"/>
    </w:rPr>
  </w:style>
  <w:style w:type="table" w:styleId="8" w:customStyle="1">
    <w:name w:val="8"/>
    <w:basedOn w:val="NormalTable1"/>
    <w:pPr>
      <w:spacing w:after="0" w:line="240" w:lineRule="auto"/>
    </w:pPr>
    <w:tblPr>
      <w:tblStyleRowBandSize w:val="1"/>
      <w:tblStyleColBandSize w:val="1"/>
      <w:tblCellMar>
        <w:left w:w="115.0" w:type="dxa"/>
        <w:right w:w="115.0" w:type="dxa"/>
      </w:tblCellMar>
    </w:tblPr>
  </w:style>
  <w:style w:type="table" w:styleId="7" w:customStyle="1">
    <w:name w:val="7"/>
    <w:basedOn w:val="NormalTable1"/>
    <w:pPr>
      <w:spacing w:after="0" w:line="240" w:lineRule="auto"/>
    </w:pPr>
    <w:tblPr>
      <w:tblStyleRowBandSize w:val="1"/>
      <w:tblStyleColBandSize w:val="1"/>
      <w:tblCellMar>
        <w:left w:w="115.0" w:type="dxa"/>
        <w:right w:w="115.0" w:type="dxa"/>
      </w:tblCellMar>
    </w:tblPr>
  </w:style>
  <w:style w:type="table" w:styleId="6" w:customStyle="1">
    <w:name w:val="6"/>
    <w:basedOn w:val="NormalTable1"/>
    <w:pPr>
      <w:spacing w:after="0" w:line="240" w:lineRule="auto"/>
    </w:pPr>
    <w:tblPr>
      <w:tblStyleRowBandSize w:val="1"/>
      <w:tblStyleColBandSize w:val="1"/>
      <w:tblCellMar>
        <w:left w:w="115.0" w:type="dxa"/>
        <w:right w:w="115.0" w:type="dxa"/>
      </w:tblCellMar>
    </w:tblPr>
  </w:style>
  <w:style w:type="table" w:styleId="5" w:customStyle="1">
    <w:name w:val="5"/>
    <w:basedOn w:val="NormalTable1"/>
    <w:pPr>
      <w:spacing w:after="0" w:line="240" w:lineRule="auto"/>
    </w:pPr>
    <w:tblPr>
      <w:tblStyleRowBandSize w:val="1"/>
      <w:tblStyleColBandSize w:val="1"/>
      <w:tblCellMar>
        <w:left w:w="115.0" w:type="dxa"/>
        <w:right w:w="115.0" w:type="dxa"/>
      </w:tblCellMar>
    </w:tblPr>
  </w:style>
  <w:style w:type="paragraph" w:styleId="Subtitle2" w:customStyle="1">
    <w:name w:val="Subtitle2"/>
    <w:basedOn w:val="Normal2"/>
    <w:next w:val="Normal2"/>
    <w:pPr>
      <w:keepNext w:val="1"/>
      <w:keepLines w:val="1"/>
      <w:spacing w:after="80" w:before="360"/>
    </w:pPr>
    <w:rPr>
      <w:rFonts w:ascii="Georgia" w:cs="Georgia" w:eastAsia="Georgia" w:hAnsi="Georgia"/>
      <w:i w:val="1"/>
      <w:color w:val="666666"/>
      <w:sz w:val="48"/>
      <w:szCs w:val="48"/>
    </w:rPr>
  </w:style>
  <w:style w:type="table" w:styleId="4" w:customStyle="1">
    <w:name w:val="4"/>
    <w:basedOn w:val="NormalTable1"/>
    <w:pPr>
      <w:spacing w:after="0" w:line="240" w:lineRule="auto"/>
    </w:pPr>
    <w:tblPr>
      <w:tblStyleRowBandSize w:val="1"/>
      <w:tblStyleColBandSize w:val="1"/>
      <w:tblCellMar>
        <w:left w:w="115.0" w:type="dxa"/>
        <w:right w:w="115.0" w:type="dxa"/>
      </w:tblCellMar>
    </w:tblPr>
  </w:style>
  <w:style w:type="table" w:styleId="3" w:customStyle="1">
    <w:name w:val="3"/>
    <w:basedOn w:val="NormalTable1"/>
    <w:pPr>
      <w:spacing w:after="0" w:line="240" w:lineRule="auto"/>
    </w:pPr>
    <w:tblPr>
      <w:tblStyleRowBandSize w:val="1"/>
      <w:tblStyleColBandSize w:val="1"/>
      <w:tblCellMar>
        <w:left w:w="115.0" w:type="dxa"/>
        <w:right w:w="115.0" w:type="dxa"/>
      </w:tblCellMar>
    </w:tblPr>
  </w:style>
  <w:style w:type="table" w:styleId="2" w:customStyle="1">
    <w:name w:val="2"/>
    <w:basedOn w:val="NormalTable1"/>
    <w:pPr>
      <w:spacing w:after="0" w:line="240" w:lineRule="auto"/>
    </w:pPr>
    <w:tblPr>
      <w:tblStyleRowBandSize w:val="1"/>
      <w:tblStyleColBandSize w:val="1"/>
      <w:tblCellMar>
        <w:left w:w="115.0" w:type="dxa"/>
        <w:right w:w="115.0" w:type="dxa"/>
      </w:tblCellMar>
    </w:tblPr>
  </w:style>
  <w:style w:type="table" w:styleId="1" w:customStyle="1">
    <w:name w:val="1"/>
    <w:basedOn w:val="NormalTable1"/>
    <w:pPr>
      <w:spacing w:after="0" w:line="240" w:lineRule="auto"/>
    </w:pPr>
    <w:tblPr>
      <w:tblStyleRowBandSize w:val="1"/>
      <w:tblStyleColBandSize w:val="1"/>
      <w:tblCellMar>
        <w:left w:w="115.0" w:type="dxa"/>
        <w:right w:w="115.0" w:type="dxa"/>
      </w:tblCellMar>
    </w:tblPr>
  </w:style>
  <w:style w:type="table" w:styleId="Tablaconcuadrcula">
    <w:name w:val="Table Grid"/>
    <w:basedOn w:val="Tablanormal"/>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EncabezadoCar" w:customStyle="1">
    <w:name w:val="Encabezado Car"/>
    <w:basedOn w:val="Fuentedeprrafopredeter"/>
    <w:link w:val="Encabezado"/>
    <w:uiPriority w:val="99"/>
  </w:style>
  <w:style w:type="paragraph" w:styleId="Encabezado">
    <w:name w:val="header"/>
    <w:basedOn w:val="Normal2"/>
    <w:link w:val="EncabezadoCar"/>
    <w:uiPriority w:val="99"/>
    <w:unhideWhenUsed w:val="1"/>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style>
  <w:style w:type="paragraph" w:styleId="Piedepgina">
    <w:name w:val="footer"/>
    <w:basedOn w:val="Normal2"/>
    <w:link w:val="PiedepginaCar"/>
    <w:uiPriority w:val="99"/>
    <w:unhideWhenUsed w:val="1"/>
    <w:pPr>
      <w:tabs>
        <w:tab w:val="center" w:pos="4680"/>
        <w:tab w:val="right" w:pos="9360"/>
      </w:tabs>
      <w:spacing w:after="0" w:line="240" w:lineRule="auto"/>
    </w:pPr>
  </w:style>
  <w:style w:type="paragraph" w:styleId="Sinespaciado">
    <w:name w:val="No Spacing"/>
    <w:uiPriority w:val="1"/>
    <w:qFormat w:val="1"/>
    <w:rsid w:val="00861D26"/>
    <w:pPr>
      <w:spacing w:after="0" w:line="240" w:lineRule="auto"/>
    </w:pPr>
    <w:rPr>
      <w:rFonts w:asciiTheme="minorHAnsi" w:cstheme="minorBidi" w:eastAsiaTheme="minorHAnsi" w:hAnsiTheme="minorHAnsi"/>
      <w:lang w:eastAsia="en-US"/>
    </w:rPr>
  </w:style>
  <w:style w:type="paragraph" w:styleId="Textoindependiente">
    <w:name w:val="Body Text"/>
    <w:basedOn w:val="Normal"/>
    <w:link w:val="TextoindependienteCar"/>
    <w:qFormat w:val="1"/>
    <w:rsid w:val="002055BC"/>
    <w:pPr>
      <w:spacing w:after="180" w:before="180" w:line="240" w:lineRule="auto"/>
    </w:pPr>
    <w:rPr>
      <w:rFonts w:asciiTheme="minorHAnsi" w:cstheme="minorBidi" w:eastAsiaTheme="minorHAnsi" w:hAnsiTheme="minorHAnsi"/>
      <w:sz w:val="24"/>
      <w:szCs w:val="24"/>
      <w:lang w:eastAsia="en-US" w:val="en-US"/>
    </w:rPr>
  </w:style>
  <w:style w:type="character" w:styleId="TextoindependienteCar" w:customStyle="1">
    <w:name w:val="Texto independiente Car"/>
    <w:basedOn w:val="Fuentedeprrafopredeter"/>
    <w:link w:val="Textoindependiente"/>
    <w:rsid w:val="002055BC"/>
    <w:rPr>
      <w:rFonts w:asciiTheme="minorHAnsi" w:cstheme="minorBidi" w:eastAsiaTheme="minorHAnsi" w:hAnsiTheme="minorHAnsi"/>
      <w:sz w:val="24"/>
      <w:szCs w:val="24"/>
      <w:lang w:eastAsia="en-US" w:val="en-US"/>
    </w:rPr>
  </w:style>
  <w:style w:type="paragraph" w:styleId="FirstParagraph" w:customStyle="1">
    <w:name w:val="First Paragraph"/>
    <w:basedOn w:val="Textoindependiente"/>
    <w:next w:val="Textoindependiente"/>
    <w:qFormat w:val="1"/>
    <w:rsid w:val="002055BC"/>
  </w:style>
  <w:style w:type="paragraph" w:styleId="Compact" w:customStyle="1">
    <w:name w:val="Compact"/>
    <w:basedOn w:val="Textoindependiente"/>
    <w:qFormat w:val="1"/>
    <w:rsid w:val="002055BC"/>
    <w:pPr>
      <w:spacing w:after="36" w:before="36"/>
    </w:pPr>
  </w:style>
  <w:style w:type="paragraph" w:styleId="Prrafodelista">
    <w:name w:val="List Paragraph"/>
    <w:basedOn w:val="Normal"/>
    <w:uiPriority w:val="1"/>
    <w:qFormat w:val="1"/>
    <w:rsid w:val="00CE70A6"/>
    <w:pPr>
      <w:ind w:left="720"/>
      <w:contextualSpacing w:val="1"/>
    </w:pPr>
  </w:style>
  <w:style w:type="paragraph" w:styleId="paragraph" w:customStyle="1">
    <w:name w:val="paragraph"/>
    <w:basedOn w:val="Normal"/>
    <w:rsid w:val="00E4451F"/>
    <w:pPr>
      <w:spacing w:after="100" w:afterAutospacing="1" w:before="100" w:beforeAutospacing="1" w:line="240" w:lineRule="auto"/>
    </w:pPr>
    <w:rPr>
      <w:rFonts w:ascii="Times New Roman" w:cs="Times New Roman" w:eastAsia="Times New Roman" w:hAnsi="Times New Roman"/>
      <w:sz w:val="24"/>
      <w:szCs w:val="24"/>
    </w:rPr>
  </w:style>
  <w:style w:type="character" w:styleId="normaltextrun" w:customStyle="1">
    <w:name w:val="normaltextrun"/>
    <w:basedOn w:val="Fuentedeprrafopredeter"/>
    <w:rsid w:val="00E4451F"/>
  </w:style>
  <w:style w:type="character" w:styleId="eop" w:customStyle="1">
    <w:name w:val="eop"/>
    <w:basedOn w:val="Fuentedeprrafopredeter"/>
    <w:rsid w:val="00E4451F"/>
  </w:style>
  <w:style w:type="table" w:styleId="a" w:customStyle="1">
    <w:basedOn w:val="TableNormal2"/>
    <w:tblPr>
      <w:tblStyleRowBandSize w:val="1"/>
      <w:tblStyleColBandSize w:val="1"/>
      <w:tblCellMar>
        <w:top w:w="0.0" w:type="dxa"/>
        <w:left w:w="70.0" w:type="dxa"/>
        <w:bottom w:w="0.0" w:type="dxa"/>
        <w:right w:w="70.0" w:type="dxa"/>
      </w:tblCellMar>
    </w:tblPr>
  </w:style>
  <w:style w:type="table" w:styleId="a0" w:customStyle="1">
    <w:basedOn w:val="TableNormal2"/>
    <w:tblPr>
      <w:tblStyleRowBandSize w:val="1"/>
      <w:tblStyleColBandSize w:val="1"/>
      <w:tblCellMar>
        <w:top w:w="15.0" w:type="dxa"/>
        <w:left w:w="15.0" w:type="dxa"/>
        <w:bottom w:w="15.0" w:type="dxa"/>
        <w:right w:w="15.0" w:type="dxa"/>
      </w:tblCellMar>
    </w:tblPr>
  </w:style>
  <w:style w:type="table" w:styleId="a1" w:customStyle="1">
    <w:basedOn w:val="TableNormal2"/>
    <w:tblPr>
      <w:tblStyleRowBandSize w:val="1"/>
      <w:tblStyleColBandSize w:val="1"/>
      <w:tblCellMar>
        <w:top w:w="15.0" w:type="dxa"/>
        <w:left w:w="15.0" w:type="dxa"/>
        <w:bottom w:w="15.0" w:type="dxa"/>
        <w:right w:w="15.0" w:type="dxa"/>
      </w:tblCellMar>
    </w:tblPr>
  </w:style>
  <w:style w:type="table" w:styleId="a2" w:customStyle="1">
    <w:basedOn w:val="TableNormal2"/>
    <w:tblPr>
      <w:tblStyleRowBandSize w:val="1"/>
      <w:tblStyleColBandSize w:val="1"/>
      <w:tblCellMar>
        <w:top w:w="15.0" w:type="dxa"/>
        <w:left w:w="15.0" w:type="dxa"/>
        <w:bottom w:w="15.0" w:type="dxa"/>
        <w:right w:w="15.0" w:type="dxa"/>
      </w:tblCellMar>
    </w:tblPr>
  </w:style>
  <w:style w:type="table" w:styleId="a3" w:customStyle="1">
    <w:basedOn w:val="TableNormal2"/>
    <w:pPr>
      <w:spacing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color="auto" w:fill="d3dfee" w:val="clear"/>
    </w:tcPr>
  </w:style>
  <w:style w:type="table" w:styleId="a4" w:customStyle="1">
    <w:basedOn w:val="TableNormal2"/>
    <w:pPr>
      <w:spacing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color="auto" w:fill="d3dfee" w:val="clear"/>
    </w:tcPr>
  </w:style>
  <w:style w:type="table" w:styleId="a5" w:customStyle="1">
    <w:basedOn w:val="TableNormal2"/>
    <w:pPr>
      <w:spacing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color="auto" w:fill="d3dfee" w:val="clear"/>
    </w:tcPr>
  </w:style>
  <w:style w:type="table" w:styleId="a6" w:customStyle="1">
    <w:basedOn w:val="TableNormal2"/>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color="auto" w:fill="d3dfee" w:val="clear"/>
    </w:tcPr>
  </w:style>
  <w:style w:type="table" w:styleId="a7" w:customStyle="1">
    <w:basedOn w:val="TableNormal2"/>
    <w:tblPr>
      <w:tblStyleRowBandSize w:val="1"/>
      <w:tblStyleColBandSize w:val="1"/>
      <w:tblCellMar>
        <w:top w:w="100.0" w:type="dxa"/>
        <w:left w:w="100.0" w:type="dxa"/>
        <w:bottom w:w="100.0" w:type="dxa"/>
        <w:right w:w="100.0" w:type="dxa"/>
      </w:tblCellMar>
    </w:tblPr>
  </w:style>
  <w:style w:type="table" w:styleId="a8" w:customStyle="1">
    <w:basedOn w:val="TableNormal2"/>
    <w:pPr>
      <w:spacing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color="auto" w:fill="d3dfee" w:val="clear"/>
    </w:tcPr>
  </w:style>
  <w:style w:type="table" w:styleId="a9" w:customStyle="1">
    <w:basedOn w:val="TableNormal2"/>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color="auto" w:fill="d3dfee" w:val="clear"/>
    </w:tcPr>
  </w:style>
  <w:style w:type="table" w:styleId="aa" w:customStyle="1">
    <w:basedOn w:val="TableNormal2"/>
    <w:tblPr>
      <w:tblStyleRowBandSize w:val="1"/>
      <w:tblStyleColBandSize w:val="1"/>
      <w:tblCellMar>
        <w:top w:w="100.0" w:type="dxa"/>
        <w:left w:w="100.0" w:type="dxa"/>
        <w:bottom w:w="100.0" w:type="dxa"/>
        <w:right w:w="100.0" w:type="dxa"/>
      </w:tblCellMar>
    </w:tblPr>
  </w:style>
  <w:style w:type="table" w:styleId="Table1">
    <w:basedOn w:val="TableNormal"/>
    <w:pPr>
      <w:spacing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 w:type="table" w:styleId="Table2">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 w:type="table" w:styleId="Table2">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s>
</file>

<file path=word/_rels/document.xml.rels><?xml version="1.0" encoding="UTF-8" standalone="yes"?><Relationships xmlns="http://schemas.openxmlformats.org/package/2006/relationships"><Relationship Id="rId11" Type="http://schemas.openxmlformats.org/officeDocument/2006/relationships/hyperlink" Target="http://www.who.int/csr/resources/publications/ES_WHO_CDS_CSR_EPH_2002_12.pdf" TargetMode="External"/><Relationship Id="rId10" Type="http://schemas.openxmlformats.org/officeDocument/2006/relationships/hyperlink" Target="http://190.25.230.149:8080/dspace/bitstream/123456789/541/1/vigilancia%20infecciones%20intrahospitalarias.pdf"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ZTx8a2O3OjDIdpDFmPAVau9CfSoECpIo/edit?usp=drive_link&amp;ouid=114196465456272126319&amp;rtpof=true&amp;sd=true" TargetMode="External"/><Relationship Id="rId15" Type="http://schemas.openxmlformats.org/officeDocument/2006/relationships/footer" Target="footer1.xml"/><Relationship Id="rId14" Type="http://schemas.openxmlformats.org/officeDocument/2006/relationships/header" Target="header3.xml"/><Relationship Id="rId17" Type="http://schemas.openxmlformats.org/officeDocument/2006/relationships/footer" Target="footer3.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drive.google.com/file/d/1WelMHFcGvsbbNPvzR44-_VzUuIB_jOeo/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7VbStsVj9pCUYs96oRxSqAOj4w==">CgMxLjA4AHIhMXh6RkhSWU54cy1QUGphWGUzLTFBcnNSaHB1LVUwTktY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2021-07-16T05:25:00Z</dcterms:created>
  <dc:creator>Carolina</dc:creator>
</cp:coreProperties>
</file>