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POLÍTICA N° 001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POLÍTICA DE SEGURIDAD DEL PACIENTE </w:t>
      </w:r>
    </w:p>
    <w:p w:rsidR="00000000" w:rsidDel="00000000" w:rsidP="00000000" w:rsidRDefault="00000000" w:rsidRPr="00000000" w14:paraId="00000003">
      <w:pPr>
        <w:spacing w:after="240" w:before="240" w:line="240" w:lineRule="auto"/>
        <w:ind w:left="-425" w:right="-646" w:firstLine="0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En ENDOCRINOLOGY &amp; HEALTH S.A.S reafirmamos nuestro compromiso con la prestación de servicios de salud con calidad, calidez y seguridad, promoviendo una cultura institucional de seguridad del paciente, basada en principios de cultura justa, educativa, no punitiva, sin que ello signifique tolerancia a la negligencia o a la irresponsabilidad.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-425" w:right="-646" w:firstLine="0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La seguridad del paciente es un pilar fundamental de nuestra gestión de calidad, e implica un trabajo constante en la identificación, prevención y gestión de riesgos asociados a riesgos laborales, promoviendo entornos protectores y confiables para usuarios, familias y colaboradores. Se tienen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en cuenta los siguientes principios orientadores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Enfoque de atención centrado en el usuario: Significa que lo importante son los resultados obtenidos en él y su seguridad, lo cual es el eje alrededor del cual giran todas las acciones de seguridad del paciente.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Cultura de Seguridad: El ambiente de despliegue de las acciones de seguridad del paciente deben darse en un entorno de confidencialidad y de confianza entre Usuarios, profesionales, aseguradores y la comunidad. Es deber de los diferentes actores del sistema facilitar las condiciones que permitan dicho ambiente.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Integración con el Sistema Obligatorio de Garantía de Calidad de la Atención en Salud: La política de seguridad del paciente es parte integral del Sistema Obligatorio de Garantía de Calidad de la Atención en Salud, y es transversal a todos sus componentes.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Multicausalidad: El problema de la seguridad del paciente es un problema sistémico y multicausal en el cual deben involucrarse los diferentes procesos y los diferentes actores.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Validez: Para impactar se requiere implementar metodologías y herramientas prácticas, soportadas en la evidencia científica disponible.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Alianza con el Usuario y su familia: La política de seguridad debe contar con los Usuarios y sus familias involucrándose en sus acciones de mejora.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Alianza con el profesional de la salud: La política de seguridad parte del reconocimiento del carácter ético de la atención brindada por el profesional de la salud y de la complejidad de estos procesos por lo cual contará con la activa participación de ellos y procurará defenderlo de señalamientos injustificados.</w:t>
      </w:r>
    </w:p>
    <w:p w:rsidR="00000000" w:rsidDel="00000000" w:rsidP="00000000" w:rsidRDefault="00000000" w:rsidRPr="00000000" w14:paraId="0000000C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vertAlign w:val="baseline"/>
          <w:rtl w:val="0"/>
        </w:rPr>
        <w:t xml:space="preserve">Esta política debe ser divulgada y conocida por todo el personal.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2172653</wp:posOffset>
            </wp:positionH>
            <wp:positionV relativeFrom="paragraph">
              <wp:posOffset>390525</wp:posOffset>
            </wp:positionV>
            <wp:extent cx="1267778" cy="544188"/>
            <wp:effectExtent b="0" l="0" r="0" t="0"/>
            <wp:wrapNone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7778" cy="544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vertAlign w:val="baseline"/>
          <w:rtl w:val="0"/>
        </w:rPr>
        <w:t xml:space="preserve">Atentamente,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z w:val="20"/>
          <w:szCs w:val="20"/>
          <w:rtl w:val="0"/>
        </w:rPr>
        <w:t xml:space="preserve">Carlos Vizcaino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z w:val="20"/>
          <w:szCs w:val="20"/>
          <w:rtl w:val="0"/>
        </w:rPr>
        <w:t xml:space="preserve">Gerente Endocrinology &amp; Health 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2" w:w="12242" w:orient="portrait"/>
      <w:pgMar w:bottom="666.9685039370097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spacing w:after="0" w:line="240" w:lineRule="auto"/>
      <w:rPr>
        <w:sz w:val="10"/>
        <w:szCs w:val="1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"/>
        <w:szCs w:val="2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-228599</wp:posOffset>
          </wp:positionH>
          <wp:positionV relativeFrom="paragraph">
            <wp:posOffset>114300</wp:posOffset>
          </wp:positionV>
          <wp:extent cx="1466850" cy="48260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6850" cy="482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10005.0" w:type="dxa"/>
      <w:jc w:val="left"/>
      <w:tblInd w:w="-51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535"/>
      <w:gridCol w:w="5190"/>
      <w:gridCol w:w="2280"/>
      <w:tblGridChange w:id="0">
        <w:tblGrid>
          <w:gridCol w:w="2535"/>
          <w:gridCol w:w="5190"/>
          <w:gridCol w:w="2280"/>
        </w:tblGrid>
      </w:tblGridChange>
    </w:tblGrid>
    <w:tr>
      <w:trPr>
        <w:cantSplit w:val="0"/>
        <w:trHeight w:val="1119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12">
          <w:pPr>
            <w:tabs>
              <w:tab w:val="right" w:leader="none" w:pos="9003"/>
            </w:tabs>
            <w:spacing w:after="0" w:line="240" w:lineRule="auto"/>
            <w:rPr>
              <w:rFonts w:ascii="Arial" w:cs="Arial" w:eastAsia="Arial" w:hAnsi="Arial"/>
              <w:b w:val="0"/>
              <w:bCs w:val="0"/>
              <w:sz w:val="24"/>
              <w:szCs w:val="24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POLÍTICA DE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4"/>
              <w:szCs w:val="24"/>
              <w:rtl w:val="0"/>
            </w:rPr>
            <w:t xml:space="preserve">SEGURIDAD DEL PACIENTE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entury Gothic" w:cs="Century Gothic" w:eastAsia="Century Gothic" w:hAnsi="Century Gothic"/>
              <w:color w:val="1f1f1f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8"/>
              <w:szCs w:val="18"/>
              <w:rtl w:val="0"/>
            </w:rPr>
            <w:t xml:space="preserve">Código: </w:t>
          </w:r>
          <w:r w:rsidDel="00000000" w:rsidR="00000000" w:rsidRPr="00000000">
            <w:rPr>
              <w:rFonts w:ascii="Century Gothic" w:cs="Century Gothic" w:eastAsia="Century Gothic" w:hAnsi="Century Gothic"/>
              <w:color w:val="1f1f1f"/>
              <w:sz w:val="18"/>
              <w:szCs w:val="18"/>
              <w:highlight w:val="white"/>
              <w:rtl w:val="0"/>
            </w:rPr>
            <w:t xml:space="preserve">PP-PL-001</w:t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entury Gothic" w:cs="Century Gothic" w:eastAsia="Century Gothic" w:hAnsi="Century Gothic"/>
              <w:color w:val="1f1f1f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f1f1f"/>
              <w:sz w:val="18"/>
              <w:szCs w:val="18"/>
              <w:highlight w:val="white"/>
              <w:rtl w:val="0"/>
            </w:rPr>
            <w:t xml:space="preserve">Versión: 2</w:t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entury Gothic" w:cs="Century Gothic" w:eastAsia="Century Gothic" w:hAnsi="Century Gothic"/>
              <w:color w:val="1f1f1f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f1f1f"/>
              <w:sz w:val="18"/>
              <w:szCs w:val="18"/>
              <w:highlight w:val="white"/>
              <w:rtl w:val="0"/>
            </w:rPr>
            <w:t xml:space="preserve">Emisión: ene 2025</w:t>
          </w:r>
        </w:p>
      </w:tc>
    </w:tr>
  </w:tbl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CO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uadrículamedia2">
    <w:name w:val="Cuadrícula media 2"/>
    <w:next w:val="Cuadrículamedia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CO"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CO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CO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LbmhgMyXY1JGY8T2fycM5WMWEA==">CgMxLjA4AHIhMW5fd1VmZ1JaVDBFb0NNUm9RcExTU0huajRvOVNDbDlJ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2018-07-09T22:53:00Z</dcterms:created>
  <dc:creator>MI PC</dc:creator>
</cp:coreProperties>
</file>