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tabs>
          <w:tab w:val="center" w:leader="none" w:pos="4419"/>
          <w:tab w:val="right" w:leader="none" w:pos="8838"/>
        </w:tabs>
        <w:spacing w:after="0" w:line="240" w:lineRule="auto"/>
        <w:jc w:val="center"/>
        <w:rPr>
          <w:rFonts w:ascii="Arial" w:cs="Arial" w:eastAsia="Arial" w:hAnsi="Arial"/>
          <w:b w:val="1"/>
          <w:sz w:val="56"/>
          <w:szCs w:val="56"/>
        </w:rPr>
      </w:pPr>
      <w:r w:rsidDel="00000000" w:rsidR="00000000" w:rsidRPr="00000000">
        <w:rPr>
          <w:rFonts w:ascii="Arial" w:cs="Arial" w:eastAsia="Arial" w:hAnsi="Arial"/>
          <w:b w:val="1"/>
          <w:sz w:val="56"/>
          <w:szCs w:val="56"/>
          <w:rtl w:val="0"/>
        </w:rPr>
        <w:t xml:space="preserve">PROGRAMA DE </w:t>
      </w:r>
    </w:p>
    <w:p w:rsidR="00000000" w:rsidDel="00000000" w:rsidP="00000000" w:rsidRDefault="00000000" w:rsidRPr="00000000" w14:paraId="00000009">
      <w:pPr>
        <w:tabs>
          <w:tab w:val="center" w:leader="none" w:pos="4419"/>
          <w:tab w:val="right" w:leader="none" w:pos="8838"/>
        </w:tabs>
        <w:spacing w:after="0" w:line="240" w:lineRule="auto"/>
        <w:jc w:val="center"/>
        <w:rPr>
          <w:rFonts w:ascii="Arial" w:cs="Arial" w:eastAsia="Arial" w:hAnsi="Arial"/>
          <w:sz w:val="56"/>
          <w:szCs w:val="56"/>
        </w:rPr>
      </w:pPr>
      <w:r w:rsidDel="00000000" w:rsidR="00000000" w:rsidRPr="00000000">
        <w:rPr>
          <w:rFonts w:ascii="Arial" w:cs="Arial" w:eastAsia="Arial" w:hAnsi="Arial"/>
          <w:b w:val="1"/>
          <w:sz w:val="56"/>
          <w:szCs w:val="56"/>
          <w:rtl w:val="0"/>
        </w:rPr>
        <w:t xml:space="preserve">SEGURIDAD DEL PACIENTE</w:t>
      </w: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i w:val="0"/>
          <w:smallCaps w:val="0"/>
          <w:strike w:val="0"/>
          <w:color w:val="2e75b5"/>
          <w:sz w:val="24"/>
          <w:szCs w:val="24"/>
          <w:u w:val="none"/>
          <w:shd w:fill="auto" w:val="clear"/>
          <w:vertAlign w:val="baseline"/>
        </w:rPr>
      </w:pPr>
      <w:r w:rsidDel="00000000" w:rsidR="00000000" w:rsidRPr="00000000">
        <w:rPr>
          <w:rFonts w:ascii="Arial" w:cs="Arial" w:eastAsia="Arial" w:hAnsi="Arial"/>
          <w:b w:val="0"/>
          <w:i w:val="0"/>
          <w:smallCaps w:val="0"/>
          <w:strike w:val="0"/>
          <w:color w:val="2e75b5"/>
          <w:sz w:val="24"/>
          <w:szCs w:val="24"/>
          <w:u w:val="none"/>
          <w:shd w:fill="auto" w:val="clear"/>
          <w:vertAlign w:val="baseline"/>
          <w:rtl w:val="0"/>
        </w:rPr>
        <w:t xml:space="preserve">Conte</w:t>
      </w:r>
      <w:r w:rsidDel="00000000" w:rsidR="00000000" w:rsidRPr="00000000">
        <w:rPr>
          <w:rFonts w:ascii="Arial" w:cs="Arial" w:eastAsia="Arial" w:hAnsi="Arial"/>
          <w:i w:val="0"/>
          <w:smallCaps w:val="0"/>
          <w:strike w:val="0"/>
          <w:color w:val="2e75b5"/>
          <w:sz w:val="24"/>
          <w:szCs w:val="24"/>
          <w:u w:val="none"/>
          <w:shd w:fill="auto" w:val="clear"/>
          <w:vertAlign w:val="baseline"/>
          <w:rtl w:val="0"/>
        </w:rPr>
        <w:t xml:space="preserve">nido</w:t>
      </w:r>
    </w:p>
    <w:sdt>
      <w:sdtPr>
        <w:id w:val="1580318696"/>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xfjlixihu3t">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w:t>
              <w:tab/>
              <w:t xml:space="preserve">ALCANCE</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wuphy5bp64iq">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3.</w:t>
              <w:tab/>
              <w:t xml:space="preserve">DEFINICIONES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6bj3fbwr0ul5">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w:t>
              <w:tab/>
              <w:t xml:space="preserve">POLÍTICA INSTITUCIONAL DE SEGURIDAD DEL PACIENTE</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4.1 POLÍTICA DE SEGURIDAD DEL PACIENTE</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5thb4qpxopx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4.2 PRINCIPIOS ORIENTADORES DE LA POLÍTICA</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5.</w:t>
              <w:tab/>
              <w:t xml:space="preserve">COMITÉ SEGURIDAD DEL PACIENTE</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7mi02axo6qy7">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6.</w:t>
              <w:tab/>
              <w:t xml:space="preserve">REFERENTE O LÍDER DEL PROGRAMA DE SEGURIDAD DEL PACIENTE</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2up3vmk3gtk">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7.</w:t>
              <w:tab/>
              <w:t xml:space="preserve">PROCESOS PARA LA DETECCIÓN DE LA OCURRENCIA DE EVENTOS ADVERSOS: Reporte, Medición, Análisis Y Gestión De Los Eventos Adversos</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7.1</w:t>
              <w:tab/>
              <w:t xml:space="preserve">Metodología Reporte Eventos Adversos</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7.2</w:t>
              <w:tab/>
              <w:t xml:space="preserve">Procedimiento en caso de evento adverso o incidente:</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3as4poj">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7.3 Gestión para identificar barreras de seguridad:</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8.</w:t>
              <w:tab/>
              <w:t xml:space="preserve">METODOLOGÍAS PARA EL ANÁLISIS DE LOS EVENTOS ADVERSO: Procedimiento de análisis mediante Protocolo de Londres.</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9.</w:t>
              <w:tab/>
              <w:t xml:space="preserve">ESTRATEGIAS PARA PROFUNDIZAR LA CULTURA INSTITUCIONAL DE SEGURIDAD DEL PACIENTE:</w:t>
              <w:tab/>
              <w:t xml:space="preserve">15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z337ya">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9.1 Rondas de Seguridad del Paciente:</w:t>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3j2qqm3">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9.2 Plan de capacitación en temas de Seguridad del Paciente</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1y810tw">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9.3 Campañas Internas</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4i7ojhp">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9.4 Encuesta de Seguridad del Paciente:</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q2fa0urir600">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10.</w:t>
              <w:tab/>
              <w:t xml:space="preserve">BUENAS PRÁCTICAS EN SEGURIDAD DEL PACIENTE</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2xcytpi">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10.1</w:t>
              <w:tab/>
              <w:t xml:space="preserve">Asegura la correcta identificación del paciente en los servicios asistenciales:</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1ci93xb">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10.2</w:t>
              <w:tab/>
              <w:t xml:space="preserve">Detectar, prevenir y reducir infecciones asociadas con la atención en salud:</w:t>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3whwml4">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10.3</w:t>
              <w:tab/>
              <w:t xml:space="preserve">Detectar, analizar y gestionar eventos adversos. (ver punto 7 )</w:t>
              <w:tab/>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2bn6wsx">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10.4 Garantizar la funcionalidad de los procedimientos de consentimiento informado:</w:t>
              <w:tab/>
              <w:t xml:space="preserve">18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76" w:lineRule="auto"/>
            <w:ind w:left="220" w:right="0" w:firstLine="0"/>
            <w:jc w:val="both"/>
            <w:rPr>
              <w:rFonts w:ascii="Arial" w:cs="Arial" w:eastAsia="Arial" w:hAnsi="Arial"/>
              <w:i w:val="0"/>
              <w:smallCaps w:val="0"/>
              <w:strike w:val="0"/>
              <w:color w:val="000000"/>
              <w:sz w:val="24"/>
              <w:szCs w:val="24"/>
              <w:u w:val="none"/>
              <w:shd w:fill="auto" w:val="clear"/>
              <w:vertAlign w:val="baseline"/>
            </w:rPr>
          </w:pPr>
          <w:hyperlink w:anchor="_heading=h.1pxezwc">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10.5</w:t>
              <w:tab/>
              <w:t xml:space="preserve">Procesos para la prevención y reducción de la frecuencia de caídas:</w:t>
              <w:tab/>
              <w:t xml:space="preserve">20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w6kg48764ib">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11</w:t>
              <w:tab/>
              <w:t xml:space="preserve">INDICADORES PARA LA SEGURIDAD DEL PACIENTE:</w:t>
              <w:tab/>
              <w:t xml:space="preserve">22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hyperlink w:anchor="_heading=h.qsh70q">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12</w:t>
              <w:tab/>
              <w:t xml:space="preserve">REGISTROS RELACIONADOS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Sensibilizar en el personal de salud las buenas prácticas de atención y brindar al paciente y a su familia confianza, tranquilidad y seguridad en la atención prestada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 Objetivos Específicos</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Incentivar, promover y gestionar la implementación de las prácticas seguras de la atención en salud.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Orientar   y    direccionar   las    políticas      y    estrategias   institucionales    hacia la promoción de una atención en salud segura.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Disminuir el riesgo en la atención en salud brindada a los pacientes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72" w:hanging="360"/>
        <w:jc w:val="both"/>
        <w:rPr>
          <w:sz w:val="24"/>
          <w:szCs w:val="24"/>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Educar a los pacientes y familiares en el conocimiento y abordaje de los factores que puedan incidir    en mejorar la seguridad de los procesos de atención de que son sujetos</w:t>
      </w: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E">
      <w:pPr>
        <w:pStyle w:val="Heading1"/>
        <w:numPr>
          <w:ilvl w:val="0"/>
          <w:numId w:val="4"/>
        </w:numPr>
        <w:ind w:left="360" w:hanging="360"/>
        <w:jc w:val="both"/>
        <w:rPr/>
      </w:pPr>
      <w:bookmarkStart w:colFirst="0" w:colLast="0" w:name="_heading=h.1xfjlixihu3t" w:id="0"/>
      <w:bookmarkEnd w:id="0"/>
      <w:r w:rsidDel="00000000" w:rsidR="00000000" w:rsidRPr="00000000">
        <w:rPr>
          <w:rtl w:val="0"/>
        </w:rPr>
        <w:t xml:space="preserve">ALCANCE</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programa es de aplicación   a   todos   los   procesos, desde   que      el   paciente ingresa a la IPS hasta que el paciente recibe la información de su próxima cita.</w:t>
      </w:r>
    </w:p>
    <w:p w:rsidR="00000000" w:rsidDel="00000000" w:rsidP="00000000" w:rsidRDefault="00000000" w:rsidRPr="00000000" w14:paraId="00000040">
      <w:pPr>
        <w:pStyle w:val="Heading1"/>
        <w:numPr>
          <w:ilvl w:val="0"/>
          <w:numId w:val="4"/>
        </w:numPr>
        <w:ind w:left="360" w:hanging="360"/>
        <w:jc w:val="both"/>
        <w:rPr/>
      </w:pPr>
      <w:bookmarkStart w:colFirst="0" w:colLast="0" w:name="_heading=h.wuphy5bp64iq" w:id="1"/>
      <w:bookmarkEnd w:id="1"/>
      <w:r w:rsidDel="00000000" w:rsidR="00000000" w:rsidRPr="00000000">
        <w:rPr>
          <w:rtl w:val="0"/>
        </w:rPr>
        <w:t xml:space="preserve">DEFINICIONES</w:t>
      </w:r>
    </w:p>
    <w:p w:rsidR="00000000" w:rsidDel="00000000" w:rsidP="00000000" w:rsidRDefault="00000000" w:rsidRPr="00000000" w14:paraId="00000041">
      <w:pPr>
        <w:jc w:val="both"/>
        <w:rPr>
          <w:rFonts w:ascii="Arial" w:cs="Arial" w:eastAsia="Arial" w:hAnsi="Arial"/>
          <w:sz w:val="24"/>
          <w:szCs w:val="24"/>
        </w:rPr>
      </w:pPr>
      <w:bookmarkStart w:colFirst="0" w:colLast="0" w:name="_heading=h.mnpl9x6xpbi3" w:id="2"/>
      <w:bookmarkEnd w:id="2"/>
      <w:r w:rsidDel="00000000" w:rsidR="00000000" w:rsidRPr="00000000">
        <w:rPr>
          <w:rFonts w:ascii="Arial" w:cs="Arial" w:eastAsia="Arial" w:hAnsi="Arial"/>
          <w:sz w:val="24"/>
          <w:szCs w:val="24"/>
          <w:rtl w:val="0"/>
        </w:rPr>
        <w:t xml:space="preserve">ACCIONES DE REDUCCIÓN DE RIESGO: Son todas aquellas intervenciones que se hacen en estructuras o en procesos de atención en salud para minimizar la probabilidad de ocurrencia de un incidente o evento adverso. Tales acciones pueden ser proactivas o reactivas, proactivas como el análisis de modo y falla y el análisis probabilístico del riesgo mientras que las acciones reactivas son aquellas derivadas del aprendizaje obtenido luego de la presentación del incidente o evento adverso, como por ejemplo el análisis de ruta causal.</w:t>
      </w:r>
    </w:p>
    <w:p w:rsidR="00000000" w:rsidDel="00000000" w:rsidP="00000000" w:rsidRDefault="00000000" w:rsidRPr="00000000" w14:paraId="00000042">
      <w:pPr>
        <w:jc w:val="both"/>
        <w:rPr>
          <w:rFonts w:ascii="Arial" w:cs="Arial" w:eastAsia="Arial" w:hAnsi="Arial"/>
          <w:sz w:val="24"/>
          <w:szCs w:val="24"/>
        </w:rPr>
      </w:pPr>
      <w:bookmarkStart w:colFirst="0" w:colLast="0" w:name="_heading=h.z8ajep9xsss4" w:id="3"/>
      <w:bookmarkEnd w:id="3"/>
      <w:r w:rsidDel="00000000" w:rsidR="00000000" w:rsidRPr="00000000">
        <w:rPr>
          <w:rFonts w:ascii="Arial" w:cs="Arial" w:eastAsia="Arial" w:hAnsi="Arial"/>
          <w:sz w:val="24"/>
          <w:szCs w:val="24"/>
          <w:rtl w:val="0"/>
        </w:rPr>
        <w:t xml:space="preserve">ATENCIÓN DE SALUD: Se define como el conjunto de servicios que se prestan al usuario en el marco de los procesos propios del aseguramiento, así como de las actividades, procedimientos e intervenciones asistenciales en las fases de promoción y prevención, diagnóstico, tratamiento y rehabilitación que se prestan a toda la población.</w:t>
      </w:r>
    </w:p>
    <w:p w:rsidR="00000000" w:rsidDel="00000000" w:rsidP="00000000" w:rsidRDefault="00000000" w:rsidRPr="00000000" w14:paraId="00000043">
      <w:pPr>
        <w:jc w:val="both"/>
        <w:rPr>
          <w:rFonts w:ascii="Arial" w:cs="Arial" w:eastAsia="Arial" w:hAnsi="Arial"/>
          <w:sz w:val="24"/>
          <w:szCs w:val="24"/>
        </w:rPr>
      </w:pPr>
      <w:bookmarkStart w:colFirst="0" w:colLast="0" w:name="_heading=h.ky6wmyjcv98w" w:id="4"/>
      <w:bookmarkEnd w:id="4"/>
      <w:r w:rsidDel="00000000" w:rsidR="00000000" w:rsidRPr="00000000">
        <w:rPr>
          <w:rFonts w:ascii="Arial" w:cs="Arial" w:eastAsia="Arial" w:hAnsi="Arial"/>
          <w:sz w:val="24"/>
          <w:szCs w:val="24"/>
          <w:rtl w:val="0"/>
        </w:rPr>
        <w:t xml:space="preserve">BARRERA DE SEGURIDAD: Una acción o circunstancia que reduce la probabilidad de presentación del incidente o evento adverso.</w:t>
      </w:r>
    </w:p>
    <w:p w:rsidR="00000000" w:rsidDel="00000000" w:rsidP="00000000" w:rsidRDefault="00000000" w:rsidRPr="00000000" w14:paraId="00000044">
      <w:pPr>
        <w:jc w:val="both"/>
        <w:rPr>
          <w:rFonts w:ascii="Arial" w:cs="Arial" w:eastAsia="Arial" w:hAnsi="Arial"/>
          <w:sz w:val="24"/>
          <w:szCs w:val="24"/>
        </w:rPr>
      </w:pPr>
      <w:bookmarkStart w:colFirst="0" w:colLast="0" w:name="_heading=h.d2oih4aqre8i" w:id="5"/>
      <w:bookmarkEnd w:id="5"/>
      <w:r w:rsidDel="00000000" w:rsidR="00000000" w:rsidRPr="00000000">
        <w:rPr>
          <w:rFonts w:ascii="Arial" w:cs="Arial" w:eastAsia="Arial" w:hAnsi="Arial"/>
          <w:sz w:val="24"/>
          <w:szCs w:val="24"/>
          <w:rtl w:val="0"/>
        </w:rPr>
        <w:t xml:space="preserve">BUENAS PRÁCTICAS DE SEGURIDAD DEL PACIENTE: Una Buena Práctica es una experiencia o intervención que ha arrojado resultados positivos, siendo eficaz y útil en un contexto concreto, contribuyendo al afrontamiento, regulación, mejora o solución de problemas y/o dificultades que se presenten en el trabajo diario en el ámbito clínico, de la gestión, de la satisfacción al usuario u otros, Ésta cumple con características como: resultados valioso para el usuario, sencilla y simple, emerge como respuesta a una situación que es necesario modificar o mejorar, pertinente y adecuada al contexto local en donde se implementa, sostenible en el tiempo (puede mantenerse y producir efectos duraderos), fomenta la replicación de la experiencia en una situación distinta pero con condiciones similares, innovadora (entendiendo que la innovación no sólo implica una nueva acción sino que puede ser un modo diferente y creativo de realizar prácticas tradicionales o de reorganizarse) y considera elementos de evaluación de resultados, retroalimentación de las acciones y reorganización de ellas a partir de lo aprendido.</w:t>
      </w:r>
    </w:p>
    <w:p w:rsidR="00000000" w:rsidDel="00000000" w:rsidP="00000000" w:rsidRDefault="00000000" w:rsidRPr="00000000" w14:paraId="00000045">
      <w:pPr>
        <w:jc w:val="both"/>
        <w:rPr>
          <w:rFonts w:ascii="Arial" w:cs="Arial" w:eastAsia="Arial" w:hAnsi="Arial"/>
          <w:sz w:val="24"/>
          <w:szCs w:val="24"/>
        </w:rPr>
      </w:pPr>
      <w:bookmarkStart w:colFirst="0" w:colLast="0" w:name="_heading=h.ekfcdjpf6xpe" w:id="6"/>
      <w:bookmarkEnd w:id="6"/>
      <w:r w:rsidDel="00000000" w:rsidR="00000000" w:rsidRPr="00000000">
        <w:rPr>
          <w:rFonts w:ascii="Arial" w:cs="Arial" w:eastAsia="Arial" w:hAnsi="Arial"/>
          <w:sz w:val="24"/>
          <w:szCs w:val="24"/>
          <w:rtl w:val="0"/>
        </w:rPr>
        <w:t xml:space="preserve">CALIDAD DE LA ATENCIÓN EN SALUD: Se entiende como la provisión de servicios de salud a los usuarios individuales y colectivos de manera accesible y equitativa, a través de un nivel profesional óptimo, teniendo en cuenta el balance entre beneficios, riesgos y costos, con el propósito de lograr la adhesión y satisfacción de dichos usuarios.</w:t>
      </w:r>
    </w:p>
    <w:p w:rsidR="00000000" w:rsidDel="00000000" w:rsidP="00000000" w:rsidRDefault="00000000" w:rsidRPr="00000000" w14:paraId="00000046">
      <w:pPr>
        <w:jc w:val="both"/>
        <w:rPr>
          <w:rFonts w:ascii="Arial" w:cs="Arial" w:eastAsia="Arial" w:hAnsi="Arial"/>
          <w:sz w:val="24"/>
          <w:szCs w:val="24"/>
        </w:rPr>
      </w:pPr>
      <w:bookmarkStart w:colFirst="0" w:colLast="0" w:name="_heading=h.msi48m4mf8qq" w:id="7"/>
      <w:bookmarkEnd w:id="7"/>
      <w:r w:rsidDel="00000000" w:rsidR="00000000" w:rsidRPr="00000000">
        <w:rPr>
          <w:rFonts w:ascii="Arial" w:cs="Arial" w:eastAsia="Arial" w:hAnsi="Arial"/>
          <w:sz w:val="24"/>
          <w:szCs w:val="24"/>
          <w:rtl w:val="0"/>
        </w:rPr>
        <w:t xml:space="preserve">COMPLICACIÓN: Es el daño o resultado clínico no esperado no atribuible a la atención en salud sino a la enfermedad o a las condiciones propias del paciente.</w:t>
      </w:r>
    </w:p>
    <w:p w:rsidR="00000000" w:rsidDel="00000000" w:rsidP="00000000" w:rsidRDefault="00000000" w:rsidRPr="00000000" w14:paraId="00000047">
      <w:pPr>
        <w:jc w:val="both"/>
        <w:rPr>
          <w:rFonts w:ascii="Arial" w:cs="Arial" w:eastAsia="Arial" w:hAnsi="Arial"/>
          <w:sz w:val="24"/>
          <w:szCs w:val="24"/>
        </w:rPr>
      </w:pPr>
      <w:bookmarkStart w:colFirst="0" w:colLast="0" w:name="_heading=h.y8e6nw23viv6" w:id="8"/>
      <w:bookmarkEnd w:id="8"/>
      <w:r w:rsidDel="00000000" w:rsidR="00000000" w:rsidRPr="00000000">
        <w:rPr>
          <w:rFonts w:ascii="Arial" w:cs="Arial" w:eastAsia="Arial" w:hAnsi="Arial"/>
          <w:sz w:val="24"/>
          <w:szCs w:val="24"/>
          <w:rtl w:val="0"/>
        </w:rPr>
        <w:t xml:space="preserve">CULTURA DE SEGURIDAD DEL PACIENTE: Capacidad de una organización para identificar, informar e investigar los incidentes y tomar las medidas correctivas que mejoren el sistema de atención al paciente y reducir el riesgo de recurrencia.</w:t>
      </w:r>
    </w:p>
    <w:p w:rsidR="00000000" w:rsidDel="00000000" w:rsidP="00000000" w:rsidRDefault="00000000" w:rsidRPr="00000000" w14:paraId="00000048">
      <w:pPr>
        <w:jc w:val="both"/>
        <w:rPr>
          <w:rFonts w:ascii="Arial" w:cs="Arial" w:eastAsia="Arial" w:hAnsi="Arial"/>
          <w:sz w:val="24"/>
          <w:szCs w:val="24"/>
        </w:rPr>
      </w:pPr>
      <w:bookmarkStart w:colFirst="0" w:colLast="0" w:name="_heading=h.matd5nyery43" w:id="9"/>
      <w:bookmarkEnd w:id="9"/>
      <w:r w:rsidDel="00000000" w:rsidR="00000000" w:rsidRPr="00000000">
        <w:rPr>
          <w:rFonts w:ascii="Arial" w:cs="Arial" w:eastAsia="Arial" w:hAnsi="Arial"/>
          <w:sz w:val="24"/>
          <w:szCs w:val="24"/>
          <w:rtl w:val="0"/>
        </w:rPr>
        <w:t xml:space="preserve">EVENTO ADVERSO: Es el resultado de una atención en salud que de manera no intencional produjo daño. Los eventos adversos pueden ser prevenibles y no prevenibles.</w:t>
      </w:r>
    </w:p>
    <w:p w:rsidR="00000000" w:rsidDel="00000000" w:rsidP="00000000" w:rsidRDefault="00000000" w:rsidRPr="00000000" w14:paraId="00000049">
      <w:pPr>
        <w:jc w:val="both"/>
        <w:rPr>
          <w:rFonts w:ascii="Arial" w:cs="Arial" w:eastAsia="Arial" w:hAnsi="Arial"/>
          <w:sz w:val="24"/>
          <w:szCs w:val="24"/>
        </w:rPr>
      </w:pPr>
      <w:bookmarkStart w:colFirst="0" w:colLast="0" w:name="_heading=h.en0g70aeqkv6" w:id="10"/>
      <w:bookmarkEnd w:id="10"/>
      <w:r w:rsidDel="00000000" w:rsidR="00000000" w:rsidRPr="00000000">
        <w:rPr>
          <w:rFonts w:ascii="Arial" w:cs="Arial" w:eastAsia="Arial" w:hAnsi="Arial"/>
          <w:sz w:val="24"/>
          <w:szCs w:val="24"/>
          <w:rtl w:val="0"/>
        </w:rPr>
        <w:t xml:space="preserve">EVENTO ADVERSO PREVENIBLE: Resultado no deseado, no intencional, que se habría evitado mediante el cumplimiento de los estándares del cuidado asistencial disponibles en un momento determinado.</w:t>
      </w:r>
    </w:p>
    <w:p w:rsidR="00000000" w:rsidDel="00000000" w:rsidP="00000000" w:rsidRDefault="00000000" w:rsidRPr="00000000" w14:paraId="0000004A">
      <w:pPr>
        <w:jc w:val="both"/>
        <w:rPr>
          <w:rFonts w:ascii="Arial" w:cs="Arial" w:eastAsia="Arial" w:hAnsi="Arial"/>
          <w:sz w:val="24"/>
          <w:szCs w:val="24"/>
        </w:rPr>
      </w:pPr>
      <w:bookmarkStart w:colFirst="0" w:colLast="0" w:name="_heading=h.2brxkir2q7hi" w:id="11"/>
      <w:bookmarkEnd w:id="11"/>
      <w:r w:rsidDel="00000000" w:rsidR="00000000" w:rsidRPr="00000000">
        <w:rPr>
          <w:rFonts w:ascii="Arial" w:cs="Arial" w:eastAsia="Arial" w:hAnsi="Arial"/>
          <w:sz w:val="24"/>
          <w:szCs w:val="24"/>
          <w:rtl w:val="0"/>
        </w:rPr>
        <w:t xml:space="preserve">EVENTO ADVERSO NO PREVENIBLE: Resultado no deseado, no intencional, que se presenta a pesar del cumplimiento de los estándares del cuidado asistencial.</w:t>
      </w:r>
    </w:p>
    <w:p w:rsidR="00000000" w:rsidDel="00000000" w:rsidP="00000000" w:rsidRDefault="00000000" w:rsidRPr="00000000" w14:paraId="0000004B">
      <w:pPr>
        <w:jc w:val="both"/>
        <w:rPr>
          <w:rFonts w:ascii="Arial" w:cs="Arial" w:eastAsia="Arial" w:hAnsi="Arial"/>
          <w:sz w:val="24"/>
          <w:szCs w:val="24"/>
        </w:rPr>
      </w:pPr>
      <w:bookmarkStart w:colFirst="0" w:colLast="0" w:name="_heading=h.f05bvikjoe9f" w:id="12"/>
      <w:bookmarkEnd w:id="12"/>
      <w:r w:rsidDel="00000000" w:rsidR="00000000" w:rsidRPr="00000000">
        <w:rPr>
          <w:rFonts w:ascii="Arial" w:cs="Arial" w:eastAsia="Arial" w:hAnsi="Arial"/>
          <w:sz w:val="24"/>
          <w:szCs w:val="24"/>
          <w:rtl w:val="0"/>
        </w:rPr>
        <w:t xml:space="preserve">EVENTO CENTINELA: Es un evento adverso grave que ocasiona prolongación de la estancia hospitalaria, algún tipo de incapacidad transitoria o permanente o la muerte y que requiere de intervención organizacional inmediata para evitar su recurrencia.</w:t>
      </w:r>
    </w:p>
    <w:p w:rsidR="00000000" w:rsidDel="00000000" w:rsidP="00000000" w:rsidRDefault="00000000" w:rsidRPr="00000000" w14:paraId="0000004C">
      <w:pPr>
        <w:jc w:val="both"/>
        <w:rPr>
          <w:rFonts w:ascii="Arial" w:cs="Arial" w:eastAsia="Arial" w:hAnsi="Arial"/>
          <w:sz w:val="24"/>
          <w:szCs w:val="24"/>
        </w:rPr>
      </w:pPr>
      <w:bookmarkStart w:colFirst="0" w:colLast="0" w:name="_heading=h.tapkbkt5y8v0" w:id="13"/>
      <w:bookmarkEnd w:id="13"/>
      <w:r w:rsidDel="00000000" w:rsidR="00000000" w:rsidRPr="00000000">
        <w:rPr>
          <w:rFonts w:ascii="Arial" w:cs="Arial" w:eastAsia="Arial" w:hAnsi="Arial"/>
          <w:sz w:val="24"/>
          <w:szCs w:val="24"/>
          <w:rtl w:val="0"/>
        </w:rPr>
        <w:t xml:space="preserve">FACTORES CONTRIBUTIVOS: Son las condiciones que predisponen una acción insegura.</w:t>
      </w:r>
    </w:p>
    <w:p w:rsidR="00000000" w:rsidDel="00000000" w:rsidP="00000000" w:rsidRDefault="00000000" w:rsidRPr="00000000" w14:paraId="0000004D">
      <w:pPr>
        <w:jc w:val="both"/>
        <w:rPr>
          <w:rFonts w:ascii="Arial" w:cs="Arial" w:eastAsia="Arial" w:hAnsi="Arial"/>
          <w:sz w:val="24"/>
          <w:szCs w:val="24"/>
        </w:rPr>
      </w:pPr>
      <w:bookmarkStart w:colFirst="0" w:colLast="0" w:name="_heading=h.9ngv5xslsxx" w:id="14"/>
      <w:bookmarkEnd w:id="14"/>
      <w:r w:rsidDel="00000000" w:rsidR="00000000" w:rsidRPr="00000000">
        <w:rPr>
          <w:rFonts w:ascii="Arial" w:cs="Arial" w:eastAsia="Arial" w:hAnsi="Arial"/>
          <w:sz w:val="24"/>
          <w:szCs w:val="24"/>
          <w:rtl w:val="0"/>
        </w:rPr>
        <w:t xml:space="preserve">FALLAS LATENTES: Son acciones u omisiones que se dan durante el proceso de atención en salud por miembros de los procesos de apoyo.</w:t>
      </w:r>
    </w:p>
    <w:p w:rsidR="00000000" w:rsidDel="00000000" w:rsidP="00000000" w:rsidRDefault="00000000" w:rsidRPr="00000000" w14:paraId="0000004E">
      <w:pPr>
        <w:jc w:val="both"/>
        <w:rPr>
          <w:rFonts w:ascii="Arial" w:cs="Arial" w:eastAsia="Arial" w:hAnsi="Arial"/>
          <w:sz w:val="24"/>
          <w:szCs w:val="24"/>
        </w:rPr>
      </w:pPr>
      <w:bookmarkStart w:colFirst="0" w:colLast="0" w:name="_heading=h.7z2ddyec8ywv" w:id="15"/>
      <w:bookmarkEnd w:id="15"/>
      <w:r w:rsidDel="00000000" w:rsidR="00000000" w:rsidRPr="00000000">
        <w:rPr>
          <w:rFonts w:ascii="Arial" w:cs="Arial" w:eastAsia="Arial" w:hAnsi="Arial"/>
          <w:sz w:val="24"/>
          <w:szCs w:val="24"/>
          <w:rtl w:val="0"/>
        </w:rPr>
        <w:t xml:space="preserve">FALLA DE LA ATENCIÓN EN SALUD: Una deficiencia para realizar una acción prevista según lo programado o la utilización de un plan incorrecto, lo cual se puede manifestar mediante la ejecución de procesos incorrectos (falla de acción) o mediante la no ejecución de los procesos correctos (falla de omisión) en las fases de planeación o de ejecución. Las fallas son por, definición, no intencionales.</w:t>
      </w:r>
    </w:p>
    <w:p w:rsidR="00000000" w:rsidDel="00000000" w:rsidP="00000000" w:rsidRDefault="00000000" w:rsidRPr="00000000" w14:paraId="0000004F">
      <w:pPr>
        <w:jc w:val="both"/>
        <w:rPr>
          <w:rFonts w:ascii="Arial" w:cs="Arial" w:eastAsia="Arial" w:hAnsi="Arial"/>
          <w:sz w:val="24"/>
          <w:szCs w:val="24"/>
        </w:rPr>
      </w:pPr>
      <w:bookmarkStart w:colFirst="0" w:colLast="0" w:name="_heading=h.wxvixqtojttd" w:id="16"/>
      <w:bookmarkEnd w:id="16"/>
      <w:r w:rsidDel="00000000" w:rsidR="00000000" w:rsidRPr="00000000">
        <w:rPr>
          <w:rFonts w:ascii="Arial" w:cs="Arial" w:eastAsia="Arial" w:hAnsi="Arial"/>
          <w:sz w:val="24"/>
          <w:szCs w:val="24"/>
          <w:rtl w:val="0"/>
        </w:rPr>
        <w:t xml:space="preserve">INDICIO DE ATENCIÓN INSEGURA: Un acontecimiento o una circunstancia que pueden alertar acerca del incremento del riesgo de ocurrencia de un incidente o evento adverso. </w:t>
      </w:r>
    </w:p>
    <w:p w:rsidR="00000000" w:rsidDel="00000000" w:rsidP="00000000" w:rsidRDefault="00000000" w:rsidRPr="00000000" w14:paraId="00000050">
      <w:pPr>
        <w:jc w:val="both"/>
        <w:rPr>
          <w:rFonts w:ascii="Arial" w:cs="Arial" w:eastAsia="Arial" w:hAnsi="Arial"/>
          <w:sz w:val="24"/>
          <w:szCs w:val="24"/>
        </w:rPr>
      </w:pPr>
      <w:bookmarkStart w:colFirst="0" w:colLast="0" w:name="_heading=h.n1ya7us0g5tg" w:id="17"/>
      <w:bookmarkEnd w:id="17"/>
      <w:r w:rsidDel="00000000" w:rsidR="00000000" w:rsidRPr="00000000">
        <w:rPr>
          <w:rFonts w:ascii="Arial" w:cs="Arial" w:eastAsia="Arial" w:hAnsi="Arial"/>
          <w:sz w:val="24"/>
          <w:szCs w:val="24"/>
          <w:rtl w:val="0"/>
        </w:rPr>
        <w:t xml:space="preserve">INCIDENTE: Es un evento o circunstancia que sucede en la atención clínica de un paciente que no le genera daño, pero que en su ocurrencia se incorporan fallas en los procesos de atención.</w:t>
      </w:r>
    </w:p>
    <w:p w:rsidR="00000000" w:rsidDel="00000000" w:rsidP="00000000" w:rsidRDefault="00000000" w:rsidRPr="00000000" w14:paraId="00000051">
      <w:pPr>
        <w:jc w:val="both"/>
        <w:rPr>
          <w:rFonts w:ascii="Arial" w:cs="Arial" w:eastAsia="Arial" w:hAnsi="Arial"/>
          <w:sz w:val="24"/>
          <w:szCs w:val="24"/>
        </w:rPr>
      </w:pPr>
      <w:bookmarkStart w:colFirst="0" w:colLast="0" w:name="_heading=h.72zrq1l9atx7" w:id="18"/>
      <w:bookmarkEnd w:id="18"/>
      <w:r w:rsidDel="00000000" w:rsidR="00000000" w:rsidRPr="00000000">
        <w:rPr>
          <w:rFonts w:ascii="Arial" w:cs="Arial" w:eastAsia="Arial" w:hAnsi="Arial"/>
          <w:sz w:val="24"/>
          <w:szCs w:val="24"/>
          <w:rtl w:val="0"/>
        </w:rPr>
        <w:t xml:space="preserve">RIESGO: Es la probabilidad que un incidente o evento adverso ocurra.</w:t>
      </w:r>
    </w:p>
    <w:p w:rsidR="00000000" w:rsidDel="00000000" w:rsidP="00000000" w:rsidRDefault="00000000" w:rsidRPr="00000000" w14:paraId="00000052">
      <w:pPr>
        <w:jc w:val="both"/>
        <w:rPr>
          <w:rFonts w:ascii="Arial" w:cs="Arial" w:eastAsia="Arial" w:hAnsi="Arial"/>
          <w:sz w:val="24"/>
          <w:szCs w:val="24"/>
        </w:rPr>
      </w:pPr>
      <w:bookmarkStart w:colFirst="0" w:colLast="0" w:name="_heading=h.o6idcgm6g7dk" w:id="19"/>
      <w:bookmarkEnd w:id="19"/>
      <w:r w:rsidDel="00000000" w:rsidR="00000000" w:rsidRPr="00000000">
        <w:rPr>
          <w:rFonts w:ascii="Arial" w:cs="Arial" w:eastAsia="Arial" w:hAnsi="Arial"/>
          <w:sz w:val="24"/>
          <w:szCs w:val="24"/>
          <w:rtl w:val="0"/>
        </w:rPr>
        <w:t xml:space="preserve">SEGURIDAD DEL PACIENTE: Es el conjunto de elementos estructurales, procesos, instrumentos y metodologías basadas en evidencias científicamente probadas que propenden por minimizar el riesgo de sufrir un evento adverso en el proceso de atención de salud o de mitigar sus consecuencias.</w:t>
      </w:r>
    </w:p>
    <w:p w:rsidR="00000000" w:rsidDel="00000000" w:rsidP="00000000" w:rsidRDefault="00000000" w:rsidRPr="00000000" w14:paraId="00000053">
      <w:pPr>
        <w:jc w:val="both"/>
        <w:rPr>
          <w:rFonts w:ascii="Arial" w:cs="Arial" w:eastAsia="Arial" w:hAnsi="Arial"/>
          <w:sz w:val="24"/>
          <w:szCs w:val="24"/>
        </w:rPr>
      </w:pPr>
      <w:bookmarkStart w:colFirst="0" w:colLast="0" w:name="_heading=h.5duggz9bu8fu" w:id="20"/>
      <w:bookmarkEnd w:id="20"/>
      <w:r w:rsidDel="00000000" w:rsidR="00000000" w:rsidRPr="00000000">
        <w:rPr>
          <w:rFonts w:ascii="Arial" w:cs="Arial" w:eastAsia="Arial" w:hAnsi="Arial"/>
          <w:sz w:val="24"/>
          <w:szCs w:val="24"/>
          <w:rtl w:val="0"/>
        </w:rPr>
        <w:t xml:space="preserve">SISTEMA DE GESTIÓN DEL EVENTO ADVERSO: Se define como el conjunto de herramientas, procedimientos y acciones utilizadas para identificar y analizar la progresión de una falla a la producción de daño al paciente, con el propósito de prevenir o mitigar sus consecuencias.</w:t>
      </w:r>
    </w:p>
    <w:p w:rsidR="00000000" w:rsidDel="00000000" w:rsidP="00000000" w:rsidRDefault="00000000" w:rsidRPr="00000000" w14:paraId="00000054">
      <w:pPr>
        <w:jc w:val="both"/>
        <w:rPr>
          <w:rFonts w:ascii="Arial" w:cs="Arial" w:eastAsia="Arial" w:hAnsi="Arial"/>
          <w:sz w:val="24"/>
          <w:szCs w:val="24"/>
        </w:rPr>
      </w:pPr>
      <w:bookmarkStart w:colFirst="0" w:colLast="0" w:name="_heading=h.510l8t2iq6p2" w:id="21"/>
      <w:bookmarkEnd w:id="21"/>
      <w:r w:rsidDel="00000000" w:rsidR="00000000" w:rsidRPr="00000000">
        <w:rPr>
          <w:rFonts w:ascii="Arial" w:cs="Arial" w:eastAsia="Arial" w:hAnsi="Arial"/>
          <w:sz w:val="24"/>
          <w:szCs w:val="24"/>
          <w:rtl w:val="0"/>
        </w:rPr>
        <w:t xml:space="preserve">VIOLACIÓN DE LA SEGURIDAD DE LA ATENCIÓN EN SALUD: Las violaciones de la seguridad de la atención en salud son intencionales e implican la desviación deliberada de un procedimiento, de un estándar o de una norma de funcionamiento.</w:t>
      </w:r>
    </w:p>
    <w:p w:rsidR="00000000" w:rsidDel="00000000" w:rsidP="00000000" w:rsidRDefault="00000000" w:rsidRPr="00000000" w14:paraId="00000055">
      <w:pPr>
        <w:pStyle w:val="Heading1"/>
        <w:numPr>
          <w:ilvl w:val="0"/>
          <w:numId w:val="4"/>
        </w:numPr>
        <w:ind w:left="360" w:hanging="360"/>
        <w:jc w:val="both"/>
        <w:rPr/>
      </w:pPr>
      <w:bookmarkStart w:colFirst="0" w:colLast="0" w:name="_heading=h.6bj3fbwr0ul5" w:id="22"/>
      <w:bookmarkEnd w:id="22"/>
      <w:r w:rsidDel="00000000" w:rsidR="00000000" w:rsidRPr="00000000">
        <w:rPr>
          <w:rtl w:val="0"/>
        </w:rPr>
        <w:t xml:space="preserve">POLÍTICA INSTITUCIONAL DE SEGURIDAD DEL PACIENTE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numPr>
          <w:ilvl w:val="1"/>
          <w:numId w:val="4"/>
        </w:numPr>
        <w:ind w:left="360" w:hanging="360"/>
        <w:jc w:val="both"/>
        <w:rPr/>
      </w:pPr>
      <w:bookmarkStart w:colFirst="0" w:colLast="0" w:name="_heading=h.2et92p0" w:id="23"/>
      <w:bookmarkEnd w:id="23"/>
      <w:r w:rsidDel="00000000" w:rsidR="00000000" w:rsidRPr="00000000">
        <w:rPr>
          <w:rtl w:val="0"/>
        </w:rPr>
        <w:t xml:space="preserve">POLÍTICA DE SEGURIDAD DEL PACIENTE</w:t>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IPS Endocrinology &amp; Health se compromete a mantener una cultura de seguridad que permita identificar, prevenir y reducir los riesgos asociados a la atención para brindar un ambiente seguro al paciente y su familia.</w:t>
      </w:r>
    </w:p>
    <w:p w:rsidR="00000000" w:rsidDel="00000000" w:rsidP="00000000" w:rsidRDefault="00000000" w:rsidRPr="00000000" w14:paraId="00000059">
      <w:pPr>
        <w:pStyle w:val="Heading2"/>
        <w:jc w:val="both"/>
        <w:rPr/>
      </w:pPr>
      <w:bookmarkStart w:colFirst="0" w:colLast="0" w:name="_heading=h.5thb4qpxopxr" w:id="24"/>
      <w:bookmarkEnd w:id="24"/>
      <w:r w:rsidDel="00000000" w:rsidR="00000000" w:rsidRPr="00000000">
        <w:rPr>
          <w:rtl w:val="0"/>
        </w:rPr>
        <w:t xml:space="preserve">4.2 PRINCIPIOS ORIENTADORES DE LA POLÍTICA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both"/>
        <w:rPr>
          <w:rFonts w:ascii="Arial" w:cs="Arial" w:eastAsia="Arial" w:hAnsi="Arial"/>
          <w:sz w:val="24"/>
          <w:szCs w:val="24"/>
        </w:rPr>
      </w:pPr>
      <w:bookmarkStart w:colFirst="0" w:colLast="0" w:name="_heading=h.vllzflcotvp4" w:id="25"/>
      <w:bookmarkEnd w:id="25"/>
      <w:r w:rsidDel="00000000" w:rsidR="00000000" w:rsidRPr="00000000">
        <w:rPr>
          <w:rFonts w:ascii="Arial" w:cs="Arial" w:eastAsia="Arial" w:hAnsi="Arial"/>
          <w:sz w:val="24"/>
          <w:szCs w:val="24"/>
          <w:rtl w:val="0"/>
        </w:rPr>
        <w:t xml:space="preserve">En la organización se toman y establecen los Principios orientadores de la Política de Seguridad del Paciente y para su implementación se adoptan de la siguiente manera en la organización. </w:t>
      </w:r>
    </w:p>
    <w:p w:rsidR="00000000" w:rsidDel="00000000" w:rsidP="00000000" w:rsidRDefault="00000000" w:rsidRPr="00000000" w14:paraId="0000005C">
      <w:pPr>
        <w:jc w:val="both"/>
        <w:rPr>
          <w:rFonts w:ascii="Arial" w:cs="Arial" w:eastAsia="Arial" w:hAnsi="Arial"/>
          <w:sz w:val="24"/>
          <w:szCs w:val="24"/>
        </w:rPr>
      </w:pPr>
      <w:bookmarkStart w:colFirst="0" w:colLast="0" w:name="_heading=h.fud1y0rvoua2" w:id="26"/>
      <w:bookmarkEnd w:id="26"/>
      <w:r w:rsidDel="00000000" w:rsidR="00000000" w:rsidRPr="00000000">
        <w:rPr>
          <w:rFonts w:ascii="Arial" w:cs="Arial" w:eastAsia="Arial" w:hAnsi="Arial"/>
          <w:sz w:val="24"/>
          <w:szCs w:val="24"/>
          <w:rtl w:val="0"/>
        </w:rPr>
        <w:t xml:space="preserve">Enfoque de atención centrado en el usuario: Significa que lo importante son los resultados obtenidos en él y su seguridad, lo cual es el eje alrededor del cual giran todas las acciones de seguridad del paciente.</w:t>
      </w:r>
    </w:p>
    <w:p w:rsidR="00000000" w:rsidDel="00000000" w:rsidP="00000000" w:rsidRDefault="00000000" w:rsidRPr="00000000" w14:paraId="0000005D">
      <w:pPr>
        <w:jc w:val="both"/>
        <w:rPr>
          <w:rFonts w:ascii="Arial" w:cs="Arial" w:eastAsia="Arial" w:hAnsi="Arial"/>
          <w:sz w:val="24"/>
          <w:szCs w:val="24"/>
        </w:rPr>
      </w:pPr>
      <w:bookmarkStart w:colFirst="0" w:colLast="0" w:name="_heading=h.q29szovfkytw" w:id="27"/>
      <w:bookmarkEnd w:id="27"/>
      <w:r w:rsidDel="00000000" w:rsidR="00000000" w:rsidRPr="00000000">
        <w:rPr>
          <w:rFonts w:ascii="Arial" w:cs="Arial" w:eastAsia="Arial" w:hAnsi="Arial"/>
          <w:sz w:val="24"/>
          <w:szCs w:val="24"/>
          <w:rtl w:val="0"/>
        </w:rPr>
        <w:t xml:space="preserve">Cultura de Seguridad: El ambiente de despliegue de las acciones de seguridad del paciente deben darse en un entorno de confidencialidad y de confianza entre Usuarios, profesionales, aseguradores y la comunidad. Es deber de los diferentes actores del sistema facilitar las condiciones que permitan dicho ambiente.</w:t>
      </w:r>
    </w:p>
    <w:p w:rsidR="00000000" w:rsidDel="00000000" w:rsidP="00000000" w:rsidRDefault="00000000" w:rsidRPr="00000000" w14:paraId="0000005E">
      <w:pPr>
        <w:jc w:val="both"/>
        <w:rPr>
          <w:rFonts w:ascii="Arial" w:cs="Arial" w:eastAsia="Arial" w:hAnsi="Arial"/>
          <w:sz w:val="24"/>
          <w:szCs w:val="24"/>
        </w:rPr>
      </w:pPr>
      <w:bookmarkStart w:colFirst="0" w:colLast="0" w:name="_heading=h.i195iugplnzb" w:id="28"/>
      <w:bookmarkEnd w:id="28"/>
      <w:r w:rsidDel="00000000" w:rsidR="00000000" w:rsidRPr="00000000">
        <w:rPr>
          <w:rFonts w:ascii="Arial" w:cs="Arial" w:eastAsia="Arial" w:hAnsi="Arial"/>
          <w:sz w:val="24"/>
          <w:szCs w:val="24"/>
          <w:rtl w:val="0"/>
        </w:rPr>
        <w:t xml:space="preserve">Integración con el Sistema Obligatorio de Garantía de Calidad de la Atención en Salud: La política de seguridad del paciente es parte integral del Sistema Obligatorio de Garantía de Calidad de la Atención en Salud, y es transversal a todos sus componentes.</w:t>
      </w:r>
    </w:p>
    <w:p w:rsidR="00000000" w:rsidDel="00000000" w:rsidP="00000000" w:rsidRDefault="00000000" w:rsidRPr="00000000" w14:paraId="0000005F">
      <w:pPr>
        <w:jc w:val="both"/>
        <w:rPr>
          <w:rFonts w:ascii="Arial" w:cs="Arial" w:eastAsia="Arial" w:hAnsi="Arial"/>
          <w:sz w:val="24"/>
          <w:szCs w:val="24"/>
        </w:rPr>
      </w:pPr>
      <w:bookmarkStart w:colFirst="0" w:colLast="0" w:name="_heading=h.alpkor66pcbu" w:id="29"/>
      <w:bookmarkEnd w:id="29"/>
      <w:r w:rsidDel="00000000" w:rsidR="00000000" w:rsidRPr="00000000">
        <w:rPr>
          <w:rFonts w:ascii="Arial" w:cs="Arial" w:eastAsia="Arial" w:hAnsi="Arial"/>
          <w:sz w:val="24"/>
          <w:szCs w:val="24"/>
          <w:rtl w:val="0"/>
        </w:rPr>
        <w:t xml:space="preserve">Multicausalidad: El problema de la seguridad del paciente es un problema sistémico y multicausal en el cual deben involucrarse los diferentes procesos y los diferentes actores.</w:t>
      </w:r>
    </w:p>
    <w:p w:rsidR="00000000" w:rsidDel="00000000" w:rsidP="00000000" w:rsidRDefault="00000000" w:rsidRPr="00000000" w14:paraId="00000060">
      <w:pPr>
        <w:jc w:val="both"/>
        <w:rPr>
          <w:rFonts w:ascii="Arial" w:cs="Arial" w:eastAsia="Arial" w:hAnsi="Arial"/>
          <w:sz w:val="24"/>
          <w:szCs w:val="24"/>
        </w:rPr>
      </w:pPr>
      <w:bookmarkStart w:colFirst="0" w:colLast="0" w:name="_heading=h.8pq11aa79jsy" w:id="30"/>
      <w:bookmarkEnd w:id="30"/>
      <w:r w:rsidDel="00000000" w:rsidR="00000000" w:rsidRPr="00000000">
        <w:rPr>
          <w:rFonts w:ascii="Arial" w:cs="Arial" w:eastAsia="Arial" w:hAnsi="Arial"/>
          <w:sz w:val="24"/>
          <w:szCs w:val="24"/>
          <w:rtl w:val="0"/>
        </w:rPr>
        <w:t xml:space="preserve">Validez: Para impactar se requiere implementar metodologías y herramientas prácticas, soportadas en la evidencia científica disponible.</w:t>
      </w:r>
    </w:p>
    <w:p w:rsidR="00000000" w:rsidDel="00000000" w:rsidP="00000000" w:rsidRDefault="00000000" w:rsidRPr="00000000" w14:paraId="00000061">
      <w:pPr>
        <w:jc w:val="both"/>
        <w:rPr>
          <w:rFonts w:ascii="Arial" w:cs="Arial" w:eastAsia="Arial" w:hAnsi="Arial"/>
          <w:sz w:val="24"/>
          <w:szCs w:val="24"/>
        </w:rPr>
      </w:pPr>
      <w:bookmarkStart w:colFirst="0" w:colLast="0" w:name="_heading=h.tsbm1ja0qjfj" w:id="31"/>
      <w:bookmarkEnd w:id="31"/>
      <w:r w:rsidDel="00000000" w:rsidR="00000000" w:rsidRPr="00000000">
        <w:rPr>
          <w:rFonts w:ascii="Arial" w:cs="Arial" w:eastAsia="Arial" w:hAnsi="Arial"/>
          <w:sz w:val="24"/>
          <w:szCs w:val="24"/>
          <w:rtl w:val="0"/>
        </w:rPr>
        <w:t xml:space="preserve">Alianza con el Usuario y su familia: La política de seguridad debe contar con los Usuarios y sus familias involucrándose en sus acciones de mejora.</w:t>
      </w:r>
    </w:p>
    <w:p w:rsidR="00000000" w:rsidDel="00000000" w:rsidP="00000000" w:rsidRDefault="00000000" w:rsidRPr="00000000" w14:paraId="00000062">
      <w:pPr>
        <w:jc w:val="both"/>
        <w:rPr>
          <w:rFonts w:ascii="Arial" w:cs="Arial" w:eastAsia="Arial" w:hAnsi="Arial"/>
          <w:sz w:val="24"/>
          <w:szCs w:val="24"/>
        </w:rPr>
      </w:pPr>
      <w:bookmarkStart w:colFirst="0" w:colLast="0" w:name="_heading=h.605msdl03ywz" w:id="32"/>
      <w:bookmarkEnd w:id="32"/>
      <w:r w:rsidDel="00000000" w:rsidR="00000000" w:rsidRPr="00000000">
        <w:rPr>
          <w:rFonts w:ascii="Arial" w:cs="Arial" w:eastAsia="Arial" w:hAnsi="Arial"/>
          <w:sz w:val="24"/>
          <w:szCs w:val="24"/>
          <w:rtl w:val="0"/>
        </w:rPr>
        <w:t xml:space="preserve">Alianza con el profesional de la salud: La política de seguridad parte del reconocimiento del carácter ético de la atención brindada por el profesional de la salud y de la complejidad de estos procesos por lo cual contará con la activa participación de ellos y procurará defenderlo de señalamientos injustificados.</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pStyle w:val="Heading1"/>
        <w:numPr>
          <w:ilvl w:val="0"/>
          <w:numId w:val="4"/>
        </w:numPr>
        <w:ind w:left="360" w:hanging="360"/>
        <w:jc w:val="both"/>
        <w:rPr/>
      </w:pPr>
      <w:bookmarkStart w:colFirst="0" w:colLast="0" w:name="_heading=h.1t3h5sf" w:id="33"/>
      <w:bookmarkEnd w:id="33"/>
      <w:r w:rsidDel="00000000" w:rsidR="00000000" w:rsidRPr="00000000">
        <w:rPr>
          <w:rtl w:val="0"/>
        </w:rPr>
        <w:t xml:space="preserve">COMITÉ SEGURIDAD DEL PACIENTE</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4"/>
          <w:szCs w:val="24"/>
        </w:rPr>
      </w:pPr>
      <w:bookmarkStart w:colFirst="0" w:colLast="0" w:name="_heading=h.q6jlw96imty1" w:id="34"/>
      <w:bookmarkEnd w:id="34"/>
      <w:r w:rsidDel="00000000" w:rsidR="00000000" w:rsidRPr="00000000">
        <w:rPr>
          <w:rFonts w:ascii="Arial" w:cs="Arial" w:eastAsia="Arial" w:hAnsi="Arial"/>
          <w:sz w:val="24"/>
          <w:szCs w:val="24"/>
          <w:rtl w:val="0"/>
        </w:rPr>
        <w:t xml:space="preserve">La función principal del comité es planear el programa de seguridad del paciente, organizar los recursos para su implementación, dirigir el programa de seguridad del paciente y hacer seguimiento a su desarrollo. Adicionalmente socializar la Política de Seguridad del Paciente a todo el talento humano del Centro. </w:t>
      </w:r>
    </w:p>
    <w:p w:rsidR="00000000" w:rsidDel="00000000" w:rsidP="00000000" w:rsidRDefault="00000000" w:rsidRPr="00000000" w14:paraId="00000067">
      <w:pPr>
        <w:jc w:val="both"/>
        <w:rPr>
          <w:rFonts w:ascii="Arial" w:cs="Arial" w:eastAsia="Arial" w:hAnsi="Arial"/>
          <w:sz w:val="24"/>
          <w:szCs w:val="24"/>
          <w:u w:val="single"/>
        </w:rPr>
      </w:pPr>
      <w:bookmarkStart w:colFirst="0" w:colLast="0" w:name="_heading=h.ggwgm6a4008l" w:id="35"/>
      <w:bookmarkEnd w:id="35"/>
      <w:r w:rsidDel="00000000" w:rsidR="00000000" w:rsidRPr="00000000">
        <w:rPr>
          <w:rFonts w:ascii="Arial" w:cs="Arial" w:eastAsia="Arial" w:hAnsi="Arial"/>
          <w:sz w:val="24"/>
          <w:szCs w:val="24"/>
          <w:rtl w:val="0"/>
        </w:rPr>
        <w:t xml:space="preserve">El comité deberá estar conformado por un grupo interdisciplinario donde se debe tener como mínimo un referente de la seguridad del paciente, un tomador de decisiones misionales y administrativas, un representante del equipo asistencial; y podrá contarse además con la participación de diferentes actores internos y/o externos de la organización según sea necesario. Las funciones específicas son las se encuentran en</w:t>
      </w:r>
      <w:hyperlink r:id="rId7">
        <w:r w:rsidDel="00000000" w:rsidR="00000000" w:rsidRPr="00000000">
          <w:rPr>
            <w:rFonts w:ascii="Arial" w:cs="Arial" w:eastAsia="Arial" w:hAnsi="Arial"/>
            <w:color w:val="0000ee"/>
            <w:sz w:val="24"/>
            <w:szCs w:val="24"/>
            <w:u w:val="single"/>
            <w:rtl w:val="0"/>
          </w:rPr>
          <w:t xml:space="preserve">1. COMITE DE SEGURIDAD DEL PACIENTE</w:t>
        </w:r>
      </w:hyperlink>
      <w:r w:rsidDel="00000000" w:rsidR="00000000" w:rsidRPr="00000000">
        <w:rPr>
          <w:rtl w:val="0"/>
        </w:rPr>
      </w:r>
    </w:p>
    <w:p w:rsidR="00000000" w:rsidDel="00000000" w:rsidP="00000000" w:rsidRDefault="00000000" w:rsidRPr="00000000" w14:paraId="00000068">
      <w:pPr>
        <w:pStyle w:val="Heading1"/>
        <w:numPr>
          <w:ilvl w:val="0"/>
          <w:numId w:val="4"/>
        </w:numPr>
        <w:ind w:left="360" w:hanging="360"/>
        <w:jc w:val="both"/>
        <w:rPr/>
      </w:pPr>
      <w:bookmarkStart w:colFirst="0" w:colLast="0" w:name="_heading=h.7mi02axo6qy7" w:id="36"/>
      <w:bookmarkEnd w:id="36"/>
      <w:r w:rsidDel="00000000" w:rsidR="00000000" w:rsidRPr="00000000">
        <w:rPr>
          <w:rtl w:val="0"/>
        </w:rPr>
        <w:t xml:space="preserve">REFERENTE O LÍDER DEL PROGRAMA DE SEGURIDAD DEL PACIENTE</w:t>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jc w:val="both"/>
        <w:rPr>
          <w:rFonts w:ascii="Arial" w:cs="Arial" w:eastAsia="Arial" w:hAnsi="Arial"/>
          <w:sz w:val="24"/>
          <w:szCs w:val="24"/>
          <w:u w:val="single"/>
        </w:rPr>
      </w:pPr>
      <w:bookmarkStart w:colFirst="0" w:colLast="0" w:name="_heading=h.par4qcwhvs2h" w:id="37"/>
      <w:bookmarkEnd w:id="37"/>
      <w:r w:rsidDel="00000000" w:rsidR="00000000" w:rsidRPr="00000000">
        <w:rPr>
          <w:rFonts w:ascii="Arial" w:cs="Arial" w:eastAsia="Arial" w:hAnsi="Arial"/>
          <w:sz w:val="24"/>
          <w:szCs w:val="24"/>
          <w:rtl w:val="0"/>
        </w:rPr>
        <w:t xml:space="preserve">Se designa un responsable para liderar el programa de seguridad del paciente, para lo cual se establece en el </w:t>
      </w:r>
      <w:hyperlink r:id="rId8">
        <w:r w:rsidDel="00000000" w:rsidR="00000000" w:rsidRPr="00000000">
          <w:rPr>
            <w:rFonts w:ascii="Arial" w:cs="Arial" w:eastAsia="Arial" w:hAnsi="Arial"/>
            <w:color w:val="0000ee"/>
            <w:sz w:val="24"/>
            <w:szCs w:val="24"/>
            <w:u w:val="single"/>
            <w:rtl w:val="0"/>
          </w:rPr>
          <w:t xml:space="preserve">RES 001 - COMITE DE SEGURIDAD DEL PACIENTE.docx</w:t>
        </w:r>
      </w:hyperlink>
      <w:r w:rsidDel="00000000" w:rsidR="00000000" w:rsidRPr="00000000">
        <w:rPr>
          <w:rtl w:val="0"/>
        </w:rPr>
      </w:r>
    </w:p>
    <w:p w:rsidR="00000000" w:rsidDel="00000000" w:rsidP="00000000" w:rsidRDefault="00000000" w:rsidRPr="00000000" w14:paraId="0000006B">
      <w:pPr>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6C">
      <w:pPr>
        <w:pStyle w:val="Heading1"/>
        <w:numPr>
          <w:ilvl w:val="0"/>
          <w:numId w:val="4"/>
        </w:numPr>
        <w:ind w:left="360" w:hanging="360"/>
        <w:jc w:val="both"/>
        <w:rPr/>
      </w:pPr>
      <w:bookmarkStart w:colFirst="0" w:colLast="0" w:name="_heading=h.2up3vmk3gtk" w:id="38"/>
      <w:bookmarkEnd w:id="38"/>
      <w:r w:rsidDel="00000000" w:rsidR="00000000" w:rsidRPr="00000000">
        <w:rPr>
          <w:rtl w:val="0"/>
        </w:rPr>
        <w:t xml:space="preserve">PROCESOS PARA LA DETECCIÓN DE LA OCURRENCIA DE EVENTOS ADVERSOS: Reporte, Medición, Análisis Y Gestión De Los Eventos Adversos</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pStyle w:val="Heading2"/>
        <w:numPr>
          <w:ilvl w:val="1"/>
          <w:numId w:val="4"/>
        </w:numPr>
        <w:ind w:left="360" w:hanging="360"/>
        <w:jc w:val="both"/>
        <w:rPr/>
      </w:pPr>
      <w:bookmarkStart w:colFirst="0" w:colLast="0" w:name="_heading=h.2s8eyo1" w:id="39"/>
      <w:bookmarkEnd w:id="39"/>
      <w:r w:rsidDel="00000000" w:rsidR="00000000" w:rsidRPr="00000000">
        <w:rPr>
          <w:rtl w:val="0"/>
        </w:rPr>
        <w:t xml:space="preserve">Metodología Reporte Eventos Adversos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65"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jc w:val="both"/>
        <w:rPr>
          <w:rFonts w:ascii="Arial" w:cs="Arial" w:eastAsia="Arial" w:hAnsi="Arial"/>
          <w:sz w:val="24"/>
          <w:szCs w:val="24"/>
        </w:rPr>
      </w:pPr>
      <w:bookmarkStart w:colFirst="0" w:colLast="0" w:name="_heading=h.a1t7768hwmj2" w:id="40"/>
      <w:bookmarkEnd w:id="40"/>
      <w:r w:rsidDel="00000000" w:rsidR="00000000" w:rsidRPr="00000000">
        <w:rPr>
          <w:rFonts w:ascii="Arial" w:cs="Arial" w:eastAsia="Arial" w:hAnsi="Arial"/>
          <w:sz w:val="24"/>
          <w:szCs w:val="24"/>
          <w:rtl w:val="0"/>
        </w:rPr>
        <w:t xml:space="preserve">La gestión del evento adverso es reconocida a nivel institucional como el conjunto de herramientas, procedimientos y acciones encaminadas a identificar y analizar los sucesos inseguros que puedan causar daño en el paciente durante el proceso de atención, con el único fin de prevenir las causas y mitigar las consecuencias. </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5486400" cy="3200400"/>
                <wp:effectExtent b="0" l="0" r="0" t="0"/>
                <wp:docPr id="10" name=""/>
                <a:graphic>
                  <a:graphicData uri="http://schemas.microsoft.com/office/word/2010/wordprocessingGroup">
                    <wpg:wgp>
                      <wpg:cNvGrpSpPr/>
                      <wpg:grpSpPr>
                        <a:xfrm>
                          <a:off x="0" y="0"/>
                          <a:ext cx="5486400" cy="3200400"/>
                          <a:chOff x="0" y="0"/>
                          <a:chExt cx="5496325" cy="3200425"/>
                        </a:xfrm>
                      </wpg:grpSpPr>
                      <wpg:grpSp>
                        <wpg:cNvGrpSpPr/>
                        <wpg:grpSpPr>
                          <a:xfrm>
                            <a:off x="0" y="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02920"/>
                              <a:ext cx="5486400" cy="2194560"/>
                            </a:xfrm>
                            <a:custGeom>
                              <a:rect b="b" l="l" r="r" t="t"/>
                              <a:pathLst>
                                <a:path extrusionOk="0" h="120000" w="120000">
                                  <a:moveTo>
                                    <a:pt x="0" y="50000"/>
                                  </a:moveTo>
                                  <a:lnTo>
                                    <a:pt x="24000" y="0"/>
                                  </a:lnTo>
                                  <a:lnTo>
                                    <a:pt x="24000" y="20000"/>
                                  </a:lnTo>
                                  <a:lnTo>
                                    <a:pt x="60000" y="20000"/>
                                  </a:lnTo>
                                  <a:lnTo>
                                    <a:pt x="60000" y="20000"/>
                                  </a:lnTo>
                                  <a:cubicBezTo>
                                    <a:pt x="62071" y="20000"/>
                                    <a:pt x="63750" y="22238"/>
                                    <a:pt x="63750" y="25000"/>
                                  </a:cubicBezTo>
                                  <a:cubicBezTo>
                                    <a:pt x="63750" y="27761"/>
                                    <a:pt x="62071" y="30000"/>
                                    <a:pt x="60000" y="30000"/>
                                  </a:cubicBezTo>
                                  <a:cubicBezTo>
                                    <a:pt x="57929" y="30000"/>
                                    <a:pt x="56250" y="32239"/>
                                    <a:pt x="56250" y="35000"/>
                                  </a:cubicBezTo>
                                  <a:cubicBezTo>
                                    <a:pt x="56250" y="37762"/>
                                    <a:pt x="57929" y="40000"/>
                                    <a:pt x="60000" y="40000"/>
                                  </a:cubicBezTo>
                                  <a:lnTo>
                                    <a:pt x="96000" y="40000"/>
                                  </a:lnTo>
                                  <a:lnTo>
                                    <a:pt x="96000" y="20000"/>
                                  </a:lnTo>
                                  <a:lnTo>
                                    <a:pt x="120000" y="70000"/>
                                  </a:lnTo>
                                  <a:lnTo>
                                    <a:pt x="96000" y="120000"/>
                                  </a:lnTo>
                                  <a:lnTo>
                                    <a:pt x="96000" y="100000"/>
                                  </a:lnTo>
                                  <a:lnTo>
                                    <a:pt x="60000" y="100000"/>
                                  </a:lnTo>
                                  <a:cubicBezTo>
                                    <a:pt x="57929" y="100000"/>
                                    <a:pt x="56250" y="97762"/>
                                    <a:pt x="56250" y="95000"/>
                                  </a:cubicBezTo>
                                  <a:lnTo>
                                    <a:pt x="56250" y="80000"/>
                                  </a:lnTo>
                                  <a:lnTo>
                                    <a:pt x="24000" y="80000"/>
                                  </a:lnTo>
                                  <a:lnTo>
                                    <a:pt x="24000" y="100000"/>
                                  </a:lnTo>
                                  <a:close/>
                                </a:path>
                                <a:path extrusionOk="0" fill="darkenLess" h="120000" w="120000">
                                  <a:moveTo>
                                    <a:pt x="63750" y="25000"/>
                                  </a:moveTo>
                                  <a:cubicBezTo>
                                    <a:pt x="63750" y="27761"/>
                                    <a:pt x="62071" y="30000"/>
                                    <a:pt x="60000" y="30000"/>
                                  </a:cubicBezTo>
                                  <a:cubicBezTo>
                                    <a:pt x="57929" y="30000"/>
                                    <a:pt x="56250" y="32239"/>
                                    <a:pt x="56250" y="35000"/>
                                  </a:cubicBezTo>
                                  <a:cubicBezTo>
                                    <a:pt x="56250" y="37762"/>
                                    <a:pt x="57929" y="40000"/>
                                    <a:pt x="60000" y="40000"/>
                                  </a:cubicBezTo>
                                  <a:lnTo>
                                    <a:pt x="63750" y="40000"/>
                                  </a:lnTo>
                                  <a:close/>
                                </a:path>
                                <a:path extrusionOk="0" fill="none" h="120000" w="120000">
                                  <a:moveTo>
                                    <a:pt x="0" y="50000"/>
                                  </a:moveTo>
                                  <a:lnTo>
                                    <a:pt x="24000" y="0"/>
                                  </a:lnTo>
                                  <a:lnTo>
                                    <a:pt x="24000" y="20000"/>
                                  </a:lnTo>
                                  <a:lnTo>
                                    <a:pt x="60000" y="20000"/>
                                  </a:lnTo>
                                  <a:lnTo>
                                    <a:pt x="60000" y="20000"/>
                                  </a:lnTo>
                                  <a:cubicBezTo>
                                    <a:pt x="62071" y="20000"/>
                                    <a:pt x="63750" y="22238"/>
                                    <a:pt x="63750" y="25000"/>
                                  </a:cubicBezTo>
                                  <a:cubicBezTo>
                                    <a:pt x="63750" y="27761"/>
                                    <a:pt x="62071" y="30000"/>
                                    <a:pt x="60000" y="30000"/>
                                  </a:cubicBezTo>
                                  <a:cubicBezTo>
                                    <a:pt x="57929" y="30000"/>
                                    <a:pt x="56250" y="32239"/>
                                    <a:pt x="56250" y="35000"/>
                                  </a:cubicBezTo>
                                  <a:cubicBezTo>
                                    <a:pt x="56250" y="37762"/>
                                    <a:pt x="57929" y="40000"/>
                                    <a:pt x="60000" y="40000"/>
                                  </a:cubicBezTo>
                                  <a:lnTo>
                                    <a:pt x="96000" y="40000"/>
                                  </a:lnTo>
                                  <a:lnTo>
                                    <a:pt x="96000" y="20000"/>
                                  </a:lnTo>
                                  <a:lnTo>
                                    <a:pt x="120000" y="70000"/>
                                  </a:lnTo>
                                  <a:lnTo>
                                    <a:pt x="96000" y="120000"/>
                                  </a:lnTo>
                                  <a:lnTo>
                                    <a:pt x="96000" y="100000"/>
                                  </a:lnTo>
                                  <a:lnTo>
                                    <a:pt x="60000" y="100000"/>
                                  </a:lnTo>
                                  <a:cubicBezTo>
                                    <a:pt x="57929" y="100000"/>
                                    <a:pt x="56250" y="97762"/>
                                    <a:pt x="56250" y="95000"/>
                                  </a:cubicBezTo>
                                  <a:lnTo>
                                    <a:pt x="56250" y="80000"/>
                                  </a:lnTo>
                                  <a:lnTo>
                                    <a:pt x="24000" y="80000"/>
                                  </a:lnTo>
                                  <a:lnTo>
                                    <a:pt x="24000" y="100000"/>
                                  </a:lnTo>
                                  <a:close/>
                                  <a:moveTo>
                                    <a:pt x="63750" y="25000"/>
                                  </a:moveTo>
                                  <a:lnTo>
                                    <a:pt x="63750" y="40000"/>
                                  </a:lnTo>
                                  <a:moveTo>
                                    <a:pt x="56250" y="35000"/>
                                  </a:moveTo>
                                  <a:lnTo>
                                    <a:pt x="56250" y="80000"/>
                                  </a:lnTo>
                                </a:path>
                              </a:pathLst>
                            </a:custGeom>
                            <a:solidFill>
                              <a:srgbClr val="787878"/>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66708" y="877601"/>
                              <a:ext cx="2346188" cy="12083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266708" y="877601"/>
                              <a:ext cx="2346188" cy="12083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t xml:space="preserve">Busqueda Activa</w:t>
                                </w:r>
                                <w:r w:rsidDel="00000000" w:rsidR="00000000" w:rsidRPr="00000000">
                                  <w:rPr>
                                    <w:rFonts w:ascii="Calibri" w:cs="Calibri" w:eastAsia="Calibri" w:hAnsi="Calibri"/>
                                    <w:b w:val="0"/>
                                    <w:i w:val="0"/>
                                    <w:smallCaps w:val="0"/>
                                    <w:strike w:val="0"/>
                                    <w:color w:val="000000"/>
                                    <w:sz w:val="26"/>
                                    <w:vertAlign w:val="baseline"/>
                                  </w:rPr>
                                  <w:t xml:space="preserve">: Busqueda de eventos e incidentes  "alertan" sobre fallas en la atencion del paciente.</w:t>
                                </w:r>
                              </w:p>
                            </w:txbxContent>
                          </wps:txbx>
                          <wps:bodyPr anchorCtr="0" anchor="ctr" bIns="49525" lIns="0" spcFirstLastPara="1" rIns="0" wrap="square" tIns="46225">
                            <a:noAutofit/>
                          </wps:bodyPr>
                        </wps:wsp>
                        <wps:wsp>
                          <wps:cNvSpPr/>
                          <wps:cNvPr id="7" name="Shape 7"/>
                          <wps:spPr>
                            <a:xfrm>
                              <a:off x="2743200" y="1238097"/>
                              <a:ext cx="2139696" cy="107533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2743200" y="1238097"/>
                              <a:ext cx="2139696" cy="107533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t xml:space="preserve">Busqueda Pasiva</w:t>
                                </w:r>
                                <w:r w:rsidDel="00000000" w:rsidR="00000000" w:rsidRPr="00000000">
                                  <w:rPr>
                                    <w:rFonts w:ascii="Calibri" w:cs="Calibri" w:eastAsia="Calibri" w:hAnsi="Calibri"/>
                                    <w:b w:val="0"/>
                                    <w:i w:val="0"/>
                                    <w:smallCaps w:val="0"/>
                                    <w:strike w:val="0"/>
                                    <w:color w:val="000000"/>
                                    <w:sz w:val="26"/>
                                    <w:vertAlign w:val="baseline"/>
                                  </w:rPr>
                                  <w:t xml:space="preserve">: Reporte de eventos aversos e incidentes de acuerdo al listado de eventos e incidentes suceptibles a reporte</w:t>
                                </w:r>
                              </w:p>
                            </w:txbxContent>
                          </wps:txbx>
                          <wps:bodyPr anchorCtr="0" anchor="ctr" bIns="49525" lIns="0" spcFirstLastPara="1" rIns="0" wrap="square" tIns="46225">
                            <a:noAutofit/>
                          </wps:bodyPr>
                        </wps:wsp>
                      </wpg:grpSp>
                    </wpg:wgp>
                  </a:graphicData>
                </a:graphic>
              </wp:inline>
            </w:drawing>
          </mc:Choice>
          <mc:Fallback>
            <w:drawing>
              <wp:inline distB="0" distT="0" distL="0" distR="0">
                <wp:extent cx="5486400" cy="3200400"/>
                <wp:effectExtent b="0" l="0" r="0" t="0"/>
                <wp:docPr id="1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pStyle w:val="Heading2"/>
        <w:numPr>
          <w:ilvl w:val="1"/>
          <w:numId w:val="4"/>
        </w:numPr>
        <w:ind w:left="360" w:hanging="360"/>
        <w:jc w:val="both"/>
        <w:rPr/>
      </w:pPr>
      <w:bookmarkStart w:colFirst="0" w:colLast="0" w:name="_heading=h.26in1rg" w:id="41"/>
      <w:bookmarkEnd w:id="41"/>
      <w:r w:rsidDel="00000000" w:rsidR="00000000" w:rsidRPr="00000000">
        <w:rPr>
          <w:rtl w:val="0"/>
        </w:rPr>
        <w:t xml:space="preserve">Procedimiento en caso de evento adverso o incidente: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Todo el talento humano de la institución, debe estar en capacidad de realizar el reporte de todos los eventos adversos e incidentes que puedan presentarse en la institución.</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Debe ser informado al líder del comité de seguridad del paciente en un plazo de 24 horas después de identificado el evento.</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diligencia el formato </w:t>
      </w:r>
      <w:r w:rsidDel="00000000" w:rsidR="00000000" w:rsidRPr="00000000">
        <w:rPr>
          <w:rFonts w:ascii="Arial" w:cs="Arial" w:eastAsia="Arial" w:hAnsi="Arial"/>
          <w:color w:val="000000"/>
          <w:sz w:val="24"/>
          <w:szCs w:val="24"/>
          <w:u w:val="single"/>
          <w:rtl w:val="0"/>
        </w:rPr>
        <w:t xml:space="preserve">REPORTE EVENTO ADVERSO E INCIDENTE.</w:t>
      </w:r>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vez se tenga conocimiento, se realiza el análisis del mismo, se documenta.</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el análisis de los eventos adversos e incidentes, se adopta una metodología de análisis retrospectivo protocolo de Londres, en el cual se enfoca en las causas o fallas que generaron el evento y no en la búsqueda de responsables. Para dejar evidencia del mismo en el </w:t>
      </w:r>
      <w:r w:rsidDel="00000000" w:rsidR="00000000" w:rsidRPr="00000000">
        <w:rPr>
          <w:rFonts w:ascii="Arial" w:cs="Arial" w:eastAsia="Arial" w:hAnsi="Arial"/>
          <w:color w:val="000000"/>
          <w:sz w:val="24"/>
          <w:szCs w:val="24"/>
          <w:u w:val="single"/>
          <w:rtl w:val="0"/>
        </w:rPr>
        <w:t xml:space="preserve">FORMATO </w:t>
      </w:r>
      <w:r w:rsidDel="00000000" w:rsidR="00000000" w:rsidRPr="00000000">
        <w:rPr>
          <w:rFonts w:ascii="Arial" w:cs="Arial" w:eastAsia="Arial" w:hAnsi="Arial"/>
          <w:sz w:val="24"/>
          <w:szCs w:val="24"/>
          <w:u w:val="single"/>
          <w:rtl w:val="0"/>
        </w:rPr>
        <w:t xml:space="preserve">ANÁLISIS</w:t>
      </w:r>
      <w:r w:rsidDel="00000000" w:rsidR="00000000" w:rsidRPr="00000000">
        <w:rPr>
          <w:rFonts w:ascii="Arial" w:cs="Arial" w:eastAsia="Arial" w:hAnsi="Arial"/>
          <w:color w:val="000000"/>
          <w:sz w:val="24"/>
          <w:szCs w:val="24"/>
          <w:u w:val="single"/>
          <w:rtl w:val="0"/>
        </w:rPr>
        <w:t xml:space="preserve"> DE CASOS</w:t>
      </w:r>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Dentro del comité de seguridad del paciente se genera el respectivo plan de mejoramiento y se socializa a todo el personal asistencial.</w:t>
      </w:r>
    </w:p>
    <w:p w:rsidR="00000000" w:rsidDel="00000000" w:rsidP="00000000" w:rsidRDefault="00000000" w:rsidRPr="00000000" w14:paraId="0000007A">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B">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C">
      <w:pPr>
        <w:spacing w:after="0"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No. 01</w:t>
      </w:r>
    </w:p>
    <w:p w:rsidR="00000000" w:rsidDel="00000000" w:rsidP="00000000" w:rsidRDefault="00000000" w:rsidRPr="00000000" w14:paraId="0000007D">
      <w:pPr>
        <w:spacing w:after="0" w:lineRule="auto"/>
        <w:ind w:firstLine="72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E">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eventos adversos e incidentes protocolo de Londres</w:t>
      </w:r>
    </w:p>
    <w:p w:rsidR="00000000" w:rsidDel="00000000" w:rsidP="00000000" w:rsidRDefault="00000000" w:rsidRPr="00000000" w14:paraId="0000007F">
      <w:pPr>
        <w:spacing w:after="0" w:befor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87200" cy="3353631"/>
            <wp:effectExtent b="0" l="0" r="0" t="0"/>
            <wp:docPr id="12" name="image2.png"/>
            <a:graphic>
              <a:graphicData uri="http://schemas.openxmlformats.org/drawingml/2006/picture">
                <pic:pic>
                  <pic:nvPicPr>
                    <pic:cNvPr id="0" name="image2.png"/>
                    <pic:cNvPicPr preferRelativeResize="0"/>
                  </pic:nvPicPr>
                  <pic:blipFill>
                    <a:blip r:embed="rId10"/>
                    <a:srcRect b="13060" l="7637" r="23286" t="14489"/>
                    <a:stretch>
                      <a:fillRect/>
                    </a:stretch>
                  </pic:blipFill>
                  <pic:spPr>
                    <a:xfrm>
                      <a:off x="0" y="0"/>
                      <a:ext cx="5687200" cy="335363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numPr>
          <w:ilvl w:val="0"/>
          <w:numId w:val="4"/>
        </w:numPr>
        <w:ind w:left="360" w:hanging="360"/>
        <w:jc w:val="both"/>
        <w:rPr/>
      </w:pPr>
      <w:bookmarkStart w:colFirst="0" w:colLast="0" w:name="_heading=h.lnxbz9" w:id="42"/>
      <w:bookmarkEnd w:id="42"/>
      <w:r w:rsidDel="00000000" w:rsidR="00000000" w:rsidRPr="00000000">
        <w:rPr>
          <w:rtl w:val="0"/>
        </w:rPr>
        <w:t xml:space="preserve">METODOLOGÍAS PARA EL ANÁLISIS DE LOS EVENTOS ADVERSO: Procedimiento de análisis mediante Protocolo de Londres.</w:t>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jc w:val="both"/>
        <w:rPr>
          <w:rFonts w:ascii="Arial" w:cs="Arial" w:eastAsia="Arial" w:hAnsi="Arial"/>
          <w:sz w:val="24"/>
          <w:szCs w:val="24"/>
        </w:rPr>
      </w:pPr>
      <w:bookmarkStart w:colFirst="0" w:colLast="0" w:name="_heading=h.oitwfsonwrk" w:id="43"/>
      <w:bookmarkEnd w:id="43"/>
      <w:r w:rsidDel="00000000" w:rsidR="00000000" w:rsidRPr="00000000">
        <w:rPr>
          <w:rFonts w:ascii="Arial" w:cs="Arial" w:eastAsia="Arial" w:hAnsi="Arial"/>
          <w:sz w:val="24"/>
          <w:szCs w:val="24"/>
          <w:rtl w:val="0"/>
        </w:rPr>
        <w:t xml:space="preserve">El protocolo de Londres constituye una guía práctica para administradores de riesgo y otros profesionales interesados en el tema.</w:t>
      </w:r>
    </w:p>
    <w:p w:rsidR="00000000" w:rsidDel="00000000" w:rsidP="00000000" w:rsidRDefault="00000000" w:rsidRPr="00000000" w14:paraId="00000083">
      <w:pPr>
        <w:jc w:val="both"/>
        <w:rPr>
          <w:rFonts w:ascii="Arial" w:cs="Arial" w:eastAsia="Arial" w:hAnsi="Arial"/>
          <w:sz w:val="24"/>
          <w:szCs w:val="24"/>
        </w:rPr>
      </w:pPr>
      <w:bookmarkStart w:colFirst="0" w:colLast="0" w:name="_heading=h.diph6zl5ezl3" w:id="44"/>
      <w:bookmarkEnd w:id="44"/>
      <w:r w:rsidDel="00000000" w:rsidR="00000000" w:rsidRPr="00000000">
        <w:rPr>
          <w:rFonts w:ascii="Arial" w:cs="Arial" w:eastAsia="Arial" w:hAnsi="Arial"/>
          <w:sz w:val="24"/>
          <w:szCs w:val="24"/>
          <w:rtl w:val="0"/>
        </w:rPr>
        <w:t xml:space="preserve">Su propósito es facilitar la investigación clara y objetiva de los incidentes clínicos, lo cual implica ir mucho más allá de simplemente identificar la falla o de establecer quién tuvo la culpa. Por tratarse de un proceso de reflexión sistemático y bien estructurado tiene mucha más probabilidad de éxito que aquellos métodos basados en tormenta de ideas casual o en sospechas basadas en valoraciones rápidas de expertos. No reemplaza la experiencia clínica, ni desconoce la importancia de las reflexiones individuales de los clínicos. Por el contrario, las utiliza al máximo, en el momento y de la forma adecuada.</w:t>
      </w:r>
    </w:p>
    <w:p w:rsidR="00000000" w:rsidDel="00000000" w:rsidP="00000000" w:rsidRDefault="00000000" w:rsidRPr="00000000" w14:paraId="00000084">
      <w:pPr>
        <w:jc w:val="both"/>
        <w:rPr>
          <w:rFonts w:ascii="Arial" w:cs="Arial" w:eastAsia="Arial" w:hAnsi="Arial"/>
          <w:sz w:val="24"/>
          <w:szCs w:val="24"/>
        </w:rPr>
      </w:pPr>
      <w:bookmarkStart w:colFirst="0" w:colLast="0" w:name="_heading=h.7mrz9t3xs5b5" w:id="45"/>
      <w:bookmarkEnd w:id="45"/>
      <w:r w:rsidDel="00000000" w:rsidR="00000000" w:rsidRPr="00000000">
        <w:rPr>
          <w:rFonts w:ascii="Arial" w:cs="Arial" w:eastAsia="Arial" w:hAnsi="Arial"/>
          <w:sz w:val="24"/>
          <w:szCs w:val="24"/>
          <w:rtl w:val="0"/>
        </w:rPr>
        <w:t xml:space="preserve">Pasos Protocolo de Londres: Identificación y decisión de investigar. Es obvio que el proceso de investigación y análisis de un incidente supone un paso previo: haberlo identificado. Detrás de la identificación está el inmenso campo del reporte de los errores y eventos adversos, el cual, como se ha discutido en otros documentos, solo ocurre en instituciones que promueven activamente una cultura en la que se puede hablar libremente de las fallas, sin miedo al castigo, en donde no se sanciona el error, pero si el ocultamiento. Una vez identificado el incidente la institución debe decidir si inicia o no el proceso. En términos generales, esta determinación se toma teniendo en cuenta la gravedad del incidente y el potencial aprendizaje organizacional. Independientemente de los criterios que se utilicen, toda organización debe hacer explícito los motivos y las circunstancias por las que se inicia una investigación.</w:t>
      </w:r>
    </w:p>
    <w:p w:rsidR="00000000" w:rsidDel="00000000" w:rsidP="00000000" w:rsidRDefault="00000000" w:rsidRPr="00000000" w14:paraId="00000085">
      <w:pPr>
        <w:jc w:val="both"/>
        <w:rPr>
          <w:rFonts w:ascii="Arial" w:cs="Arial" w:eastAsia="Arial" w:hAnsi="Arial"/>
          <w:sz w:val="24"/>
          <w:szCs w:val="24"/>
        </w:rPr>
      </w:pPr>
      <w:bookmarkStart w:colFirst="0" w:colLast="0" w:name="_heading=h.qdpg2dospwah" w:id="46"/>
      <w:bookmarkEnd w:id="46"/>
      <w:r w:rsidDel="00000000" w:rsidR="00000000" w:rsidRPr="00000000">
        <w:rPr>
          <w:rFonts w:ascii="Arial" w:cs="Arial" w:eastAsia="Arial" w:hAnsi="Arial"/>
          <w:sz w:val="24"/>
          <w:szCs w:val="24"/>
          <w:rtl w:val="0"/>
        </w:rPr>
        <w:t xml:space="preserve">Selección del equipo investigador. Hay que reconocer que un proceso complejo como este requiere, además de conocimiento y experiencia en investigación de incidentes, conocimiento y experiencia clínica específica. Idealmente un equipo investigador debe estar integrado por 3 a 4 personas lideradas por un investigador. Las personas con competencias múltiples son muy útiles en estos equipos, siempre y cuando cuenten con el tiempo necesario. Un equipo debe contar con:</w:t>
      </w:r>
    </w:p>
    <w:p w:rsidR="00000000" w:rsidDel="00000000" w:rsidP="00000000" w:rsidRDefault="00000000" w:rsidRPr="00000000" w14:paraId="00000086">
      <w:pPr>
        <w:jc w:val="both"/>
        <w:rPr>
          <w:rFonts w:ascii="Arial" w:cs="Arial" w:eastAsia="Arial" w:hAnsi="Arial"/>
          <w:sz w:val="24"/>
          <w:szCs w:val="24"/>
        </w:rPr>
      </w:pPr>
      <w:bookmarkStart w:colFirst="0" w:colLast="0" w:name="_heading=h.49ij4hycxtwb" w:id="47"/>
      <w:bookmarkEnd w:id="47"/>
      <w:r w:rsidDel="00000000" w:rsidR="00000000" w:rsidRPr="00000000">
        <w:rPr>
          <w:rFonts w:ascii="Arial" w:cs="Arial" w:eastAsia="Arial" w:hAnsi="Arial"/>
          <w:sz w:val="24"/>
          <w:szCs w:val="24"/>
          <w:rtl w:val="0"/>
        </w:rPr>
        <w:t xml:space="preserve">Experto en investigación y análisis de incidentes clínicos. o Punto de vista externo (miembro de Junta Directiva sin conocimiento médico específico). o Autoridad administrativa senior (Director Médico, Jefe de Enfermería, etc). o Autoridad clínica senior (Director Médico, Jefe de Departamento, Jefe de Sección, especialista reconocido, etc.). o Miembro de la unidad asistencial donde ocurrió el incidente, no involucrado directamente.</w:t>
      </w:r>
    </w:p>
    <w:p w:rsidR="00000000" w:rsidDel="00000000" w:rsidP="00000000" w:rsidRDefault="00000000" w:rsidRPr="00000000" w14:paraId="00000087">
      <w:pPr>
        <w:jc w:val="both"/>
        <w:rPr>
          <w:rFonts w:ascii="Arial" w:cs="Arial" w:eastAsia="Arial" w:hAnsi="Arial"/>
          <w:sz w:val="24"/>
          <w:szCs w:val="24"/>
        </w:rPr>
      </w:pPr>
      <w:bookmarkStart w:colFirst="0" w:colLast="0" w:name="_heading=h.edabxntcugvu" w:id="48"/>
      <w:bookmarkEnd w:id="48"/>
      <w:r w:rsidDel="00000000" w:rsidR="00000000" w:rsidRPr="00000000">
        <w:rPr>
          <w:rFonts w:ascii="Arial" w:cs="Arial" w:eastAsia="Arial" w:hAnsi="Arial"/>
          <w:sz w:val="24"/>
          <w:szCs w:val="24"/>
          <w:rtl w:val="0"/>
        </w:rPr>
        <w:t xml:space="preserve">Es posible que para investigar un incidente menor una persona con competencias múltiples (investigador, autoridad administrativa y clínica) sea suficiente.</w:t>
      </w:r>
    </w:p>
    <w:p w:rsidR="00000000" w:rsidDel="00000000" w:rsidP="00000000" w:rsidRDefault="00000000" w:rsidRPr="00000000" w14:paraId="00000088">
      <w:pPr>
        <w:jc w:val="both"/>
        <w:rPr>
          <w:rFonts w:ascii="Arial" w:cs="Arial" w:eastAsia="Arial" w:hAnsi="Arial"/>
          <w:sz w:val="24"/>
          <w:szCs w:val="24"/>
        </w:rPr>
      </w:pPr>
      <w:bookmarkStart w:colFirst="0" w:colLast="0" w:name="_heading=h.n6lmcb7ltgnh" w:id="49"/>
      <w:bookmarkEnd w:id="49"/>
      <w:r w:rsidDel="00000000" w:rsidR="00000000" w:rsidRPr="00000000">
        <w:rPr>
          <w:rFonts w:ascii="Arial" w:cs="Arial" w:eastAsia="Arial" w:hAnsi="Arial"/>
          <w:sz w:val="24"/>
          <w:szCs w:val="24"/>
          <w:rtl w:val="0"/>
        </w:rPr>
        <w:t xml:space="preserve">Obtención y organización de información. Todos los hechos, conocimiento y elementos físicos involucrados deben recolectarse tan pronto como sea posible. Estos incluyen como mínimo: o Historia clínica completa. o Protocolos y procedimientos relacionados con el incidente. o Declaraciones y observaciones inmediatas. o Entrevistas con los involucrados. o Evidencia física (planos del piso, listas de turnos, hojas de vida de los equipos involucrados, etc.). u Otros aspectos relevantes tales como índice de rotación del personal y disponibilidad de personal bien adiestrado.</w:t>
      </w:r>
    </w:p>
    <w:p w:rsidR="00000000" w:rsidDel="00000000" w:rsidP="00000000" w:rsidRDefault="00000000" w:rsidRPr="00000000" w14:paraId="00000089">
      <w:pPr>
        <w:jc w:val="both"/>
        <w:rPr>
          <w:rFonts w:ascii="Arial" w:cs="Arial" w:eastAsia="Arial" w:hAnsi="Arial"/>
          <w:sz w:val="24"/>
          <w:szCs w:val="24"/>
        </w:rPr>
      </w:pPr>
      <w:bookmarkStart w:colFirst="0" w:colLast="0" w:name="_heading=h.mz7fgfqrk40k" w:id="50"/>
      <w:bookmarkEnd w:id="50"/>
      <w:r w:rsidDel="00000000" w:rsidR="00000000" w:rsidRPr="00000000">
        <w:rPr>
          <w:rFonts w:ascii="Arial" w:cs="Arial" w:eastAsia="Arial" w:hAnsi="Arial"/>
          <w:sz w:val="24"/>
          <w:szCs w:val="24"/>
          <w:rtl w:val="0"/>
        </w:rPr>
        <w:t xml:space="preserve">Las declaraciones y observaciones inmediatas son muy valiosas siempre y cuando se orienten a obtener el tipo de información que se desea tener, para evitar que sean resúmenes incompletos de la historia clínica. Las declaraciones deben ser narraciones espontáneas de la percepción individual acerca de lo ocurrido, de la secuencia de eventos que antecedieron el incidente, de la interpretación acerca de cómo estos eventos participaron en el incidente y de aquellas circunstancias y dificultades que los involucrados enfrentaron –por ejemplo, equipo defectuoso- y no están descritas en la historia clínica. Las observaciones referentes a supervisión o soporte insuficiente o inadecuado es mejor reservarlas para las entrevistas. Esta información debe recolectarse lo más pronto posible después de ocurrido el incidente.</w:t>
      </w:r>
    </w:p>
    <w:p w:rsidR="00000000" w:rsidDel="00000000" w:rsidP="00000000" w:rsidRDefault="00000000" w:rsidRPr="00000000" w14:paraId="0000008A">
      <w:pPr>
        <w:jc w:val="both"/>
        <w:rPr>
          <w:rFonts w:ascii="Arial" w:cs="Arial" w:eastAsia="Arial" w:hAnsi="Arial"/>
          <w:sz w:val="24"/>
          <w:szCs w:val="24"/>
        </w:rPr>
      </w:pPr>
      <w:bookmarkStart w:colFirst="0" w:colLast="0" w:name="_heading=h.r16pajrlxqa7" w:id="51"/>
      <w:bookmarkEnd w:id="51"/>
      <w:r w:rsidDel="00000000" w:rsidR="00000000" w:rsidRPr="00000000">
        <w:rPr>
          <w:rFonts w:ascii="Arial" w:cs="Arial" w:eastAsia="Arial" w:hAnsi="Arial"/>
          <w:sz w:val="24"/>
          <w:szCs w:val="24"/>
          <w:rtl w:val="0"/>
        </w:rPr>
        <w:t xml:space="preserve">Una de las mejores formas de obtener información de las personas involucradas en incidentes clínicos son las entrevistas personales. El equipo investigador decide a quién entrevistar y es responsable de llevarlas a cabo lo más pronto posible.</w:t>
      </w:r>
    </w:p>
    <w:p w:rsidR="00000000" w:rsidDel="00000000" w:rsidP="00000000" w:rsidRDefault="00000000" w:rsidRPr="00000000" w14:paraId="0000008B">
      <w:pPr>
        <w:jc w:val="both"/>
        <w:rPr>
          <w:rFonts w:ascii="Arial" w:cs="Arial" w:eastAsia="Arial" w:hAnsi="Arial"/>
          <w:sz w:val="24"/>
          <w:szCs w:val="24"/>
        </w:rPr>
      </w:pPr>
      <w:bookmarkStart w:colFirst="0" w:colLast="0" w:name="_heading=h.f3psc13yi6nv" w:id="52"/>
      <w:bookmarkEnd w:id="52"/>
      <w:r w:rsidDel="00000000" w:rsidR="00000000" w:rsidRPr="00000000">
        <w:rPr>
          <w:rFonts w:ascii="Arial" w:cs="Arial" w:eastAsia="Arial" w:hAnsi="Arial"/>
          <w:sz w:val="24"/>
          <w:szCs w:val="24"/>
          <w:rtl w:val="0"/>
        </w:rPr>
        <w:t xml:space="preserve">La entrevista debe ajustarse a un protocolo cuyo propósito es tranquilizar al entrevistado y obtener de él un análisis y unas conclusiones lo más cercanas a la realidad de los acontecimientos. La tabla 2 ilustra de manera esquemática el protocolo que debe seguirse en toda entrevista que se conduzca durante un proceso de investigación.</w:t>
      </w:r>
    </w:p>
    <w:tbl>
      <w:tblPr>
        <w:tblStyle w:val="Table1"/>
        <w:tblW w:w="8940.0" w:type="dxa"/>
        <w:jc w:val="left"/>
        <w:tblInd w:w="55.0" w:type="dxa"/>
        <w:tblLayout w:type="fixed"/>
        <w:tblLook w:val="0400"/>
      </w:tblPr>
      <w:tblGrid>
        <w:gridCol w:w="1665"/>
        <w:gridCol w:w="7275"/>
        <w:tblGridChange w:id="0">
          <w:tblGrid>
            <w:gridCol w:w="1665"/>
            <w:gridCol w:w="7275"/>
          </w:tblGrid>
        </w:tblGridChange>
      </w:tblGrid>
      <w:tr>
        <w:trPr>
          <w:cantSplit w:val="0"/>
          <w:trHeight w:val="600" w:hRule="atLeast"/>
          <w:tblHeader w:val="0"/>
        </w:trPr>
        <w:tc>
          <w:tcPr>
            <w:tcBorders>
              <w:top w:color="000000" w:space="0" w:sz="8"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8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tcBorders>
              <w:top w:color="000000" w:space="0" w:sz="8" w:val="single"/>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8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Privado y relajado, lejos del sitio donde ocurrió el incidente. El entrevistado puede estar acompañado por quien desee.</w:t>
            </w:r>
          </w:p>
        </w:tc>
      </w:tr>
      <w:tr>
        <w:trPr>
          <w:cantSplit w:val="0"/>
          <w:trHeight w:val="1200" w:hRule="atLeast"/>
          <w:tblHeader w:val="0"/>
        </w:trPr>
        <w:tc>
          <w:tcPr>
            <w:tcBorders>
              <w:top w:color="000000" w:space="0" w:sz="0" w:val="nil"/>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8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Explique el propósito</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8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Explique al entrevistado el motivo de la entrevista. Evite el estilo conformacional y los juicios de valor. Garantícele que lo que diga no va a ser objeto de represalias y va a mantenerse bajo estricta confidencialidad.</w:t>
            </w:r>
          </w:p>
        </w:tc>
      </w:tr>
      <w:tr>
        <w:trPr>
          <w:cantSplit w:val="0"/>
          <w:trHeight w:val="1200" w:hRule="atLeast"/>
          <w:tblHeader w:val="0"/>
        </w:trPr>
        <w:tc>
          <w:tcPr>
            <w:tcBorders>
              <w:top w:color="000000" w:space="0" w:sz="0" w:val="nil"/>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9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Establezca la</w:t>
              <w:br w:type="textWrapping"/>
              <w:t xml:space="preserve">cronología del</w:t>
              <w:br w:type="textWrapping"/>
              <w:t xml:space="preserve">incidente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9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Identifique el papel del entrevistado en el incidente y registre el límite de su participación. Establezca con su ayuda la secuencia de hechos que llevaron al incidente, tal como él la vivió. Compare esta información con la secuencia general que se conoce hasta el momento.</w:t>
            </w:r>
          </w:p>
        </w:tc>
      </w:tr>
      <w:tr>
        <w:trPr>
          <w:cantSplit w:val="0"/>
          <w:trHeight w:val="1800" w:hRule="atLeast"/>
          <w:tblHeader w:val="0"/>
        </w:trPr>
        <w:tc>
          <w:tcPr>
            <w:tcBorders>
              <w:top w:color="000000" w:space="0" w:sz="0" w:val="nil"/>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9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Identifique las</w:t>
              <w:br w:type="textWrapping"/>
              <w:t xml:space="preserve">acciones</w:t>
              <w:br w:type="textWrapping"/>
              <w:t xml:space="preserve">inseguras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9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Explique al entrevistado el significado del término acción insegura e ilustre el concepto con un ejemplo diferente al caso que se investiga. Invite al entrevistado a identificar acciones inseguras relevantes para el caso, sin preocuparse por si alguien es o no culpable. Cuando hay protocolos es relativamente fácil identificar no adherencia a recomendaciones específicas. Recuerde que en la práctica diaria es aceptable algún grado de variación. </w:t>
            </w:r>
          </w:p>
        </w:tc>
      </w:tr>
      <w:tr>
        <w:trPr>
          <w:cantSplit w:val="0"/>
          <w:trHeight w:val="1500" w:hRule="atLeast"/>
          <w:tblHeader w:val="0"/>
        </w:trPr>
        <w:tc>
          <w:tcPr>
            <w:tcBorders>
              <w:top w:color="000000" w:space="0" w:sz="0" w:val="nil"/>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9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Identifique</w:t>
              <w:br w:type="textWrapping"/>
              <w:t xml:space="preserve">los factores</w:t>
              <w:br w:type="textWrapping"/>
              <w:t xml:space="preserve">contributivos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9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Explique al entrevistado el significado del término factor</w:t>
              <w:br w:type="textWrapping"/>
              <w:t xml:space="preserve">contributivo e incentive su identificación sistemática mediante</w:t>
              <w:br w:type="textWrapping"/>
              <w:t xml:space="preserve">ejemplos ilustrativos. Cuando el entrevistado identifica un factor contributivo pregúntele si es específico para la situación actual o si se trata de un problema general de la unidad asistencial. </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Cierre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Permite que el entrevistado haga todas las preguntas que tenga. Las entrevistas deben durar entre 20 y 30 minutos. </w:t>
            </w:r>
          </w:p>
        </w:tc>
      </w:tr>
    </w:tbl>
    <w:p w:rsidR="00000000" w:rsidDel="00000000" w:rsidP="00000000" w:rsidRDefault="00000000" w:rsidRPr="00000000" w14:paraId="00000098">
      <w:pPr>
        <w:widowControl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Precise la cronología del incidente. Las entrevistas, las declaraciones y las observaciones de quienes participaron de alguna manera en el incidente, junto a la historia clínica, deben ser suficientes para establecer qué y cuándo ocurrió. El equipo investigador tiene la responsabilidad de identificar cualquier discrepancia entre las fuentes. Es útil familiarizarse con alguna de las siguientes metodologías para precisar la cronología: o Narración. Tanto las entrevistas como la historia clínica proporcionan una cronología narrativa de lo ocurrido que permite entender cómo se sucedieron los hechos y cuál fue el papel y las dificultades enfrentadas por los involucrados. o Diagrama. Los movimientos de personas, materiales, documentos e información pueden representarse mediante un dibujo esquemático. Puede ser útil ilustrar la secuencia de hechos como deberían haber ocurrido de acuerdo con las políticas, protocolos y procedimientos, y compararla con la que verdaderamente ocurrió cuando se presentó el incidente.</w:t>
      </w:r>
    </w:p>
    <w:p w:rsidR="00000000" w:rsidDel="00000000" w:rsidP="00000000" w:rsidRDefault="00000000" w:rsidRPr="00000000" w14:paraId="0000009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Identifique las acciones inseguras. Una vez identificada la secuencia de eventos que condujeron al incidente clínico, el equipo investigador debe puntualizar las acciones inseguras. Es probable que algunas se hayan identificado durante las entrevistas o como producto de la revisión de la historia clínica. Sin embargo, es útil organizar una reunión con todo el personal involucrado en el incidente para que entre todos intenten identificar las principales acciones inseguras. La gente que de alguna manera participó en el incidente usualmente es capaz de identificar el motivo por el cual ocurrió. El facilitador debe asegurarse de que las acciones inseguras sean conductas específicas –por acción o por omisión- en lugar de observaciones generales acerca de la calidad de atención. Es fácil encontrarse con afirmaciones tales como “mala comunicación” o “trabajo en equipo deficiente”, las cuales pueden ser características reales del equipo, pero que corresponden a factores contributivos más que a acciones inseguras. Aunque en la práctica las acciones inseguras y los factores contributivos se mezclan, es aconsejable no explorar estos últimos hasta que la lista de las primeras esté completa.</w:t>
      </w:r>
    </w:p>
    <w:p w:rsidR="00000000" w:rsidDel="00000000" w:rsidP="00000000" w:rsidRDefault="00000000" w:rsidRPr="00000000" w14:paraId="0000009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Identifique los factores contributivos. El paso siguiente es identificar las condiciones asociadas con cada acción insegura. Cuando se ha identificado un gran número de acciones inseguras es bueno seleccionar las más importantes y proceder a analizarlas una a una, dado que cada una tiene su propio conjunto de factores contributivos. Es posible que cada acción insegura esté asociada a varios factores. Por ejemplo: desmotivación (individuo), falta de supervisión (equipo de trabajo) y política de entrenamiento inadecuada (organización y gerencia). La figura 3 ilustra un diagrama de espina de pescado asociada a una acción insegura.</w:t>
      </w:r>
    </w:p>
    <w:p w:rsidR="00000000" w:rsidDel="00000000" w:rsidP="00000000" w:rsidRDefault="00000000" w:rsidRPr="00000000" w14:paraId="0000009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Recomendaciones y plan de acción. La etapa de investigación y análisis termina con la identificación de los factores contributivos de cada acción insegura. El paso siguiente es hacer una serie de recomendaciones cuyo propósito es mejorar las debilidades identificadas.</w:t>
      </w:r>
    </w:p>
    <w:p w:rsidR="00000000" w:rsidDel="00000000" w:rsidP="00000000" w:rsidRDefault="00000000" w:rsidRPr="00000000" w14:paraId="0000009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equipo investigador debe ser realista en cuanto a las recomendaciones que propone con el fin de que se traduzcan en mejoramientos comprobables por toda la organización. Cuando se plantean es aconsejable tener en cuenta su complejidad, los recursos que requieren y el nivel de control del que dependen. En ese orden de ideas se debe categorizar cada recomendación de acuerdo con el nivel de control del que depende: individual / grupal, local (equipo), departamento / dirección / organización / autoridad gubernamental y asignar personas con el estatus administrativo y gerencial adecuado para garantizar su ejecución. De esta manera se promueve la cultura de seguridad, pues la gente al ver que el proceso efectivamente conduce a mejoramientos entiende su importancia y se apropia de él.</w:t>
      </w:r>
    </w:p>
    <w:p w:rsidR="00000000" w:rsidDel="00000000" w:rsidP="00000000" w:rsidRDefault="00000000" w:rsidRPr="00000000" w14:paraId="0000009E">
      <w:pPr>
        <w:pStyle w:val="Heading1"/>
        <w:numPr>
          <w:ilvl w:val="0"/>
          <w:numId w:val="4"/>
        </w:numPr>
        <w:ind w:left="360" w:hanging="360"/>
        <w:jc w:val="both"/>
        <w:rPr/>
      </w:pPr>
      <w:bookmarkStart w:colFirst="0" w:colLast="0" w:name="_heading=h.35nkun2" w:id="53"/>
      <w:bookmarkEnd w:id="53"/>
      <w:r w:rsidDel="00000000" w:rsidR="00000000" w:rsidRPr="00000000">
        <w:rPr>
          <w:rtl w:val="0"/>
        </w:rPr>
        <w:t xml:space="preserve">ESTRATEGIAS PARA PROFUNDIZAR LA CULTURA INSTITUCIONAL DE SEGURIDAD DEL PACIENTE: </w:t>
      </w:r>
    </w:p>
    <w:p w:rsidR="00000000" w:rsidDel="00000000" w:rsidP="00000000" w:rsidRDefault="00000000" w:rsidRPr="00000000" w14:paraId="0000009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encaminadas a gestionar la seguridad del paciente.</w:t>
      </w:r>
    </w:p>
    <w:p w:rsidR="00000000" w:rsidDel="00000000" w:rsidP="00000000" w:rsidRDefault="00000000" w:rsidRPr="00000000" w14:paraId="000000A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pStyle w:val="Heading2"/>
        <w:jc w:val="both"/>
        <w:rPr/>
      </w:pPr>
      <w:bookmarkStart w:colFirst="0" w:colLast="0" w:name="_heading=h.z337ya" w:id="54"/>
      <w:bookmarkEnd w:id="54"/>
      <w:r w:rsidDel="00000000" w:rsidR="00000000" w:rsidRPr="00000000">
        <w:rPr>
          <w:rtl w:val="0"/>
        </w:rPr>
        <w:t xml:space="preserve">9.1 Rondas de Seguridad del Paciente: </w:t>
      </w:r>
    </w:p>
    <w:p w:rsidR="00000000" w:rsidDel="00000000" w:rsidP="00000000" w:rsidRDefault="00000000" w:rsidRPr="00000000" w14:paraId="000000A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De igual manera se deberá realizar rondas de seguridad en las instalaciones de la institución de manera regular, dejando evidencia de mínimo un caso mensual en el formato </w:t>
      </w:r>
      <w:r w:rsidDel="00000000" w:rsidR="00000000" w:rsidRPr="00000000">
        <w:rPr>
          <w:rFonts w:ascii="Arial" w:cs="Arial" w:eastAsia="Arial" w:hAnsi="Arial"/>
          <w:sz w:val="24"/>
          <w:szCs w:val="24"/>
          <w:u w:val="single"/>
          <w:rtl w:val="0"/>
        </w:rPr>
        <w:t xml:space="preserve">LISTA DE CHEQUEO RONDAS DE SEGURIDAD DEL PACIENTE</w:t>
      </w:r>
      <w:r w:rsidDel="00000000" w:rsidR="00000000" w:rsidRPr="00000000">
        <w:rPr>
          <w:rFonts w:ascii="Arial" w:cs="Arial" w:eastAsia="Arial" w:hAnsi="Arial"/>
          <w:sz w:val="24"/>
          <w:szCs w:val="24"/>
          <w:rtl w:val="0"/>
        </w:rPr>
        <w:t xml:space="preserve">. Durante este proceso se debe realizar recorrido por las instalaciones físicas y realizar entrevista semiestructurada al personal seleccionado con base en la lista de chequeo del formato designado para tal fin, con el fin de identificar las prácticas inseguras durante el ciclo de atención. </w:t>
      </w:r>
      <w:r w:rsidDel="00000000" w:rsidR="00000000" w:rsidRPr="00000000">
        <w:rPr>
          <w:rtl w:val="0"/>
        </w:rPr>
      </w:r>
    </w:p>
    <w:p w:rsidR="00000000" w:rsidDel="00000000" w:rsidP="00000000" w:rsidRDefault="00000000" w:rsidRPr="00000000" w14:paraId="000000A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pStyle w:val="Heading2"/>
        <w:jc w:val="both"/>
        <w:rPr/>
      </w:pPr>
      <w:bookmarkStart w:colFirst="0" w:colLast="0" w:name="_heading=h.3j2qqm3" w:id="55"/>
      <w:bookmarkEnd w:id="55"/>
      <w:r w:rsidDel="00000000" w:rsidR="00000000" w:rsidRPr="00000000">
        <w:rPr>
          <w:rtl w:val="0"/>
        </w:rPr>
        <w:t xml:space="preserve">9.2 Plan de capacitación en temas de Seguridad del Paciente</w:t>
      </w:r>
    </w:p>
    <w:p w:rsidR="00000000" w:rsidDel="00000000" w:rsidP="00000000" w:rsidRDefault="00000000" w:rsidRPr="00000000" w14:paraId="000000A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jc w:val="both"/>
        <w:rPr>
          <w:rFonts w:ascii="Arial" w:cs="Arial" w:eastAsia="Arial" w:hAnsi="Arial"/>
          <w:sz w:val="24"/>
          <w:szCs w:val="24"/>
        </w:rPr>
      </w:pPr>
      <w:bookmarkStart w:colFirst="0" w:colLast="0" w:name="_heading=h.9anpo8j44ri8" w:id="56"/>
      <w:bookmarkEnd w:id="56"/>
      <w:r w:rsidDel="00000000" w:rsidR="00000000" w:rsidRPr="00000000">
        <w:rPr>
          <w:rFonts w:ascii="Arial" w:cs="Arial" w:eastAsia="Arial" w:hAnsi="Arial"/>
          <w:sz w:val="24"/>
          <w:szCs w:val="24"/>
          <w:rtl w:val="0"/>
        </w:rPr>
        <w:t xml:space="preserve">Es cultura de seguridad la capacidad de una organización para identificar, informar e investigar los incidentes y eventos adversos presentados, con el fin de tomar las medidas correctivas trayendo consigo beneficios tanto para el usuario como la institución que llevan a mejorar el sistema de atención y a reducir el riesgo de recurrencia, todo ello mediante acciones pedagógicas donde no se busquen culpables sino oportunidades de aprendizaje y mejora, y donde se incluya al paciente y sus cuidadores como actores importantes de ésta.</w:t>
      </w:r>
    </w:p>
    <w:p w:rsidR="00000000" w:rsidDel="00000000" w:rsidP="00000000" w:rsidRDefault="00000000" w:rsidRPr="00000000" w14:paraId="000000A9">
      <w:pPr>
        <w:jc w:val="both"/>
        <w:rPr>
          <w:rFonts w:ascii="Arial" w:cs="Arial" w:eastAsia="Arial" w:hAnsi="Arial"/>
          <w:sz w:val="24"/>
          <w:szCs w:val="24"/>
        </w:rPr>
      </w:pPr>
      <w:bookmarkStart w:colFirst="0" w:colLast="0" w:name="_heading=h.2di2y291xsse" w:id="57"/>
      <w:bookmarkEnd w:id="57"/>
      <w:r w:rsidDel="00000000" w:rsidR="00000000" w:rsidRPr="00000000">
        <w:rPr>
          <w:rFonts w:ascii="Arial" w:cs="Arial" w:eastAsia="Arial" w:hAnsi="Arial"/>
          <w:sz w:val="24"/>
          <w:szCs w:val="24"/>
          <w:rtl w:val="0"/>
        </w:rPr>
        <w:t xml:space="preserve">El plan de Capacitación de la organización incluye como mínimo las siguientes temáticas: </w:t>
      </w:r>
    </w:p>
    <w:p w:rsidR="00000000" w:rsidDel="00000000" w:rsidP="00000000" w:rsidRDefault="00000000" w:rsidRPr="00000000" w14:paraId="000000A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Política de Seguridad Institucional</w:t>
      </w:r>
    </w:p>
    <w:p w:rsidR="00000000" w:rsidDel="00000000" w:rsidP="00000000" w:rsidRDefault="00000000" w:rsidRPr="00000000" w14:paraId="000000A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Taxonomía/terminología Seguridad del Paciente</w:t>
      </w:r>
    </w:p>
    <w:p w:rsidR="00000000" w:rsidDel="00000000" w:rsidP="00000000" w:rsidRDefault="00000000" w:rsidRPr="00000000" w14:paraId="000000AD">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Sistema de Reporte de Fallas en la Atención</w:t>
      </w:r>
    </w:p>
    <w:p w:rsidR="00000000" w:rsidDel="00000000" w:rsidP="00000000" w:rsidRDefault="00000000" w:rsidRPr="00000000" w14:paraId="000000AE">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Metodología Institucional de Análisis de Causas de los Incidentes y Eventos Adversos</w:t>
      </w:r>
    </w:p>
    <w:p w:rsidR="00000000" w:rsidDel="00000000" w:rsidP="00000000" w:rsidRDefault="00000000" w:rsidRPr="00000000" w14:paraId="000000AF">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Buenas Prácticas en Seguridad del Paciente, en el ámbito de la IPS</w:t>
      </w:r>
    </w:p>
    <w:p w:rsidR="00000000" w:rsidDel="00000000" w:rsidP="00000000" w:rsidRDefault="00000000" w:rsidRPr="00000000" w14:paraId="000000B0">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Detectar y Prevenir la Ocurrencia de Infecciones Asociadas a la Atención en Salud</w:t>
      </w:r>
    </w:p>
    <w:p w:rsidR="00000000" w:rsidDel="00000000" w:rsidP="00000000" w:rsidRDefault="00000000" w:rsidRPr="00000000" w14:paraId="000000B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Asegurar la Correcta Identificación del paciente en los procesos asistenciales</w:t>
      </w:r>
    </w:p>
    <w:p w:rsidR="00000000" w:rsidDel="00000000" w:rsidP="00000000" w:rsidRDefault="00000000" w:rsidRPr="00000000" w14:paraId="000000B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Prevenir, Detectar y Actuar ante el Riesgo de Caídas</w:t>
      </w:r>
    </w:p>
    <w:p w:rsidR="00000000" w:rsidDel="00000000" w:rsidP="00000000" w:rsidRDefault="00000000" w:rsidRPr="00000000" w14:paraId="000000B3">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Ver cronograma de capacitaciones</w:t>
      </w:r>
    </w:p>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pStyle w:val="Heading2"/>
        <w:jc w:val="both"/>
        <w:rPr/>
      </w:pPr>
      <w:bookmarkStart w:colFirst="0" w:colLast="0" w:name="_heading=h.1y810tw" w:id="58"/>
      <w:bookmarkEnd w:id="58"/>
      <w:r w:rsidDel="00000000" w:rsidR="00000000" w:rsidRPr="00000000">
        <w:rPr>
          <w:rtl w:val="0"/>
        </w:rPr>
        <w:t xml:space="preserve">9.3 Campañas Internas</w:t>
      </w:r>
    </w:p>
    <w:p w:rsidR="00000000" w:rsidDel="00000000" w:rsidP="00000000" w:rsidRDefault="00000000" w:rsidRPr="00000000" w14:paraId="000000B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Herramienta para fortalecer la cultura de seguridad del paciente se deben realizar campañas internas donde se involucre a pacientes y sus familiares quienes deben convertirse en verificadores e informadores activos durante su atención. </w:t>
      </w:r>
    </w:p>
    <w:p w:rsidR="00000000" w:rsidDel="00000000" w:rsidP="00000000" w:rsidRDefault="00000000" w:rsidRPr="00000000" w14:paraId="000000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Mensualmente, durante la reunión de comités se deberá socializar con todo el personal asistencial y administrativo la ocurrencia de eventos adversos e incidentes con el fin de concientizar al personal de las fallas que se están presentando y tomar las acciones correctivas necesarias, donde se aprenda del error presentado durante el ciclo de atención y minimizar su nueva ocurrencia. </w:t>
      </w:r>
    </w:p>
    <w:p w:rsidR="00000000" w:rsidDel="00000000" w:rsidP="00000000" w:rsidRDefault="00000000" w:rsidRPr="00000000" w14:paraId="000000B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pStyle w:val="Heading1"/>
        <w:numPr>
          <w:ilvl w:val="0"/>
          <w:numId w:val="4"/>
        </w:numPr>
        <w:ind w:left="360" w:hanging="360"/>
        <w:jc w:val="both"/>
        <w:rPr/>
      </w:pPr>
      <w:bookmarkStart w:colFirst="0" w:colLast="0" w:name="_heading=h.q2fa0urir600" w:id="59"/>
      <w:bookmarkEnd w:id="59"/>
      <w:r w:rsidDel="00000000" w:rsidR="00000000" w:rsidRPr="00000000">
        <w:rPr>
          <w:rtl w:val="0"/>
        </w:rPr>
        <w:t xml:space="preserve">BUENAS PRÁCTICAS EN SEGURIDAD DEL PACIENTE </w:t>
      </w:r>
    </w:p>
    <w:p w:rsidR="00000000" w:rsidDel="00000000" w:rsidP="00000000" w:rsidRDefault="00000000" w:rsidRPr="00000000" w14:paraId="000000B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jc w:val="both"/>
        <w:rPr>
          <w:rFonts w:ascii="Arial" w:cs="Arial" w:eastAsia="Arial" w:hAnsi="Arial"/>
          <w:sz w:val="24"/>
          <w:szCs w:val="24"/>
        </w:rPr>
      </w:pPr>
      <w:bookmarkStart w:colFirst="0" w:colLast="0" w:name="_heading=h.7k74jdgh0z2w" w:id="60"/>
      <w:bookmarkEnd w:id="60"/>
      <w:r w:rsidDel="00000000" w:rsidR="00000000" w:rsidRPr="00000000">
        <w:rPr>
          <w:rFonts w:ascii="Arial" w:cs="Arial" w:eastAsia="Arial" w:hAnsi="Arial"/>
          <w:sz w:val="24"/>
          <w:szCs w:val="24"/>
          <w:rtl w:val="0"/>
        </w:rPr>
        <w:t xml:space="preserve">Con el fin de generar resultados seguros y confiables, por lo anterior de acuerdo con los servicios ofertados, se establece la adopción de los siguientes paquetes instruccionales: </w:t>
      </w:r>
    </w:p>
    <w:p w:rsidR="00000000" w:rsidDel="00000000" w:rsidP="00000000" w:rsidRDefault="00000000" w:rsidRPr="00000000" w14:paraId="000000B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pStyle w:val="Heading2"/>
        <w:numPr>
          <w:ilvl w:val="1"/>
          <w:numId w:val="4"/>
        </w:numPr>
        <w:ind w:left="360" w:hanging="360"/>
        <w:jc w:val="both"/>
        <w:rPr/>
      </w:pPr>
      <w:bookmarkStart w:colFirst="0" w:colLast="0" w:name="_heading=h.2xcytpi" w:id="61"/>
      <w:bookmarkEnd w:id="61"/>
      <w:r w:rsidDel="00000000" w:rsidR="00000000" w:rsidRPr="00000000">
        <w:rPr>
          <w:rtl w:val="0"/>
        </w:rPr>
        <w:t xml:space="preserve">Asegura la correcta identificación del paciente en los servicios asistenciales: </w:t>
      </w:r>
    </w:p>
    <w:p w:rsidR="00000000" w:rsidDel="00000000" w:rsidP="00000000" w:rsidRDefault="00000000" w:rsidRPr="00000000" w14:paraId="000000B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y fortalecer el conocimiento técnico en la identificación de los pacientes y las habilidades para la aplicación de prácticas seguras en todos los integrantes del equipo de salud con el fin de prevenir la presencia de errores en la atención y disminuir la posibilidad de eventos adversos relacionados. Ver protocolo correcta identificación del paciente </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Actividades:</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Para todo paciente se debe registrar nombres y apellidos completos</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Todos los registros del paciente deben contener el número de identificación.</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Adherencia al protocolo de identificación de pacientes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Rule="auto"/>
        <w:ind w:left="108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pStyle w:val="Heading2"/>
        <w:numPr>
          <w:ilvl w:val="1"/>
          <w:numId w:val="4"/>
        </w:numPr>
        <w:ind w:left="360" w:hanging="360"/>
        <w:jc w:val="both"/>
        <w:rPr/>
      </w:pPr>
      <w:bookmarkStart w:colFirst="0" w:colLast="0" w:name="_heading=h.1ci93xb" w:id="62"/>
      <w:bookmarkEnd w:id="62"/>
      <w:r w:rsidDel="00000000" w:rsidR="00000000" w:rsidRPr="00000000">
        <w:rPr>
          <w:rtl w:val="0"/>
        </w:rPr>
        <w:t xml:space="preserve">Detectar, prevenir y reducir infecciones asociadas con la atención en salud: </w:t>
      </w:r>
    </w:p>
    <w:p w:rsidR="00000000" w:rsidDel="00000000" w:rsidP="00000000" w:rsidRDefault="00000000" w:rsidRPr="00000000" w14:paraId="000000C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Fortalecer en todos los trabajadores de la salud el conocimiento técnico sobre las infecciones asociadas con la atención en salud (IAAS), así como las competencias y habilidades para su prevención, reducción y/o detección temprana, por medio de la aplicación de prácticas seguras. Ver manual de bioseguridad y manual de lavado de manos </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Actividades</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Identificar el evento está asociada a una infección</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Aplicación del protocolo de higiene de manos</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Cumplimiento al manual de bioseguridad</w:t>
      </w:r>
    </w:p>
    <w:p w:rsidR="00000000" w:rsidDel="00000000" w:rsidP="00000000" w:rsidRDefault="00000000" w:rsidRPr="00000000" w14:paraId="000000D1">
      <w:pPr>
        <w:pBdr>
          <w:top w:space="0" w:sz="0" w:val="nil"/>
          <w:left w:space="0" w:sz="0" w:val="nil"/>
          <w:bottom w:space="0" w:sz="0" w:val="nil"/>
          <w:right w:space="0" w:sz="0" w:val="nil"/>
          <w:between w:space="0" w:sz="0" w:val="nil"/>
        </w:pBd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Términos relacionados:</w:t>
      </w:r>
    </w:p>
    <w:p w:rsidR="00000000" w:rsidDel="00000000" w:rsidP="00000000" w:rsidRDefault="00000000" w:rsidRPr="00000000" w14:paraId="000000D2">
      <w:pPr>
        <w:pBdr>
          <w:top w:space="0" w:sz="0" w:val="nil"/>
          <w:left w:space="0" w:sz="0" w:val="nil"/>
          <w:bottom w:space="0" w:sz="0" w:val="nil"/>
          <w:right w:space="0" w:sz="0" w:val="nil"/>
          <w:between w:space="0" w:sz="0" w:val="nil"/>
        </w:pBdr>
        <w:jc w:val="both"/>
        <w:rPr>
          <w:rFonts w:ascii="Arial" w:cs="Arial" w:eastAsia="Arial" w:hAnsi="Arial"/>
          <w:b w:val="1"/>
          <w:sz w:val="24"/>
          <w:szCs w:val="24"/>
        </w:rPr>
      </w:pPr>
      <w:r w:rsidDel="00000000" w:rsidR="00000000" w:rsidRPr="00000000">
        <w:rPr>
          <w:rFonts w:ascii="Arial" w:cs="Arial" w:eastAsia="Arial" w:hAnsi="Arial"/>
          <w:color w:val="000000"/>
          <w:sz w:val="24"/>
          <w:szCs w:val="24"/>
          <w:rtl w:val="0"/>
        </w:rPr>
        <w:t xml:space="preserve">¿Cuáles son las prácticas seguras más eficaces para evitar infecciones durante la atención?</w:t>
      </w:r>
      <w:r w:rsidDel="00000000" w:rsidR="00000000" w:rsidRPr="00000000">
        <w:rPr>
          <w:rtl w:val="0"/>
        </w:rPr>
      </w:r>
    </w:p>
    <w:p w:rsidR="00000000" w:rsidDel="00000000" w:rsidP="00000000" w:rsidRDefault="00000000" w:rsidRPr="00000000" w14:paraId="000000D3">
      <w:pPr>
        <w:numPr>
          <w:ilvl w:val="1"/>
          <w:numId w:val="3"/>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Cubrirse la boca al toser o estornudar</w:t>
      </w:r>
    </w:p>
    <w:p w:rsidR="00000000" w:rsidDel="00000000" w:rsidP="00000000" w:rsidRDefault="00000000" w:rsidRPr="00000000" w14:paraId="000000D4">
      <w:pPr>
        <w:numPr>
          <w:ilvl w:val="1"/>
          <w:numId w:val="3"/>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Mantener vacunas al día</w:t>
      </w:r>
    </w:p>
    <w:p w:rsidR="00000000" w:rsidDel="00000000" w:rsidP="00000000" w:rsidRDefault="00000000" w:rsidRPr="00000000" w14:paraId="000000D5">
      <w:pPr>
        <w:numPr>
          <w:ilvl w:val="1"/>
          <w:numId w:val="3"/>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Usar guantes, mascarillas y ropas protectoras</w:t>
      </w:r>
    </w:p>
    <w:p w:rsidR="00000000" w:rsidDel="00000000" w:rsidP="00000000" w:rsidRDefault="00000000" w:rsidRPr="00000000" w14:paraId="000000D6">
      <w:pPr>
        <w:numPr>
          <w:ilvl w:val="1"/>
          <w:numId w:val="3"/>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Tener a mano limpiadores de manos, así como uso regular del alcohol glicerinado.</w:t>
      </w:r>
    </w:p>
    <w:p w:rsidR="00000000" w:rsidDel="00000000" w:rsidP="00000000" w:rsidRDefault="00000000" w:rsidRPr="00000000" w14:paraId="000000D7">
      <w:pPr>
        <w:numPr>
          <w:ilvl w:val="1"/>
          <w:numId w:val="3"/>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Educar a los pacientes y médicos acerca de la higiene de manos teniendo en cuenta los cinco momentos establecidos.</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9">
      <w:pPr>
        <w:pStyle w:val="Heading2"/>
        <w:numPr>
          <w:ilvl w:val="1"/>
          <w:numId w:val="4"/>
        </w:numPr>
        <w:ind w:left="360" w:hanging="360"/>
        <w:jc w:val="both"/>
        <w:rPr/>
      </w:pPr>
      <w:bookmarkStart w:colFirst="0" w:colLast="0" w:name="_heading=h.3whwml4" w:id="63"/>
      <w:bookmarkEnd w:id="63"/>
      <w:r w:rsidDel="00000000" w:rsidR="00000000" w:rsidRPr="00000000">
        <w:rPr>
          <w:rtl w:val="0"/>
        </w:rPr>
        <w:t xml:space="preserve">Detectar, analizar y gestionar eventos adversos. (ver punto 7).</w:t>
      </w:r>
    </w:p>
    <w:p w:rsidR="00000000" w:rsidDel="00000000" w:rsidP="00000000" w:rsidRDefault="00000000" w:rsidRPr="00000000" w14:paraId="000000D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pStyle w:val="Heading2"/>
        <w:numPr>
          <w:ilvl w:val="1"/>
          <w:numId w:val="4"/>
        </w:numPr>
        <w:ind w:left="360" w:hanging="360"/>
        <w:jc w:val="both"/>
        <w:rPr/>
      </w:pPr>
      <w:bookmarkStart w:colFirst="0" w:colLast="0" w:name="_heading=h.2bn6wsx" w:id="64"/>
      <w:bookmarkEnd w:id="64"/>
      <w:r w:rsidDel="00000000" w:rsidR="00000000" w:rsidRPr="00000000">
        <w:rPr>
          <w:rtl w:val="0"/>
        </w:rPr>
        <w:t xml:space="preserve">Gestionar y desarrollar una adecuada comunicación entre las personas que atienden y cuidan a los pacientes que incluya enfoques diferenciales</w:t>
      </w:r>
      <w:r w:rsidDel="00000000" w:rsidR="00000000" w:rsidRPr="00000000">
        <w:rPr>
          <w:rtl w:val="0"/>
        </w:rPr>
        <w:t xml:space="preserve">. </w:t>
      </w:r>
    </w:p>
    <w:p w:rsidR="00000000" w:rsidDel="00000000" w:rsidP="00000000" w:rsidRDefault="00000000" w:rsidRPr="00000000" w14:paraId="000000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y fortalecer destrezas, habilidades y competencias para el adecuado proceso de comunicación entre las personas que interactúan durante la atención a los pacientes. </w:t>
      </w:r>
      <w:r w:rsidDel="00000000" w:rsidR="00000000" w:rsidRPr="00000000">
        <w:rPr>
          <w:rFonts w:ascii="Arial" w:cs="Arial" w:eastAsia="Arial" w:hAnsi="Arial"/>
          <w:sz w:val="24"/>
          <w:szCs w:val="24"/>
          <w:u w:val="single"/>
          <w:rtl w:val="0"/>
        </w:rPr>
        <w:t xml:space="preserve">Ver protocolo</w:t>
      </w:r>
      <w:r w:rsidDel="00000000" w:rsidR="00000000" w:rsidRPr="00000000">
        <w:rPr>
          <w:rtl w:val="0"/>
        </w:rPr>
      </w:r>
    </w:p>
    <w:p w:rsidR="00000000" w:rsidDel="00000000" w:rsidP="00000000" w:rsidRDefault="00000000" w:rsidRPr="00000000" w14:paraId="000000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Adherencia al protocolo de adecuada comunicación.</w:t>
      </w:r>
    </w:p>
    <w:p w:rsidR="00000000" w:rsidDel="00000000" w:rsidP="00000000" w:rsidRDefault="00000000" w:rsidRPr="00000000" w14:paraId="000000DE">
      <w:pPr>
        <w:pStyle w:val="Heading2"/>
        <w:numPr>
          <w:ilvl w:val="1"/>
          <w:numId w:val="4"/>
        </w:numPr>
        <w:ind w:left="360" w:hanging="360"/>
        <w:jc w:val="both"/>
        <w:rPr/>
      </w:pPr>
      <w:r w:rsidDel="00000000" w:rsidR="00000000" w:rsidRPr="00000000">
        <w:rPr>
          <w:rtl w:val="0"/>
        </w:rPr>
        <w:t xml:space="preserve">Garantizar la funcionalidad de los procedimientos de consentimiento informado: </w:t>
      </w:r>
    </w:p>
    <w:p w:rsidR="00000000" w:rsidDel="00000000" w:rsidP="00000000" w:rsidRDefault="00000000" w:rsidRPr="00000000" w14:paraId="000000D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y fortalecer el conocimiento técnico en la aplicación de prácticas seguras, tener claramente definido la consecución, verificación y entendimiento del consentimiento Informado, desarrollando y fortaleciendo destrezas y competencias relacionadas con la funcionalidad de los procedimientos de consentimiento informado, para que no se presenten errores en la atención y disminuir así la posibilidad de ocurrencia de eventos adversos relacionados. Ver procedimiento consentimiento informado ver procedimiento consentimiento informado </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Actividad 1</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Procedimiento consentimiento informado</w:t>
      </w:r>
    </w:p>
    <w:p w:rsidR="00000000" w:rsidDel="00000000" w:rsidP="00000000" w:rsidRDefault="00000000" w:rsidRPr="00000000" w14:paraId="000000E5">
      <w:pPr>
        <w:pBdr>
          <w:top w:space="0" w:sz="0" w:val="nil"/>
          <w:left w:space="0" w:sz="0" w:val="nil"/>
          <w:bottom w:space="0" w:sz="0" w:val="nil"/>
          <w:right w:space="0" w:sz="0" w:val="nil"/>
          <w:between w:space="0" w:sz="0" w:val="nil"/>
        </w:pBd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Términos relacionados: </w:t>
      </w:r>
    </w:p>
    <w:p w:rsidR="00000000" w:rsidDel="00000000" w:rsidP="00000000" w:rsidRDefault="00000000" w:rsidRPr="00000000" w14:paraId="000000E6">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Acciones De Reducción Del Riesgo: son todas aquellas intervenciones que se hacen en estructuras o en procesos de atención en salud para minimizar la probabilidad de ocurrencia de un incidente o evento adverso. Tales acciones pueden ser proactivas o reactivas; proactivas como el análisis de modo y falla y el análisis probabilístico del riesgo, mientras que las acciones reactivas son aquellas derivadas del aprendizaje obtenido luego de la presentación del incidente o evento adverso, como por ejemplo el análisis de ruta causal.</w:t>
      </w:r>
    </w:p>
    <w:p w:rsidR="00000000" w:rsidDel="00000000" w:rsidP="00000000" w:rsidRDefault="00000000" w:rsidRPr="00000000" w14:paraId="000000E7">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Consentimiento Informado: es un procedimiento a través del cual un paciente es informado respecto a todos los alcances de los procedimientos diagnósticos o terapéuticos que le serán practicados y que le permite decidir si acepta o rechaza la alternativa propuesta por el profesional de salud con total conocimiento de esta decisión, lo cual debe constar por escrito.</w:t>
      </w:r>
    </w:p>
    <w:p w:rsidR="00000000" w:rsidDel="00000000" w:rsidP="00000000" w:rsidRDefault="00000000" w:rsidRPr="00000000" w14:paraId="000000E8">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¿Cuáles son las prácticas seguras enfocadas en consentimiento informado?</w:t>
      </w:r>
    </w:p>
    <w:p w:rsidR="00000000" w:rsidDel="00000000" w:rsidP="00000000" w:rsidRDefault="00000000" w:rsidRPr="00000000" w14:paraId="000000E9">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voluntariedad, la autonomía y la claridad informativa son elementos esenciales, y “el consentimiento informado” está en relación directa con la escala de valores de cada persona consultada, pueden aparecer algunas distorsiones de su propósito como son:</w:t>
      </w:r>
    </w:p>
    <w:p w:rsidR="00000000" w:rsidDel="00000000" w:rsidP="00000000" w:rsidRDefault="00000000" w:rsidRPr="00000000" w14:paraId="000000EA">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Manipulación: debe evitarse el sesgo amañado y el cruce de información.</w:t>
      </w:r>
    </w:p>
    <w:p w:rsidR="00000000" w:rsidDel="00000000" w:rsidP="00000000" w:rsidRDefault="00000000" w:rsidRPr="00000000" w14:paraId="000000EB">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Persuasión: debe evitarse la presentación del compromiso a manera de publicidad o mercadeo de un producto.</w:t>
      </w:r>
    </w:p>
    <w:p w:rsidR="00000000" w:rsidDel="00000000" w:rsidP="00000000" w:rsidRDefault="00000000" w:rsidRPr="00000000" w14:paraId="000000EC">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Coacción: debe omitirse la presión o amenaza tácita o explícita. Se recomienda elaborar un documento único para cada procedimiento y con las siguientes especificaciones:</w:t>
      </w:r>
    </w:p>
    <w:p w:rsidR="00000000" w:rsidDel="00000000" w:rsidP="00000000" w:rsidRDefault="00000000" w:rsidRPr="00000000" w14:paraId="000000ED">
      <w:pPr>
        <w:numPr>
          <w:ilvl w:val="1"/>
          <w:numId w:val="7"/>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Diligenciar el consentimiento en el momento adecuado, con suficiente anterioridad a la aplicación del instrumento o prueba, evita momentos de tensión, ansiedad o depresión, que deja tiempo para decidir.</w:t>
      </w:r>
    </w:p>
    <w:p w:rsidR="00000000" w:rsidDel="00000000" w:rsidP="00000000" w:rsidRDefault="00000000" w:rsidRPr="00000000" w14:paraId="000000EE">
      <w:pPr>
        <w:numPr>
          <w:ilvl w:val="1"/>
          <w:numId w:val="7"/>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Hacerlo en un lugar adecuado, pues las circunstancias o espacio temporales influyen en la coerción o autonomía que puede tener la persona.</w:t>
      </w:r>
    </w:p>
    <w:p w:rsidR="00000000" w:rsidDel="00000000" w:rsidP="00000000" w:rsidRDefault="00000000" w:rsidRPr="00000000" w14:paraId="000000EF">
      <w:pPr>
        <w:numPr>
          <w:ilvl w:val="1"/>
          <w:numId w:val="7"/>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Hacerlo con la persona adecuada: una persona idónea y conocedora de todo el proceso y no un delegado o auxiliar, debe ser en lo posible </w:t>
      </w:r>
      <w:r w:rsidDel="00000000" w:rsidR="00000000" w:rsidRPr="00000000">
        <w:rPr>
          <w:rFonts w:ascii="Arial" w:cs="Arial" w:eastAsia="Arial" w:hAnsi="Arial"/>
          <w:sz w:val="24"/>
          <w:szCs w:val="24"/>
          <w:rtl w:val="0"/>
        </w:rPr>
        <w:t xml:space="preserve">quién</w:t>
      </w:r>
      <w:r w:rsidDel="00000000" w:rsidR="00000000" w:rsidRPr="00000000">
        <w:rPr>
          <w:rFonts w:ascii="Arial" w:cs="Arial" w:eastAsia="Arial" w:hAnsi="Arial"/>
          <w:color w:val="000000"/>
          <w:sz w:val="24"/>
          <w:szCs w:val="24"/>
          <w:rtl w:val="0"/>
        </w:rPr>
        <w:t xml:space="preserve"> la va a realizar.</w:t>
      </w:r>
    </w:p>
    <w:p w:rsidR="00000000" w:rsidDel="00000000" w:rsidP="00000000" w:rsidRDefault="00000000" w:rsidRPr="00000000" w14:paraId="000000F0">
      <w:pPr>
        <w:numPr>
          <w:ilvl w:val="1"/>
          <w:numId w:val="7"/>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Asegurarse de la claridad con preguntas de realimentación que comprueben la real comprensión.</w:t>
      </w:r>
    </w:p>
    <w:p w:rsidR="00000000" w:rsidDel="00000000" w:rsidP="00000000" w:rsidRDefault="00000000" w:rsidRPr="00000000" w14:paraId="000000F1">
      <w:pPr>
        <w:numPr>
          <w:ilvl w:val="1"/>
          <w:numId w:val="7"/>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Deben evitarse dos extremos, ambos perjudiciales para el real propósito del “consentimiento informado”, presentar tecnicismos que obstaculicen la claridad informativa o el excesivo detalle en la información, que lejos de aclarar puede asustar y alejar, produciendo angustia o desesperación.</w:t>
      </w:r>
    </w:p>
    <w:p w:rsidR="00000000" w:rsidDel="00000000" w:rsidP="00000000" w:rsidRDefault="00000000" w:rsidRPr="00000000" w14:paraId="000000F2">
      <w:pPr>
        <w:numPr>
          <w:ilvl w:val="1"/>
          <w:numId w:val="7"/>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consentimientos informados no deben hacerse genéricos: cada procedimiento, con sus objetivos, es un caso distinto.</w:t>
      </w:r>
    </w:p>
    <w:p w:rsidR="00000000" w:rsidDel="00000000" w:rsidP="00000000" w:rsidRDefault="00000000" w:rsidRPr="00000000" w14:paraId="000000F3">
      <w:pPr>
        <w:numPr>
          <w:ilvl w:val="1"/>
          <w:numId w:val="7"/>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debe dejar archivado todos los consentimientos de los procedimientos realizados que así se requieran, teniendo en cuenta el tiempo establecido para el manejo de los registros de la Historia Clínica.</w:t>
      </w:r>
    </w:p>
    <w:p w:rsidR="00000000" w:rsidDel="00000000" w:rsidP="00000000" w:rsidRDefault="00000000" w:rsidRPr="00000000" w14:paraId="000000F4">
      <w:pPr>
        <w:numPr>
          <w:ilvl w:val="1"/>
          <w:numId w:val="7"/>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Dejar claridad de la posibilidad de revocar el consentimiento en cualquier momento.  </w:t>
      </w:r>
    </w:p>
    <w:p w:rsidR="00000000" w:rsidDel="00000000" w:rsidP="00000000" w:rsidRDefault="00000000" w:rsidRPr="00000000" w14:paraId="000000F5">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pStyle w:val="Heading1"/>
        <w:numPr>
          <w:ilvl w:val="0"/>
          <w:numId w:val="5"/>
        </w:numPr>
        <w:ind w:left="465" w:hanging="465"/>
        <w:jc w:val="both"/>
        <w:rPr/>
      </w:pPr>
      <w:bookmarkStart w:colFirst="0" w:colLast="0" w:name="_heading=h.w6kg48764ib" w:id="65"/>
      <w:bookmarkEnd w:id="65"/>
      <w:r w:rsidDel="00000000" w:rsidR="00000000" w:rsidRPr="00000000">
        <w:rPr>
          <w:rtl w:val="0"/>
        </w:rPr>
        <w:t xml:space="preserve">INDICADORES PARA LA SEGURIDAD DEL PACIENTE:</w:t>
      </w:r>
    </w:p>
    <w:p w:rsidR="00000000" w:rsidDel="00000000" w:rsidP="00000000" w:rsidRDefault="00000000" w:rsidRPr="00000000" w14:paraId="000000F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jc w:val="both"/>
        <w:rPr>
          <w:rFonts w:ascii="Arial" w:cs="Arial" w:eastAsia="Arial" w:hAnsi="Arial"/>
          <w:sz w:val="24"/>
          <w:szCs w:val="24"/>
        </w:rPr>
      </w:pPr>
      <w:bookmarkStart w:colFirst="0" w:colLast="0" w:name="_heading=h.bx5vueiavrw1" w:id="66"/>
      <w:bookmarkEnd w:id="66"/>
      <w:r w:rsidDel="00000000" w:rsidR="00000000" w:rsidRPr="00000000">
        <w:rPr>
          <w:rFonts w:ascii="Arial" w:cs="Arial" w:eastAsia="Arial" w:hAnsi="Arial"/>
          <w:sz w:val="24"/>
          <w:szCs w:val="24"/>
          <w:rtl w:val="0"/>
        </w:rPr>
        <w:t xml:space="preserve">Indicadores de seguimiento a riesgo según los lineamientos definidos en el sistema de información para la calidad. Ver </w:t>
      </w:r>
      <w:hyperlink r:id="rId11">
        <w:r w:rsidDel="00000000" w:rsidR="00000000" w:rsidRPr="00000000">
          <w:rPr>
            <w:rFonts w:ascii="Arial" w:cs="Arial" w:eastAsia="Arial" w:hAnsi="Arial"/>
            <w:color w:val="0000ee"/>
            <w:sz w:val="24"/>
            <w:szCs w:val="24"/>
            <w:u w:val="single"/>
            <w:rtl w:val="0"/>
          </w:rPr>
          <w:t xml:space="preserve">INDICADORES IPS 2025.xlsx</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pStyle w:val="Heading1"/>
        <w:numPr>
          <w:ilvl w:val="0"/>
          <w:numId w:val="5"/>
        </w:numPr>
        <w:ind w:left="465" w:hanging="465"/>
        <w:jc w:val="both"/>
        <w:rPr/>
      </w:pPr>
      <w:bookmarkStart w:colFirst="0" w:colLast="0" w:name="_heading=h.qsh70q" w:id="67"/>
      <w:bookmarkEnd w:id="67"/>
      <w:r w:rsidDel="00000000" w:rsidR="00000000" w:rsidRPr="00000000">
        <w:rPr>
          <w:rtl w:val="0"/>
        </w:rPr>
        <w:t xml:space="preserve">REGISTROS RELACIONADOS</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bookmarkStart w:colFirst="0" w:colLast="0" w:name="_heading=h.44sinio" w:id="68"/>
      <w:bookmarkEnd w:id="68"/>
      <w:r w:rsidDel="00000000" w:rsidR="00000000" w:rsidRPr="00000000">
        <w:rPr>
          <w:rFonts w:ascii="Arial" w:cs="Arial" w:eastAsia="Arial" w:hAnsi="Arial"/>
          <w:color w:val="000000"/>
          <w:sz w:val="24"/>
          <w:szCs w:val="24"/>
          <w:rtl w:val="0"/>
        </w:rPr>
        <w:t xml:space="preserve">Reporte Evento Adverso e incidente</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Análisis de Casos</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Ronda de seguridad del paciente</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Indicadores de Seguridad del paciente.</w:t>
      </w:r>
    </w:p>
    <w:p w:rsidR="00000000" w:rsidDel="00000000" w:rsidP="00000000" w:rsidRDefault="00000000" w:rsidRPr="00000000" w14:paraId="000000FF">
      <w:pPr>
        <w:jc w:val="both"/>
        <w:rPr>
          <w:rFonts w:ascii="Arial" w:cs="Arial" w:eastAsia="Arial" w:hAnsi="Arial"/>
          <w:sz w:val="24"/>
          <w:szCs w:val="24"/>
        </w:rPr>
      </w:pPr>
      <w:r w:rsidDel="00000000" w:rsidR="00000000" w:rsidRPr="00000000">
        <w:rPr>
          <w:rtl w:val="0"/>
        </w:rPr>
      </w:r>
    </w:p>
    <w:sectPr>
      <w:headerReference r:id="rId1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tl w:val="0"/>
      </w:rPr>
    </w:r>
  </w:p>
  <w:tbl>
    <w:tblPr>
      <w:tblStyle w:val="Table2"/>
      <w:tblW w:w="9621.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4921"/>
      <w:gridCol w:w="2396"/>
      <w:tblGridChange w:id="0">
        <w:tblGrid>
          <w:gridCol w:w="2304"/>
          <w:gridCol w:w="4921"/>
          <w:gridCol w:w="2396"/>
        </w:tblGrid>
      </w:tblGridChange>
    </w:tblGrid>
    <w:tr>
      <w:trPr>
        <w:cantSplit w:val="0"/>
        <w:trHeight w:val="680" w:hRule="atLeast"/>
        <w:tblHeader w:val="0"/>
      </w:trPr>
      <w:tc>
        <w:tcPr/>
        <w:p w:rsidR="00000000" w:rsidDel="00000000" w:rsidP="00000000" w:rsidRDefault="00000000" w:rsidRPr="00000000" w14:paraId="00000101">
          <w:pPr>
            <w:jc w:val="center"/>
            <w:rPr/>
          </w:pPr>
          <w:r w:rsidDel="00000000" w:rsidR="00000000" w:rsidRPr="00000000">
            <w:rPr/>
            <w:drawing>
              <wp:inline distB="114300" distT="114300" distL="114300" distR="114300">
                <wp:extent cx="1333500" cy="469900"/>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33500" cy="469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w:t>
          </w:r>
          <w:r w:rsidDel="00000000" w:rsidR="00000000" w:rsidRPr="00000000">
            <w:rPr>
              <w:rFonts w:ascii="Arial" w:cs="Arial" w:eastAsia="Arial" w:hAnsi="Arial"/>
              <w:b w:val="1"/>
              <w:sz w:val="24"/>
              <w:szCs w:val="24"/>
              <w:rtl w:val="0"/>
            </w:rPr>
            <w:t xml:space="preserve">ROGRAMA</w:t>
          </w:r>
          <w:r w:rsidDel="00000000" w:rsidR="00000000" w:rsidRPr="00000000">
            <w:rPr>
              <w:rFonts w:ascii="Arial" w:cs="Arial" w:eastAsia="Arial" w:hAnsi="Arial"/>
              <w:b w:val="1"/>
              <w:color w:val="000000"/>
              <w:sz w:val="24"/>
              <w:szCs w:val="24"/>
              <w:rtl w:val="0"/>
            </w:rPr>
            <w:t xml:space="preserve"> DE SEGURIDAD DEL PACIENTE</w:t>
          </w:r>
        </w:p>
      </w:tc>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sz w:val="18"/>
              <w:szCs w:val="18"/>
            </w:rPr>
          </w:pPr>
          <w:r w:rsidDel="00000000" w:rsidR="00000000" w:rsidRPr="00000000">
            <w:rPr>
              <w:rFonts w:ascii="Arial" w:cs="Arial" w:eastAsia="Arial" w:hAnsi="Arial"/>
              <w:sz w:val="18"/>
              <w:szCs w:val="18"/>
              <w:rtl w:val="0"/>
            </w:rPr>
            <w:t xml:space="preserve">CÓDIGO: </w:t>
          </w:r>
          <w:r w:rsidDel="00000000" w:rsidR="00000000" w:rsidRPr="00000000">
            <w:rPr>
              <w:rFonts w:ascii="Arial" w:cs="Arial" w:eastAsia="Arial" w:hAnsi="Arial"/>
              <w:color w:val="1f1f1f"/>
              <w:sz w:val="18"/>
              <w:szCs w:val="18"/>
              <w:highlight w:val="white"/>
              <w:rtl w:val="0"/>
            </w:rPr>
            <w:t xml:space="preserve">EH-D-015</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sz w:val="18"/>
              <w:szCs w:val="18"/>
            </w:rPr>
          </w:pPr>
          <w:r w:rsidDel="00000000" w:rsidR="00000000" w:rsidRPr="00000000">
            <w:rPr>
              <w:rFonts w:ascii="Arial" w:cs="Arial" w:eastAsia="Arial" w:hAnsi="Arial"/>
              <w:sz w:val="18"/>
              <w:szCs w:val="18"/>
              <w:rtl w:val="0"/>
            </w:rPr>
            <w:t xml:space="preserve">EMISIÓN: Junio 2025</w:t>
          </w:r>
        </w:p>
        <w:p w:rsidR="00000000" w:rsidDel="00000000" w:rsidP="00000000" w:rsidRDefault="00000000" w:rsidRPr="00000000" w14:paraId="00000105">
          <w:pPr>
            <w:tabs>
              <w:tab w:val="center" w:leader="none" w:pos="4419"/>
              <w:tab w:val="right" w:leader="none" w:pos="8838"/>
            </w:tabs>
            <w:rPr>
              <w:rFonts w:ascii="Arial" w:cs="Arial" w:eastAsia="Arial" w:hAnsi="Arial"/>
              <w:sz w:val="18"/>
              <w:szCs w:val="18"/>
            </w:rPr>
          </w:pPr>
          <w:r w:rsidDel="00000000" w:rsidR="00000000" w:rsidRPr="00000000">
            <w:rPr>
              <w:rFonts w:ascii="Arial" w:cs="Arial" w:eastAsia="Arial" w:hAnsi="Arial"/>
              <w:sz w:val="18"/>
              <w:szCs w:val="18"/>
              <w:rtl w:val="0"/>
            </w:rPr>
            <w:t xml:space="preserve">VERSIÓN: 1</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785" w:hanging="705"/>
      </w:pPr>
      <w:rPr>
        <w:rFonts w:ascii="Noto Sans Symbols" w:cs="Noto Sans Symbols" w:eastAsia="Noto Sans Symbols" w:hAnsi="Noto Sans Symbols"/>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10"/>
      <w:numFmt w:val="decimal"/>
      <w:lvlText w:val="%1"/>
      <w:lvlJc w:val="left"/>
      <w:pPr>
        <w:ind w:left="465" w:hanging="465"/>
      </w:pPr>
      <w:rPr/>
    </w:lvl>
    <w:lvl w:ilvl="1">
      <w:start w:val="5"/>
      <w:numFmt w:val="decimal"/>
      <w:lvlText w:val="%1.%2"/>
      <w:lvlJc w:val="left"/>
      <w:pPr>
        <w:ind w:left="465" w:hanging="46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0"/>
      <w:numFmt w:val="bullet"/>
      <w:lvlText w:val="•"/>
      <w:lvlJc w:val="left"/>
      <w:pPr>
        <w:ind w:left="1800" w:hanging="360"/>
      </w:pPr>
      <w:rPr>
        <w:rFonts w:ascii="Arial" w:cs="Arial" w:eastAsia="Arial" w:hAnsi="Arial"/>
        <w:b w:val="0"/>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60961"/>
  </w:style>
  <w:style w:type="paragraph" w:styleId="Ttulo1">
    <w:name w:val="heading 1"/>
    <w:basedOn w:val="Normal"/>
    <w:next w:val="Normal"/>
    <w:link w:val="Ttulo1Car"/>
    <w:uiPriority w:val="9"/>
    <w:qFormat w:val="1"/>
    <w:rsid w:val="00D60961"/>
    <w:pPr>
      <w:keepNext w:val="1"/>
      <w:keepLines w:val="1"/>
      <w:spacing w:after="0" w:before="240"/>
      <w:outlineLvl w:val="0"/>
    </w:pPr>
    <w:rPr>
      <w:rFonts w:ascii="Arial" w:hAnsi="Arial" w:cstheme="majorBidi" w:eastAsiaTheme="majorEastAsia"/>
      <w:b w:val="1"/>
      <w:sz w:val="24"/>
      <w:szCs w:val="32"/>
    </w:rPr>
  </w:style>
  <w:style w:type="paragraph" w:styleId="Ttulo2">
    <w:name w:val="heading 2"/>
    <w:basedOn w:val="Normal"/>
    <w:next w:val="Normal"/>
    <w:link w:val="Ttulo2Car"/>
    <w:uiPriority w:val="9"/>
    <w:unhideWhenUsed w:val="1"/>
    <w:qFormat w:val="1"/>
    <w:rsid w:val="00572F07"/>
    <w:pPr>
      <w:keepNext w:val="1"/>
      <w:keepLines w:val="1"/>
      <w:spacing w:after="0" w:before="40"/>
      <w:outlineLvl w:val="1"/>
    </w:pPr>
    <w:rPr>
      <w:rFonts w:ascii="Arial" w:hAnsi="Arial" w:cstheme="majorBidi" w:eastAsiaTheme="majorEastAsia"/>
      <w:b w:val="1"/>
      <w:sz w:val="24"/>
      <w:szCs w:val="26"/>
    </w:rPr>
  </w:style>
  <w:style w:type="paragraph" w:styleId="Ttulo3">
    <w:name w:val="heading 3"/>
    <w:basedOn w:val="Normal"/>
    <w:next w:val="Normal"/>
    <w:link w:val="Ttulo3Car"/>
    <w:uiPriority w:val="9"/>
    <w:semiHidden w:val="1"/>
    <w:unhideWhenUsed w:val="1"/>
    <w:qFormat w:val="1"/>
    <w:rsid w:val="00292238"/>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D6096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60961"/>
  </w:style>
  <w:style w:type="paragraph" w:styleId="Piedepgina">
    <w:name w:val="footer"/>
    <w:basedOn w:val="Normal"/>
    <w:link w:val="PiedepginaCar"/>
    <w:uiPriority w:val="99"/>
    <w:unhideWhenUsed w:val="1"/>
    <w:rsid w:val="00D6096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60961"/>
  </w:style>
  <w:style w:type="table" w:styleId="Tablaconcuadrcula">
    <w:name w:val="Table Grid"/>
    <w:basedOn w:val="Tablanormal"/>
    <w:uiPriority w:val="39"/>
    <w:rsid w:val="00D609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60961"/>
    <w:pPr>
      <w:ind w:left="720"/>
      <w:contextualSpacing w:val="1"/>
    </w:pPr>
  </w:style>
  <w:style w:type="character" w:styleId="Ttulo1Car" w:customStyle="1">
    <w:name w:val="Título 1 Car"/>
    <w:basedOn w:val="Fuentedeprrafopredeter"/>
    <w:link w:val="Ttulo1"/>
    <w:uiPriority w:val="9"/>
    <w:rsid w:val="00D60961"/>
    <w:rPr>
      <w:rFonts w:ascii="Arial" w:hAnsi="Arial" w:cstheme="majorBidi" w:eastAsiaTheme="majorEastAsia"/>
      <w:b w:val="1"/>
      <w:sz w:val="24"/>
      <w:szCs w:val="32"/>
    </w:rPr>
  </w:style>
  <w:style w:type="character" w:styleId="Ttulo2Car" w:customStyle="1">
    <w:name w:val="Título 2 Car"/>
    <w:basedOn w:val="Fuentedeprrafopredeter"/>
    <w:link w:val="Ttulo2"/>
    <w:uiPriority w:val="9"/>
    <w:rsid w:val="00572F07"/>
    <w:rPr>
      <w:rFonts w:ascii="Arial" w:hAnsi="Arial" w:cstheme="majorBidi" w:eastAsiaTheme="majorEastAsia"/>
      <w:b w:val="1"/>
      <w:sz w:val="24"/>
      <w:szCs w:val="26"/>
    </w:rPr>
  </w:style>
  <w:style w:type="character" w:styleId="Ttulo3Car" w:customStyle="1">
    <w:name w:val="Título 3 Car"/>
    <w:basedOn w:val="Fuentedeprrafopredeter"/>
    <w:link w:val="Ttulo3"/>
    <w:uiPriority w:val="9"/>
    <w:rsid w:val="00292238"/>
    <w:rPr>
      <w:rFonts w:asciiTheme="majorHAnsi" w:cstheme="majorBidi" w:eastAsiaTheme="majorEastAsia" w:hAnsiTheme="majorHAnsi"/>
      <w:color w:val="1f4d78" w:themeColor="accent1" w:themeShade="00007F"/>
      <w:sz w:val="24"/>
      <w:szCs w:val="24"/>
    </w:rPr>
  </w:style>
  <w:style w:type="paragraph" w:styleId="Textodeglobo">
    <w:name w:val="Balloon Text"/>
    <w:basedOn w:val="Normal"/>
    <w:link w:val="TextodegloboCar"/>
    <w:uiPriority w:val="99"/>
    <w:semiHidden w:val="1"/>
    <w:unhideWhenUsed w:val="1"/>
    <w:rsid w:val="00572F07"/>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572F07"/>
    <w:rPr>
      <w:rFonts w:ascii="Segoe UI" w:cs="Segoe UI" w:hAnsi="Segoe UI"/>
      <w:sz w:val="18"/>
      <w:szCs w:val="18"/>
    </w:rPr>
  </w:style>
  <w:style w:type="paragraph" w:styleId="Sinespaciado">
    <w:name w:val="No Spacing"/>
    <w:uiPriority w:val="1"/>
    <w:qFormat w:val="1"/>
    <w:rsid w:val="004068B8"/>
    <w:pPr>
      <w:spacing w:after="0" w:line="240" w:lineRule="auto"/>
    </w:pPr>
  </w:style>
  <w:style w:type="paragraph" w:styleId="TtuloTDC">
    <w:name w:val="TOC Heading"/>
    <w:basedOn w:val="Ttulo1"/>
    <w:next w:val="Normal"/>
    <w:uiPriority w:val="39"/>
    <w:unhideWhenUsed w:val="1"/>
    <w:qFormat w:val="1"/>
    <w:rsid w:val="006125E1"/>
    <w:pPr>
      <w:spacing w:line="259" w:lineRule="auto"/>
      <w:outlineLvl w:val="9"/>
    </w:pPr>
    <w:rPr>
      <w:rFonts w:asciiTheme="majorHAnsi" w:hAnsiTheme="majorHAnsi"/>
      <w:b w:val="0"/>
      <w:color w:val="2e74b5" w:themeColor="accent1" w:themeShade="0000BF"/>
      <w:sz w:val="32"/>
    </w:rPr>
  </w:style>
  <w:style w:type="paragraph" w:styleId="TDC1">
    <w:name w:val="toc 1"/>
    <w:basedOn w:val="Normal"/>
    <w:next w:val="Normal"/>
    <w:autoRedefine w:val="1"/>
    <w:uiPriority w:val="39"/>
    <w:unhideWhenUsed w:val="1"/>
    <w:rsid w:val="00CC4DA4"/>
    <w:pPr>
      <w:tabs>
        <w:tab w:val="left" w:pos="440"/>
        <w:tab w:val="right" w:leader="dot" w:pos="8828"/>
      </w:tabs>
      <w:spacing w:after="100"/>
    </w:pPr>
  </w:style>
  <w:style w:type="paragraph" w:styleId="TDC2">
    <w:name w:val="toc 2"/>
    <w:basedOn w:val="Normal"/>
    <w:next w:val="Normal"/>
    <w:autoRedefine w:val="1"/>
    <w:uiPriority w:val="39"/>
    <w:unhideWhenUsed w:val="1"/>
    <w:rsid w:val="006125E1"/>
    <w:pPr>
      <w:spacing w:after="100"/>
      <w:ind w:left="220"/>
    </w:pPr>
  </w:style>
  <w:style w:type="character" w:styleId="Hipervnculo">
    <w:name w:val="Hyperlink"/>
    <w:basedOn w:val="Fuentedeprrafopredeter"/>
    <w:uiPriority w:val="99"/>
    <w:unhideWhenUsed w:val="1"/>
    <w:rsid w:val="006125E1"/>
    <w:rPr>
      <w:color w:val="0563c1" w:themeColor="hyperlink"/>
      <w:u w:val="single"/>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70.0" w:type="dxa"/>
        <w:right w:w="70.0" w:type="dxa"/>
      </w:tblCellMar>
    </w:tblPr>
  </w:style>
  <w:style w:type="table" w:styleId="a1" w:customStyle="1">
    <w:basedOn w:val="TableNormal"/>
    <w:pPr>
      <w:spacing w:after="0" w:line="240" w:lineRule="auto"/>
    </w:pPr>
    <w:tblPr>
      <w:tblStyleRowBandSize w:val="1"/>
      <w:tblStyleColBandSize w:val="1"/>
      <w:tblCellMar>
        <w:left w:w="108.0" w:type="dxa"/>
        <w:right w:w="108.0" w:type="dxa"/>
      </w:tblCellMar>
    </w:tblPr>
  </w:style>
  <w:style w:type="paragraph" w:styleId="NormalWeb">
    <w:name w:val="Normal (Web)"/>
    <w:basedOn w:val="Normal"/>
    <w:uiPriority w:val="99"/>
    <w:semiHidden w:val="1"/>
    <w:unhideWhenUsed w:val="1"/>
    <w:rsid w:val="006F5F8F"/>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Fuentedeprrafopredeter"/>
    <w:rsid w:val="006F5F8F"/>
  </w:style>
  <w:style w:type="paragraph" w:styleId="Default" w:customStyle="1">
    <w:name w:val="Default"/>
    <w:rsid w:val="000D5955"/>
    <w:pPr>
      <w:autoSpaceDE w:val="0"/>
      <w:autoSpaceDN w:val="0"/>
      <w:adjustRightInd w:val="0"/>
      <w:spacing w:after="0" w:line="240" w:lineRule="auto"/>
    </w:pPr>
    <w:rPr>
      <w:rFonts w:ascii="Arial" w:cs="Arial" w:hAnsi="Arial"/>
      <w:color w:val="000000"/>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PHBErGIyPJrhkxiaMwaF9Y1DqwGAufu3/edit?usp=drive_link&amp;ouid=111403179196784632681&amp;rtpof=true&amp;sd=true" TargetMode="External"/><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nk1Vm_ZMoqArIvMtFO1S0wPPeyg52Cb5?usp=drive_link" TargetMode="External"/><Relationship Id="rId8" Type="http://schemas.openxmlformats.org/officeDocument/2006/relationships/hyperlink" Target="https://docs.google.com/document/d/1SgvyiNW-jU9q2L1qbUvzebFLhQkoCIlm/edit?usp=sharing&amp;ouid=111403179196784632681&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hydgU99nozvl1SEU4zgTYzy2g==">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2018-11-13T14:28:00Z</dcterms:created>
  <dc:creator>Nachoflan</dc:creator>
</cp:coreProperties>
</file>