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center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RESOLUCIÓN No.004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center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ENERO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center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center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“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Por medio de la cual se nombra al Grupo Administrativo y Asistencial de atención a víctimas de violencia sexual de la IPS ENDOCRINOLOGY &amp; HEALTH S.A.S” 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center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center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El Representante Legal, en uso de sus facultades constitucionales y legales” 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before="220" w:lineRule="auto"/>
        <w:jc w:val="center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CONSIDERANDO 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Dando cumplimiento a la resolución 0459 de 2012 por la cual se adopta el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2"/>
          <w:szCs w:val="22"/>
          <w:rtl w:val="0"/>
        </w:rPr>
        <w:t xml:space="preserve">protocolo Atención Integral en Salud para Víctimas de Violencia sexual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, la gerencia define la constitución de un equipo básico de atención en los siguientes términos: 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before="220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OBJETIVO 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Garantizar un acceso directo a las víctimas, un espacio seguro y confidencial y todos los insumos necesarios para su atención. </w:t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0" w:before="220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COMPOSICIÓN 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El equipo está conformado por: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Médico especialista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Auxiliar administrativa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44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Asesor de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Funciones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lineRule="auto"/>
        <w:ind w:left="72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De acuerdo con los 15 pasos establecidos en la Resolución 0459 de 2012, la profesional a través del equipo de atención para el manejo integral de víctimas de violencia sexual debe: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8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Garantizar el acceso a los servicios integrales de salud dirigidos a víctimas de violencia sexual 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8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Verificar y mantener las condiciones mínimas necesarias para brindar una atención integral a víctimas de violencia sexual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8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Recepción inmediata de la víctima de violencia sexual en el servicio de urgencias 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8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Realizar una valoración médica general 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8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Derivar a otros profesionales de la salud requeridos para asegurar la atención integral de víctimas de violencia sexual (Referencia). 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8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Derivar a otros sectores involucrados en la atención inicial de víctimas de violencia sexual 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8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Garantizar los procedimientos de vigilancia de salud pública de la violencia que correspondan 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8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Realizar seguimiento por parte de la profesional de fisioterapia.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8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Efectuar un adecuado cierre de caso por parte de todas las partes involucradas del consultorio.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Rule="auto"/>
        <w:ind w:left="720" w:firstLine="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Adicionalmente el equipo debe: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8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Garantizar acceso directo a las víctimas, espacio seguro y confidencial para su atención 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80" w:hanging="36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Entrar en contacto de manera oportuna con la red intersectorial e interinstitucional.  </w:t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Se recuerda que en esta resolución se nombra de manera general los pasos, sin embargo, solamente aplicará aquellos tengan fines de atención primaria y remisión, teniendo en cuenta el servicio que se presta y su complejidad. NO se realizará ninguno con los cuales la profesional no cuente con el recurso profesional y de dotación. 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center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ARTÍCULO DÉCIMO. VIGENCIA: 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La presente resolución rige a partir de su fecha de expedición. 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80" w:lineRule="auto"/>
        <w:ind w:left="20" w:firstLine="0"/>
        <w:jc w:val="center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COMUNÍQUESE Y CÚMPLASE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center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jc w:val="center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jc w:val="center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2228850</wp:posOffset>
            </wp:positionH>
            <wp:positionV relativeFrom="paragraph">
              <wp:posOffset>428123</wp:posOffset>
            </wp:positionV>
            <wp:extent cx="1267778" cy="544188"/>
            <wp:effectExtent b="0" l="0" r="0" t="0"/>
            <wp:wrapNone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7778" cy="544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spacing w:after="200" w:line="276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Century Gothic" w:cs="Century Gothic" w:eastAsia="Century Gothic" w:hAnsi="Century Gothic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Century Gothic" w:cs="Century Gothic" w:eastAsia="Century Gothic" w:hAnsi="Century Gothic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z w:val="22"/>
          <w:szCs w:val="22"/>
          <w:rtl w:val="0"/>
        </w:rPr>
        <w:t xml:space="preserve">Carlos Vizcaino</w:t>
      </w:r>
    </w:p>
    <w:p w:rsidR="00000000" w:rsidDel="00000000" w:rsidP="00000000" w:rsidRDefault="00000000" w:rsidRPr="00000000" w14:paraId="00000029">
      <w:pPr>
        <w:jc w:val="center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z w:val="22"/>
          <w:szCs w:val="22"/>
          <w:rtl w:val="0"/>
        </w:rPr>
        <w:t xml:space="preserve">Gerente Endocrinology &amp; Health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jc w:val="center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540.2362204724426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Verdan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widowControl w:val="0"/>
      <w:spacing w:line="276" w:lineRule="auto"/>
      <w:rPr>
        <w:rFonts w:ascii="Calibri" w:cs="Calibri" w:eastAsia="Calibri" w:hAnsi="Calibri"/>
        <w:sz w:val="2"/>
        <w:szCs w:val="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-228599</wp:posOffset>
          </wp:positionH>
          <wp:positionV relativeFrom="paragraph">
            <wp:posOffset>114300</wp:posOffset>
          </wp:positionV>
          <wp:extent cx="1466850" cy="48260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6850" cy="482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10005.0" w:type="dxa"/>
      <w:jc w:val="left"/>
      <w:tblInd w:w="-51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535"/>
      <w:gridCol w:w="5190"/>
      <w:gridCol w:w="2280"/>
      <w:tblGridChange w:id="0">
        <w:tblGrid>
          <w:gridCol w:w="2535"/>
          <w:gridCol w:w="5190"/>
          <w:gridCol w:w="2280"/>
        </w:tblGrid>
      </w:tblGridChange>
    </w:tblGrid>
    <w:tr>
      <w:trPr>
        <w:cantSplit w:val="0"/>
        <w:trHeight w:val="1119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2D">
          <w:pPr>
            <w:tabs>
              <w:tab w:val="right" w:leader="none" w:pos="9003"/>
            </w:tabs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jc w:val="center"/>
            <w:rPr>
              <w:rFonts w:ascii="Century Gothic" w:cs="Century Gothic" w:eastAsia="Century Gothic" w:hAnsi="Century Gothic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4"/>
              <w:szCs w:val="24"/>
              <w:rtl w:val="0"/>
            </w:rPr>
            <w:t xml:space="preserve">RESOLUCIÓN CONFORMACIÓN EQUIPO DE AIVVS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rPr>
              <w:rFonts w:ascii="Century Gothic" w:cs="Century Gothic" w:eastAsia="Century Gothic" w:hAnsi="Century Gothic"/>
              <w:color w:val="1f1f1f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8"/>
              <w:szCs w:val="18"/>
              <w:rtl w:val="0"/>
            </w:rPr>
            <w:t xml:space="preserve">Código: </w:t>
          </w:r>
          <w:r w:rsidDel="00000000" w:rsidR="00000000" w:rsidRPr="00000000">
            <w:rPr>
              <w:rFonts w:ascii="Century Gothic" w:cs="Century Gothic" w:eastAsia="Century Gothic" w:hAnsi="Century Gothic"/>
              <w:color w:val="1f1f1f"/>
              <w:sz w:val="18"/>
              <w:szCs w:val="18"/>
              <w:highlight w:val="white"/>
              <w:rtl w:val="0"/>
            </w:rPr>
            <w:t xml:space="preserve">PP-RS-004</w:t>
          </w:r>
        </w:p>
        <w:p w:rsidR="00000000" w:rsidDel="00000000" w:rsidP="00000000" w:rsidRDefault="00000000" w:rsidRPr="00000000" w14:paraId="00000030">
          <w:pPr>
            <w:rPr>
              <w:rFonts w:ascii="Century Gothic" w:cs="Century Gothic" w:eastAsia="Century Gothic" w:hAnsi="Century Gothic"/>
              <w:color w:val="1f1f1f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f1f1f"/>
              <w:sz w:val="18"/>
              <w:szCs w:val="18"/>
              <w:highlight w:val="white"/>
              <w:rtl w:val="0"/>
            </w:rPr>
            <w:t xml:space="preserve">Versión: 2</w:t>
          </w:r>
        </w:p>
        <w:p w:rsidR="00000000" w:rsidDel="00000000" w:rsidP="00000000" w:rsidRDefault="00000000" w:rsidRPr="00000000" w14:paraId="00000031">
          <w:pPr>
            <w:rPr>
              <w:rFonts w:ascii="Century Gothic" w:cs="Century Gothic" w:eastAsia="Century Gothic" w:hAnsi="Century Gothic"/>
              <w:color w:val="1f1f1f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f1f1f"/>
              <w:sz w:val="18"/>
              <w:szCs w:val="18"/>
              <w:highlight w:val="white"/>
              <w:rtl w:val="0"/>
            </w:rPr>
            <w:t xml:space="preserve">Emisión: ene 2025</w:t>
          </w:r>
        </w:p>
      </w:tc>
    </w:tr>
  </w:tbl>
  <w:p w:rsidR="00000000" w:rsidDel="00000000" w:rsidP="00000000" w:rsidRDefault="00000000" w:rsidRPr="00000000" w14:paraId="00000032">
    <w:pPr>
      <w:tabs>
        <w:tab w:val="center" w:leader="none" w:pos="4419"/>
        <w:tab w:val="right" w:leader="none" w:pos="8838"/>
      </w:tabs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8C7363"/>
    <w:pPr>
      <w:tabs>
        <w:tab w:val="center" w:pos="4419"/>
        <w:tab w:val="right" w:pos="8838"/>
      </w:tabs>
    </w:pPr>
    <w:rPr>
      <w:rFonts w:asciiTheme="minorHAnsi" w:cstheme="minorBidi" w:eastAsiaTheme="minorHAnsi" w:hAnsiTheme="minorHAnsi"/>
      <w:sz w:val="22"/>
      <w:szCs w:val="22"/>
      <w:lang w:eastAsia="en-US" w:val="es-CO"/>
    </w:rPr>
  </w:style>
  <w:style w:type="character" w:styleId="EncabezadoCar" w:customStyle="1">
    <w:name w:val="Encabezado Car"/>
    <w:basedOn w:val="Fuentedeprrafopredeter"/>
    <w:link w:val="Encabezado"/>
    <w:uiPriority w:val="99"/>
    <w:rsid w:val="008C7363"/>
  </w:style>
  <w:style w:type="paragraph" w:styleId="Piedepgina">
    <w:name w:val="footer"/>
    <w:basedOn w:val="Normal"/>
    <w:link w:val="PiedepginaCar"/>
    <w:uiPriority w:val="99"/>
    <w:unhideWhenUsed w:val="1"/>
    <w:rsid w:val="008C7363"/>
    <w:pPr>
      <w:tabs>
        <w:tab w:val="center" w:pos="4419"/>
        <w:tab w:val="right" w:pos="8838"/>
      </w:tabs>
    </w:pPr>
    <w:rPr>
      <w:rFonts w:asciiTheme="minorHAnsi" w:cstheme="minorBidi" w:eastAsiaTheme="minorHAnsi" w:hAnsiTheme="minorHAnsi"/>
      <w:sz w:val="22"/>
      <w:szCs w:val="22"/>
      <w:lang w:eastAsia="en-US" w:val="es-CO"/>
    </w:rPr>
  </w:style>
  <w:style w:type="character" w:styleId="PiedepginaCar" w:customStyle="1">
    <w:name w:val="Pie de página Car"/>
    <w:basedOn w:val="Fuentedeprrafopredeter"/>
    <w:link w:val="Piedepgina"/>
    <w:uiPriority w:val="99"/>
    <w:rsid w:val="008C7363"/>
  </w:style>
  <w:style w:type="table" w:styleId="Tablaconcuadrcula">
    <w:name w:val="Table Grid"/>
    <w:basedOn w:val="Tablanormal"/>
    <w:uiPriority w:val="39"/>
    <w:rsid w:val="008C7363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inespaciado">
    <w:name w:val="No Spacing"/>
    <w:link w:val="SinespaciadoCar"/>
    <w:uiPriority w:val="1"/>
    <w:qFormat w:val="1"/>
    <w:rsid w:val="002C7C56"/>
    <w:pPr>
      <w:spacing w:after="0" w:line="240" w:lineRule="auto"/>
    </w:pPr>
    <w:rPr>
      <w:rFonts w:ascii="Calibri" w:cs="Times New Roman" w:eastAsia="Calibri" w:hAnsi="Calibri"/>
    </w:rPr>
  </w:style>
  <w:style w:type="character" w:styleId="SinespaciadoCar" w:customStyle="1">
    <w:name w:val="Sin espaciado Car"/>
    <w:link w:val="Sinespaciado"/>
    <w:uiPriority w:val="1"/>
    <w:locked w:val="1"/>
    <w:rsid w:val="002C7C56"/>
    <w:rPr>
      <w:rFonts w:ascii="Calibri" w:cs="Times New Roman" w:eastAsia="Calibri" w:hAnsi="Calibri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7A692B"/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7A692B"/>
    <w:rPr>
      <w:rFonts w:ascii="Segoe UI" w:cs="Segoe UI" w:eastAsia="Times New Roman" w:hAnsi="Segoe UI"/>
      <w:sz w:val="18"/>
      <w:szCs w:val="18"/>
      <w:lang w:eastAsia="es-ES" w:val="es-E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Ri6vvwkuxsuH3eSFy1d+8uD3LA==">CgMxLjA4AHIhMWdXR1JfbFlKUXdvSnNqWHBZR1VFVUVwcUlTMXNrN01o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2019-06-10T17:29:00Z</dcterms:created>
  <dc:creator>Armando Sanchez Lozano</dc:creator>
</cp:coreProperties>
</file>