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2">
      <w:pPr>
        <w:spacing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3">
      <w:pPr>
        <w:spacing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4">
      <w:pPr>
        <w:spacing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5">
      <w:pPr>
        <w:spacing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6">
      <w:pPr>
        <w:spacing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7">
      <w:pPr>
        <w:spacing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8">
      <w:pPr>
        <w:spacing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9">
      <w:pPr>
        <w:spacing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A">
      <w:pPr>
        <w:spacing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B">
      <w:pPr>
        <w:spacing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C">
      <w:pPr>
        <w:spacing w:line="240" w:lineRule="auto"/>
        <w:jc w:val="center"/>
        <w:rPr>
          <w:rFonts w:ascii="Arial" w:cs="Arial" w:eastAsia="Arial" w:hAnsi="Arial"/>
          <w:b w:val="1"/>
          <w:bCs w:val="1"/>
          <w:sz w:val="76"/>
          <w:szCs w:val="76"/>
        </w:rPr>
      </w:pPr>
      <w:r w:rsidDel="00000000" w:rsidR="00000000" w:rsidRPr="00000000">
        <w:rPr>
          <w:rFonts w:ascii="Arial" w:cs="Arial" w:eastAsia="Arial" w:hAnsi="Arial"/>
          <w:b w:val="1"/>
          <w:bCs w:val="1"/>
          <w:sz w:val="76"/>
          <w:szCs w:val="76"/>
          <w:rtl w:val="0"/>
        </w:rPr>
        <w:t xml:space="preserve">PROTOCOLO ADOPCIÓN DE GUÍAS DE PRÁCTICA CLÍNICA </w:t>
      </w:r>
    </w:p>
    <w:p w:rsidR="00000000" w:rsidDel="00000000" w:rsidP="00000000" w:rsidRDefault="00000000" w:rsidRPr="00000000" w14:paraId="0000000D">
      <w:pPr>
        <w:spacing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E">
      <w:pPr>
        <w:spacing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F">
      <w:pPr>
        <w:spacing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0">
      <w:pPr>
        <w:spacing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1">
      <w:pPr>
        <w:spacing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2">
      <w:pPr>
        <w:spacing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3">
      <w:pPr>
        <w:spacing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4">
      <w:pPr>
        <w:spacing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5">
      <w:pPr>
        <w:spacing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6">
      <w:pPr>
        <w:spacing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7">
      <w:pPr>
        <w:spacing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8">
      <w:pPr>
        <w:spacing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9">
      <w:pPr>
        <w:spacing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A">
      <w:pPr>
        <w:spacing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B">
      <w:pPr>
        <w:spacing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C">
      <w:pPr>
        <w:spacing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D">
      <w:pPr>
        <w:spacing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E">
      <w:pPr>
        <w:spacing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F">
      <w:pPr>
        <w:spacing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0">
      <w:pPr>
        <w:spacing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1">
      <w:pPr>
        <w:spacing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2">
      <w:pPr>
        <w:spacing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3">
      <w:pPr>
        <w:spacing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4">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w:t>
      </w:r>
    </w:p>
    <w:p w:rsidR="00000000" w:rsidDel="00000000" w:rsidP="00000000" w:rsidRDefault="00000000" w:rsidRPr="00000000" w14:paraId="00000025">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spacing w:line="24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Proveer de Guías de Práctica Clínica Adoptadas con recomendaciones basadas en la mejor evidencia científica disponible, como referencia para los procesos asistenciales de los usuarios de la Institución.</w:t>
      </w:r>
    </w:p>
    <w:p w:rsidR="00000000" w:rsidDel="00000000" w:rsidP="00000000" w:rsidRDefault="00000000" w:rsidRPr="00000000" w14:paraId="00000027">
      <w:pPr>
        <w:spacing w:line="24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28">
      <w:pPr>
        <w:shd w:fill="ffffff" w:val="clear"/>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ALCANCE</w:t>
      </w:r>
      <w:r w:rsidDel="00000000" w:rsidR="00000000" w:rsidRPr="00000000">
        <w:rPr>
          <w:rtl w:val="0"/>
        </w:rPr>
      </w:r>
    </w:p>
    <w:p w:rsidR="00000000" w:rsidDel="00000000" w:rsidP="00000000" w:rsidRDefault="00000000" w:rsidRPr="00000000" w14:paraId="00000029">
      <w:pPr>
        <w:shd w:fill="ffffff" w:val="clea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shd w:fill="ffffff" w:val="clea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Este protocolo aplica exclusivamente a la adopción y uso de Guías de Práctica Clínica (GPC) en los servicios habilitados de ENDOCRINOLOGY AND HEALTH.. La aplicación de las GPC se limita al diagnóstico, manejo y seguimiento de patologías dentro del nivel de atención ambulatoria.</w:t>
      </w:r>
      <w:r w:rsidDel="00000000" w:rsidR="00000000" w:rsidRPr="00000000">
        <w:rPr>
          <w:rtl w:val="0"/>
        </w:rPr>
      </w:r>
    </w:p>
    <w:p w:rsidR="00000000" w:rsidDel="00000000" w:rsidP="00000000" w:rsidRDefault="00000000" w:rsidRPr="00000000" w14:paraId="0000002B">
      <w:pPr>
        <w:shd w:fill="ffffff" w:val="clea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RESPONSABLE</w:t>
      </w:r>
    </w:p>
    <w:p w:rsidR="00000000" w:rsidDel="00000000" w:rsidP="00000000" w:rsidRDefault="00000000" w:rsidRPr="00000000" w14:paraId="0000002C">
      <w:pPr>
        <w:shd w:fill="ffffff" w:val="clea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shd w:fill="ffffff" w:val="clea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Grupo de Adopción de GPC (GAG)</w:t>
      </w:r>
    </w:p>
    <w:p w:rsidR="00000000" w:rsidDel="00000000" w:rsidP="00000000" w:rsidRDefault="00000000" w:rsidRPr="00000000" w14:paraId="0000002E">
      <w:pPr>
        <w:shd w:fill="ffffff" w:val="clea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X</w:t>
      </w:r>
    </w:p>
    <w:p w:rsidR="00000000" w:rsidDel="00000000" w:rsidP="00000000" w:rsidRDefault="00000000" w:rsidRPr="00000000" w14:paraId="0000002F">
      <w:pPr>
        <w:shd w:fill="ffffff" w:val="clear"/>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DEFINICIONES</w:t>
      </w:r>
      <w:r w:rsidDel="00000000" w:rsidR="00000000" w:rsidRPr="00000000">
        <w:rPr>
          <w:rtl w:val="0"/>
        </w:rPr>
      </w:r>
    </w:p>
    <w:p w:rsidR="00000000" w:rsidDel="00000000" w:rsidP="00000000" w:rsidRDefault="00000000" w:rsidRPr="00000000" w14:paraId="00000030">
      <w:pPr>
        <w:shd w:fill="ffffff" w:val="clea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shd w:fill="ffffff" w:val="clear"/>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Adopción:</w:t>
      </w:r>
      <w:r w:rsidDel="00000000" w:rsidR="00000000" w:rsidRPr="00000000">
        <w:rPr>
          <w:rFonts w:ascii="Arial" w:cs="Arial" w:eastAsia="Arial" w:hAnsi="Arial"/>
          <w:sz w:val="24"/>
          <w:szCs w:val="24"/>
          <w:rtl w:val="0"/>
        </w:rPr>
        <w:t xml:space="preserve"> Hace referencia a la decisión de la necesidad u obligación institucional de cambiar la práctica clínica, ajustándose a las recomendaciones contenidas en las GPC del Ministerio de Salud colombiano.</w:t>
      </w:r>
    </w:p>
    <w:p w:rsidR="00000000" w:rsidDel="00000000" w:rsidP="00000000" w:rsidRDefault="00000000" w:rsidRPr="00000000" w14:paraId="00000032">
      <w:pPr>
        <w:shd w:fill="ffffff" w:val="clea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shd w:fill="ffffff" w:val="clea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AGREE II: </w:t>
      </w:r>
      <w:r w:rsidDel="00000000" w:rsidR="00000000" w:rsidRPr="00000000">
        <w:rPr>
          <w:rFonts w:ascii="Arial" w:cs="Arial" w:eastAsia="Arial" w:hAnsi="Arial"/>
          <w:sz w:val="24"/>
          <w:szCs w:val="24"/>
          <w:rtl w:val="0"/>
        </w:rPr>
        <w:t xml:space="preserve">I</w:t>
      </w:r>
      <w:r w:rsidDel="00000000" w:rsidR="00000000" w:rsidRPr="00000000">
        <w:rPr>
          <w:rFonts w:ascii="Arial" w:cs="Arial" w:eastAsia="Arial" w:hAnsi="Arial"/>
          <w:color w:val="222222"/>
          <w:sz w:val="24"/>
          <w:szCs w:val="24"/>
          <w:highlight w:val="white"/>
          <w:rtl w:val="0"/>
        </w:rPr>
        <w:t xml:space="preserve">nstrumento para la evaluación de guías de práctica clínica</w:t>
      </w:r>
      <w:hyperlink r:id="rId7">
        <w:r w:rsidDel="00000000" w:rsidR="00000000" w:rsidRPr="00000000">
          <w:rPr>
            <w:rFonts w:ascii="Arial" w:cs="Arial" w:eastAsia="Arial" w:hAnsi="Arial"/>
            <w:sz w:val="24"/>
            <w:szCs w:val="24"/>
            <w:highlight w:val="white"/>
            <w:rtl w:val="0"/>
          </w:rPr>
          <w:t xml:space="preserve">￼</w:t>
        </w:r>
      </w:hyperlink>
      <w:r w:rsidDel="00000000" w:rsidR="00000000" w:rsidRPr="00000000">
        <w:rPr>
          <w:rFonts w:ascii="Arial" w:cs="Arial" w:eastAsia="Arial" w:hAnsi="Arial"/>
          <w:color w:val="222222"/>
          <w:sz w:val="24"/>
          <w:szCs w:val="24"/>
          <w:highlight w:val="white"/>
          <w:rtl w:val="0"/>
        </w:rPr>
        <w:t xml:space="preserve"> se trata de una herramienta que evalúa el rigor metodológico y la transparencia con la cual se elaboran estas guías. </w:t>
      </w:r>
      <w:r w:rsidDel="00000000" w:rsidR="00000000" w:rsidRPr="00000000">
        <w:rPr>
          <w:rtl w:val="0"/>
        </w:rPr>
      </w:r>
    </w:p>
    <w:p w:rsidR="00000000" w:rsidDel="00000000" w:rsidP="00000000" w:rsidRDefault="00000000" w:rsidRPr="00000000" w14:paraId="00000034">
      <w:pPr>
        <w:shd w:fill="ffffff" w:val="clear"/>
        <w:spacing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5">
      <w:pPr>
        <w:shd w:fill="ffffff" w:val="clear"/>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Barreras:</w:t>
      </w:r>
      <w:r w:rsidDel="00000000" w:rsidR="00000000" w:rsidRPr="00000000">
        <w:rPr>
          <w:rFonts w:ascii="Arial" w:cs="Arial" w:eastAsia="Arial" w:hAnsi="Arial"/>
          <w:sz w:val="24"/>
          <w:szCs w:val="24"/>
          <w:rtl w:val="0"/>
        </w:rPr>
        <w:t xml:space="preserve"> Factores que impiden la diseminación e implementación.</w:t>
      </w:r>
    </w:p>
    <w:p w:rsidR="00000000" w:rsidDel="00000000" w:rsidP="00000000" w:rsidRDefault="00000000" w:rsidRPr="00000000" w14:paraId="00000036">
      <w:pPr>
        <w:shd w:fill="ffffff" w:val="clea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shd w:fill="ffffff" w:val="clear"/>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Diseminación:</w:t>
      </w:r>
      <w:r w:rsidDel="00000000" w:rsidR="00000000" w:rsidRPr="00000000">
        <w:rPr>
          <w:rFonts w:ascii="Arial" w:cs="Arial" w:eastAsia="Arial" w:hAnsi="Arial"/>
          <w:sz w:val="24"/>
          <w:szCs w:val="24"/>
          <w:rtl w:val="0"/>
        </w:rPr>
        <w:t xml:space="preserve"> Hace referencia a procesos o actividades de comunicación efectiva y educación que pretenden mejorar o modificar el conocimiento y las habilidades de los usuarios finales de la guía, sean estos prestadores de servicio o pacientes.</w:t>
      </w:r>
    </w:p>
    <w:p w:rsidR="00000000" w:rsidDel="00000000" w:rsidP="00000000" w:rsidRDefault="00000000" w:rsidRPr="00000000" w14:paraId="00000038">
      <w:pPr>
        <w:shd w:fill="ffffff" w:val="clea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shd w:fill="ffffff" w:val="clear"/>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EPS:</w:t>
      </w:r>
      <w:r w:rsidDel="00000000" w:rsidR="00000000" w:rsidRPr="00000000">
        <w:rPr>
          <w:rFonts w:ascii="Arial" w:cs="Arial" w:eastAsia="Arial" w:hAnsi="Arial"/>
          <w:sz w:val="24"/>
          <w:szCs w:val="24"/>
          <w:rtl w:val="0"/>
        </w:rPr>
        <w:t xml:space="preserve"> Entidades Promotoras de Salud.</w:t>
      </w:r>
    </w:p>
    <w:p w:rsidR="00000000" w:rsidDel="00000000" w:rsidP="00000000" w:rsidRDefault="00000000" w:rsidRPr="00000000" w14:paraId="0000003A">
      <w:pPr>
        <w:shd w:fill="ffffff" w:val="clea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shd w:fill="ffffff" w:val="clear"/>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GDG:</w:t>
      </w:r>
      <w:r w:rsidDel="00000000" w:rsidR="00000000" w:rsidRPr="00000000">
        <w:rPr>
          <w:rFonts w:ascii="Arial" w:cs="Arial" w:eastAsia="Arial" w:hAnsi="Arial"/>
          <w:sz w:val="24"/>
          <w:szCs w:val="24"/>
          <w:rtl w:val="0"/>
        </w:rPr>
        <w:t xml:space="preserve"> Grupos desarrolladores de guías de práctica clínica.</w:t>
      </w:r>
    </w:p>
    <w:p w:rsidR="00000000" w:rsidDel="00000000" w:rsidP="00000000" w:rsidRDefault="00000000" w:rsidRPr="00000000" w14:paraId="0000003C">
      <w:pPr>
        <w:shd w:fill="ffffff" w:val="clea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shd w:fill="ffffff" w:val="clear"/>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GPC:</w:t>
      </w:r>
      <w:r w:rsidDel="00000000" w:rsidR="00000000" w:rsidRPr="00000000">
        <w:rPr>
          <w:rFonts w:ascii="Arial" w:cs="Arial" w:eastAsia="Arial" w:hAnsi="Arial"/>
          <w:sz w:val="24"/>
          <w:szCs w:val="24"/>
          <w:rtl w:val="0"/>
        </w:rPr>
        <w:t xml:space="preserve"> Guía de Práctica Clínica.</w:t>
      </w:r>
    </w:p>
    <w:p w:rsidR="00000000" w:rsidDel="00000000" w:rsidP="00000000" w:rsidRDefault="00000000" w:rsidRPr="00000000" w14:paraId="0000003E">
      <w:pPr>
        <w:shd w:fill="ffffff" w:val="clea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shd w:fill="ffffff" w:val="clear"/>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MBE:</w:t>
      </w:r>
      <w:r w:rsidDel="00000000" w:rsidR="00000000" w:rsidRPr="00000000">
        <w:rPr>
          <w:rFonts w:ascii="Arial" w:cs="Arial" w:eastAsia="Arial" w:hAnsi="Arial"/>
          <w:sz w:val="24"/>
          <w:szCs w:val="24"/>
          <w:rtl w:val="0"/>
        </w:rPr>
        <w:t xml:space="preserve"> Medicina basada en evidencia.</w:t>
      </w:r>
    </w:p>
    <w:p w:rsidR="00000000" w:rsidDel="00000000" w:rsidP="00000000" w:rsidRDefault="00000000" w:rsidRPr="00000000" w14:paraId="00000040">
      <w:pPr>
        <w:shd w:fill="ffffff" w:val="clea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shd w:fill="ffffff" w:val="clear"/>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MSPS:</w:t>
      </w:r>
      <w:r w:rsidDel="00000000" w:rsidR="00000000" w:rsidRPr="00000000">
        <w:rPr>
          <w:rFonts w:ascii="Arial" w:cs="Arial" w:eastAsia="Arial" w:hAnsi="Arial"/>
          <w:sz w:val="24"/>
          <w:szCs w:val="24"/>
          <w:rtl w:val="0"/>
        </w:rPr>
        <w:t xml:space="preserve"> Ministerio de Salud y Protección Social.</w:t>
      </w:r>
    </w:p>
    <w:p w:rsidR="00000000" w:rsidDel="00000000" w:rsidP="00000000" w:rsidRDefault="00000000" w:rsidRPr="00000000" w14:paraId="00000042">
      <w:pPr>
        <w:shd w:fill="ffffff" w:val="clea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shd w:fill="ffffff" w:val="clear"/>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SGSSS:</w:t>
      </w:r>
      <w:r w:rsidDel="00000000" w:rsidR="00000000" w:rsidRPr="00000000">
        <w:rPr>
          <w:rFonts w:ascii="Arial" w:cs="Arial" w:eastAsia="Arial" w:hAnsi="Arial"/>
          <w:sz w:val="24"/>
          <w:szCs w:val="24"/>
          <w:rtl w:val="0"/>
        </w:rPr>
        <w:t xml:space="preserve"> Sistema General de Seguridad Social en Salud.</w:t>
      </w:r>
    </w:p>
    <w:p w:rsidR="00000000" w:rsidDel="00000000" w:rsidP="00000000" w:rsidRDefault="00000000" w:rsidRPr="00000000" w14:paraId="00000044">
      <w:pPr>
        <w:shd w:fill="ffffff" w:val="clea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shd w:fill="ffffff" w:val="clear"/>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SOGC:</w:t>
      </w:r>
      <w:r w:rsidDel="00000000" w:rsidR="00000000" w:rsidRPr="00000000">
        <w:rPr>
          <w:rFonts w:ascii="Arial" w:cs="Arial" w:eastAsia="Arial" w:hAnsi="Arial"/>
          <w:sz w:val="24"/>
          <w:szCs w:val="24"/>
          <w:rtl w:val="0"/>
        </w:rPr>
        <w:t xml:space="preserve"> Sistema Obligatorio de Garantía de Calidad en Salud.</w:t>
      </w:r>
    </w:p>
    <w:p w:rsidR="00000000" w:rsidDel="00000000" w:rsidP="00000000" w:rsidRDefault="00000000" w:rsidRPr="00000000" w14:paraId="00000046">
      <w:pPr>
        <w:shd w:fill="ffffff" w:val="clea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shd w:fill="ffffff" w:val="clear"/>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SUH: </w:t>
      </w:r>
      <w:r w:rsidDel="00000000" w:rsidR="00000000" w:rsidRPr="00000000">
        <w:rPr>
          <w:rFonts w:ascii="Arial" w:cs="Arial" w:eastAsia="Arial" w:hAnsi="Arial"/>
          <w:sz w:val="24"/>
          <w:szCs w:val="24"/>
          <w:rtl w:val="0"/>
        </w:rPr>
        <w:t xml:space="preserve">Sistema único de habilitación.</w:t>
      </w:r>
    </w:p>
    <w:p w:rsidR="00000000" w:rsidDel="00000000" w:rsidP="00000000" w:rsidRDefault="00000000" w:rsidRPr="00000000" w14:paraId="00000048">
      <w:pPr>
        <w:shd w:fill="ffffff" w:val="clea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shd w:fill="ffffff" w:val="clea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CONTENIDO</w:t>
      </w:r>
    </w:p>
    <w:p w:rsidR="00000000" w:rsidDel="00000000" w:rsidP="00000000" w:rsidRDefault="00000000" w:rsidRPr="00000000" w14:paraId="0000004A">
      <w:pPr>
        <w:shd w:fill="ffffff" w:val="clea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pacing w:line="24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INTRODUCCIÓN</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pacing w:line="24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highlight w:val="white"/>
          <w:rtl w:val="0"/>
        </w:rPr>
        <w:t xml:space="preserve">CONFORMACIÓN DEL GAG  Y DECLARACIÓN DE INTERÉS</w:t>
      </w:r>
      <w:r w:rsidDel="00000000" w:rsidR="00000000" w:rsidRPr="00000000">
        <w:rPr>
          <w:rtl w:val="0"/>
        </w:rPr>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pacing w:line="240" w:lineRule="auto"/>
        <w:ind w:left="720" w:hanging="360"/>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PERFILES Y FUNCIONES DE LOS INTEGRANTES DEL GRUPO</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pacing w:line="240" w:lineRule="auto"/>
        <w:ind w:left="720" w:hanging="360"/>
        <w:jc w:val="both"/>
        <w:rPr>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DISEÑO Y EVALUACIÓN DE GPC: </w:t>
      </w:r>
      <w:r w:rsidDel="00000000" w:rsidR="00000000" w:rsidRPr="00000000">
        <w:rPr>
          <w:rtl w:val="0"/>
        </w:rPr>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pacing w:line="240" w:lineRule="auto"/>
        <w:ind w:left="720" w:hanging="360"/>
        <w:jc w:val="both"/>
        <w:rPr>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BÚSQUEDA Y SELECCIÓN DE LA LITERATURA: </w:t>
      </w:r>
      <w:r w:rsidDel="00000000" w:rsidR="00000000" w:rsidRPr="00000000">
        <w:rPr>
          <w:rtl w:val="0"/>
        </w:rPr>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pacing w:line="240" w:lineRule="auto"/>
        <w:ind w:left="720" w:hanging="360"/>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FUENTES DE INFORMACIÓN TENIDAS EN CUENTA PARA LA BÚSQUEDA</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pacing w:line="240" w:lineRule="auto"/>
        <w:ind w:left="720" w:hanging="360"/>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CRONOGRAMA Y REUNIONES</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pacing w:line="240" w:lineRule="auto"/>
        <w:ind w:left="720" w:hanging="360"/>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SELECCIÓN Y ANÁLISIS DE LAS GPC OBTENIDAS</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pacing w:line="240" w:lineRule="auto"/>
        <w:ind w:left="720" w:hanging="360"/>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PROCESO DE ADOPCIÓN DE GPC</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pacing w:line="240" w:lineRule="auto"/>
        <w:ind w:left="720" w:hanging="360"/>
        <w:jc w:val="both"/>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SOCIALIZACIÓN DE LAS GPC</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ffffff" w:val="clear"/>
        <w:spacing w:line="24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MEDICIÓN DE ADHERENCIA A GUÍAS</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pacing w:line="24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PROCEDIMIENTO</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ffffff" w:val="clear"/>
        <w:spacing w:line="24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REFERENCIAS BIBLIOGRÁFICAS</w:t>
      </w:r>
    </w:p>
    <w:p w:rsidR="00000000" w:rsidDel="00000000" w:rsidP="00000000" w:rsidRDefault="00000000" w:rsidRPr="00000000" w14:paraId="00000058">
      <w:pPr>
        <w:spacing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9">
      <w:pPr>
        <w:spacing w:line="24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INTRODUCCIÓN</w:t>
      </w:r>
    </w:p>
    <w:p w:rsidR="00000000" w:rsidDel="00000000" w:rsidP="00000000" w:rsidRDefault="00000000" w:rsidRPr="00000000" w14:paraId="0000005A">
      <w:pPr>
        <w:spacing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B">
      <w:pPr>
        <w:spacing w:line="240" w:lineRule="auto"/>
        <w:jc w:val="both"/>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El Ministerio </w:t>
      </w:r>
      <w:r w:rsidDel="00000000" w:rsidR="00000000" w:rsidRPr="00000000">
        <w:rPr>
          <w:rFonts w:ascii="Arial" w:cs="Arial" w:eastAsia="Arial" w:hAnsi="Arial"/>
          <w:sz w:val="24"/>
          <w:szCs w:val="24"/>
          <w:rtl w:val="0"/>
        </w:rPr>
        <w:t xml:space="preserve">de Salud y Protección Social en su búsqueda por mejorar y garantizar los procesos de la Atención en salud y en vista de las dificultades presentadas tanto por los profesionales de la salud, instituciones prestadoras de servicios de salud como por los usuarios y sus familias para tener claro cuáles son los procedimientos, las pruebas diagnósticas, los tratamientos médicos y farmacológicos que han demostrado tener los mejores resultados con el menor riesgo para la salud en investigaciones rigurosas, presenta en el 2013 la Guía Metodológica para la Elaboración de Guías de Atención Integral en el SGSSS Colombiano, y en 2014, el Manual de Implementación de Guías de Práctica Clínica Basadas en Evidencia, en Instituciones Prestadoras de Servicios de Salud en Colombia, en las que traza la ruta para llevar a la práctica de manera efectiva, las recomendaciones contenidas en las GPC.</w:t>
      </w:r>
    </w:p>
    <w:p w:rsidR="00000000" w:rsidDel="00000000" w:rsidP="00000000" w:rsidRDefault="00000000" w:rsidRPr="00000000" w14:paraId="0000005C">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propuesta surge como respuesta a la necesidad de revisar y mejorar la validez de las guías sobre los problemas prevalentes en la atención en salud y se basa en el supuesto de que la credibilidad y aceptabilidad de las GPC por parte de los profesionales de la salud es mayor cuando también lo es su calidad metodológica. </w:t>
      </w:r>
    </w:p>
    <w:p w:rsidR="00000000" w:rsidDel="00000000" w:rsidP="00000000" w:rsidRDefault="00000000" w:rsidRPr="00000000" w14:paraId="0000005E">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adopción y la implementación de GPC basadas en la evidencia pretende facilitar la toma de decisiones de los profesionales, mejorar los procesos de atención clínica y sanitaria, disminuyendo la variabilidad y optimizando el proceso de referencia y contrarreferencia; generar mejores resultados medidos en términos de morbi-mortalidad de la población objetivo y disminuir los costos debidos a una atención inapropiada. A su vez, permitiría una mayor participación de los usuarios y su grupo familiar, incrementando su autonomía en la toma de decisiones, su responsabilidad en el cuidado de su salud así como su satisfacción con la experiencia asistencial.</w:t>
      </w:r>
    </w:p>
    <w:p w:rsidR="00000000" w:rsidDel="00000000" w:rsidP="00000000" w:rsidRDefault="00000000" w:rsidRPr="00000000" w14:paraId="00000060">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la Institución, como parte de la cultura de calidad y mejora continua, se hace fundamental la adherencia de los profesionales a las GPC basadas en la evidencia como estrategia para disminuir al máximo las variaciones en los patrones de atención, aumentar la calidad en la prestación de los servicios y optimizar los recursos disponibles. Con este objetivo se presenta este documento, el cual describe la metodología para la adopción de las GPC, basándonos en la metodología establecida por el Ministerio de Salud y Protección Social, de una manera estandarizada, concertada y guardando todo el rigor científico.</w:t>
      </w:r>
    </w:p>
    <w:p w:rsidR="00000000" w:rsidDel="00000000" w:rsidP="00000000" w:rsidRDefault="00000000" w:rsidRPr="00000000" w14:paraId="00000062">
      <w:pPr>
        <w:spacing w:line="240" w:lineRule="auto"/>
        <w:ind w:left="502"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highlight w:val="white"/>
          <w:rtl w:val="0"/>
        </w:rPr>
        <w:t xml:space="preserve">CONFORMACIÓN DEL GAG DE (SERVICIO) Y DECLARACIÓN DE INTERÉS</w:t>
      </w:r>
      <w:r w:rsidDel="00000000" w:rsidR="00000000" w:rsidRPr="00000000">
        <w:rPr>
          <w:rtl w:val="0"/>
        </w:rPr>
      </w:r>
    </w:p>
    <w:p w:rsidR="00000000" w:rsidDel="00000000" w:rsidP="00000000" w:rsidRDefault="00000000" w:rsidRPr="00000000" w14:paraId="00000064">
      <w:pPr>
        <w:spacing w:line="240" w:lineRule="auto"/>
        <w:ind w:left="502"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spacing w:line="240" w:lineRule="auto"/>
        <w:ind w:left="502" w:firstLine="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 continuación, se relacionan los profesionales que conformarán el Grupo de Adopción de Guías.</w:t>
      </w:r>
    </w:p>
    <w:p w:rsidR="00000000" w:rsidDel="00000000" w:rsidP="00000000" w:rsidRDefault="00000000" w:rsidRPr="00000000" w14:paraId="00000066">
      <w:pPr>
        <w:spacing w:line="240" w:lineRule="auto"/>
        <w:ind w:left="502" w:firstLine="0"/>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67">
      <w:pPr>
        <w:spacing w:line="240" w:lineRule="auto"/>
        <w:ind w:left="502" w:firstLine="0"/>
        <w:jc w:val="both"/>
        <w:rPr>
          <w:rFonts w:ascii="Arial" w:cs="Arial" w:eastAsia="Arial" w:hAnsi="Arial"/>
          <w:sz w:val="24"/>
          <w:szCs w:val="24"/>
          <w:highlight w:val="white"/>
        </w:rPr>
      </w:pPr>
      <w:r w:rsidDel="00000000" w:rsidR="00000000" w:rsidRPr="00000000">
        <w:rPr>
          <w:rtl w:val="0"/>
        </w:rPr>
      </w:r>
    </w:p>
    <w:tbl>
      <w:tblPr>
        <w:tblStyle w:val="Table1"/>
        <w:tblW w:w="587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73"/>
        <w:gridCol w:w="2500"/>
        <w:tblGridChange w:id="0">
          <w:tblGrid>
            <w:gridCol w:w="3373"/>
            <w:gridCol w:w="2500"/>
          </w:tblGrid>
        </w:tblGridChange>
      </w:tblGrid>
      <w:tr>
        <w:trPr>
          <w:cantSplit w:val="0"/>
          <w:trHeight w:val="761.953125" w:hRule="atLeast"/>
          <w:tblHeader w:val="0"/>
        </w:trPr>
        <w:tc>
          <w:tcPr>
            <w:shd w:fill="92d050" w:val="clear"/>
          </w:tcPr>
          <w:p w:rsidR="00000000" w:rsidDel="00000000" w:rsidP="00000000" w:rsidRDefault="00000000" w:rsidRPr="00000000" w14:paraId="00000068">
            <w:pPr>
              <w:spacing w:line="24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CARGO EN EL GRUPO DE ADOPCIÓN DE GUÍAS</w:t>
            </w:r>
          </w:p>
        </w:tc>
        <w:tc>
          <w:tcPr>
            <w:shd w:fill="92d050" w:val="clear"/>
          </w:tcPr>
          <w:p w:rsidR="00000000" w:rsidDel="00000000" w:rsidP="00000000" w:rsidRDefault="00000000" w:rsidRPr="00000000" w14:paraId="00000069">
            <w:pPr>
              <w:spacing w:line="24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PROFESIONAL</w:t>
            </w:r>
          </w:p>
        </w:tc>
      </w:tr>
      <w:tr>
        <w:trPr>
          <w:cantSplit w:val="0"/>
          <w:tblHeader w:val="0"/>
        </w:trPr>
        <w:tc>
          <w:tcPr>
            <w:shd w:fill="auto" w:val="clear"/>
          </w:tcPr>
          <w:p w:rsidR="00000000" w:rsidDel="00000000" w:rsidP="00000000" w:rsidRDefault="00000000" w:rsidRPr="00000000" w14:paraId="0000006A">
            <w:pPr>
              <w:spacing w:line="24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Líder del grupo</w:t>
            </w:r>
          </w:p>
        </w:tc>
        <w:tc>
          <w:tcPr>
            <w:shd w:fill="auto" w:val="clear"/>
          </w:tcPr>
          <w:p w:rsidR="00000000" w:rsidDel="00000000" w:rsidP="00000000" w:rsidRDefault="00000000" w:rsidRPr="00000000" w14:paraId="0000006B">
            <w:pPr>
              <w:spacing w:line="24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Gerente</w:t>
            </w:r>
          </w:p>
        </w:tc>
      </w:tr>
      <w:tr>
        <w:trPr>
          <w:cantSplit w:val="0"/>
          <w:tblHeader w:val="0"/>
        </w:trPr>
        <w:tc>
          <w:tcPr>
            <w:shd w:fill="auto" w:val="clear"/>
          </w:tcPr>
          <w:p w:rsidR="00000000" w:rsidDel="00000000" w:rsidP="00000000" w:rsidRDefault="00000000" w:rsidRPr="00000000" w14:paraId="0000006C">
            <w:pPr>
              <w:spacing w:line="24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Documentalistas</w:t>
            </w:r>
          </w:p>
        </w:tc>
        <w:tc>
          <w:tcPr>
            <w:shd w:fill="auto" w:val="clear"/>
          </w:tcPr>
          <w:p w:rsidR="00000000" w:rsidDel="00000000" w:rsidP="00000000" w:rsidRDefault="00000000" w:rsidRPr="00000000" w14:paraId="0000006D">
            <w:pPr>
              <w:spacing w:line="24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Asesor de calidad</w:t>
            </w:r>
          </w:p>
        </w:tc>
      </w:tr>
      <w:tr>
        <w:trPr>
          <w:cantSplit w:val="0"/>
          <w:tblHeader w:val="0"/>
        </w:trPr>
        <w:tc>
          <w:tcPr>
            <w:shd w:fill="auto" w:val="clear"/>
          </w:tcPr>
          <w:p w:rsidR="00000000" w:rsidDel="00000000" w:rsidP="00000000" w:rsidRDefault="00000000" w:rsidRPr="00000000" w14:paraId="0000006E">
            <w:pPr>
              <w:spacing w:line="24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Experto en Metodología</w:t>
            </w:r>
          </w:p>
        </w:tc>
        <w:tc>
          <w:tcPr>
            <w:shd w:fill="auto" w:val="clear"/>
          </w:tcPr>
          <w:p w:rsidR="00000000" w:rsidDel="00000000" w:rsidP="00000000" w:rsidRDefault="00000000" w:rsidRPr="00000000" w14:paraId="0000006F">
            <w:pPr>
              <w:spacing w:line="24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Asesor externo</w:t>
            </w:r>
          </w:p>
        </w:tc>
      </w:tr>
    </w:tbl>
    <w:p w:rsidR="00000000" w:rsidDel="00000000" w:rsidP="00000000" w:rsidRDefault="00000000" w:rsidRPr="00000000" w14:paraId="00000070">
      <w:pPr>
        <w:spacing w:line="240" w:lineRule="auto"/>
        <w:ind w:left="502" w:firstLine="0"/>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71">
      <w:pPr>
        <w:spacing w:line="240" w:lineRule="auto"/>
        <w:ind w:left="502" w:firstLine="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Con la conformación de este grupo se garantiza que todas las áreas profesionales relacionadas están representadas y toda la información científica relevante se localizará y evaluará adecuadamente, se identificarán y se tratarán los problemas prácticos derivados del uso de la guía, al tiempo que se aumenta la credibilidad y la aceptación de la guía y se minimizan las barreras en la utilización de las Guías de Práctica Clínica.</w:t>
      </w:r>
    </w:p>
    <w:p w:rsidR="00000000" w:rsidDel="00000000" w:rsidP="00000000" w:rsidRDefault="00000000" w:rsidRPr="00000000" w14:paraId="00000072">
      <w:pPr>
        <w:spacing w:line="240" w:lineRule="auto"/>
        <w:ind w:left="502" w:firstLine="0"/>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73">
      <w:pPr>
        <w:spacing w:line="240" w:lineRule="auto"/>
        <w:ind w:left="502" w:firstLine="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Si se identifica que un miembro del grupo de trabajo tiene un posible conflicto de intereses en una parte limitada de la guía se abstendrá de participar en esa parte, pero podrá hacerlo en el resto del proceso. El líder de la guía, junto con las personas del grupo determinarán si los intereses declarados por un miembro potencial del equipo son de una entidad tal que se desaconseja que forme parte del equipo de elaboración de la guía, o basta con que no participe en alguna parte del proceso.</w:t>
      </w:r>
    </w:p>
    <w:p w:rsidR="00000000" w:rsidDel="00000000" w:rsidP="00000000" w:rsidRDefault="00000000" w:rsidRPr="00000000" w14:paraId="00000074">
      <w:pPr>
        <w:spacing w:line="240" w:lineRule="auto"/>
        <w:ind w:left="502" w:firstLine="0"/>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75">
      <w:pPr>
        <w:spacing w:line="240" w:lineRule="auto"/>
        <w:ind w:left="502" w:firstLine="0"/>
        <w:jc w:val="both"/>
        <w:rPr>
          <w:rFonts w:ascii="Arial" w:cs="Arial" w:eastAsia="Arial" w:hAnsi="Arial"/>
          <w:sz w:val="24"/>
          <w:szCs w:val="24"/>
          <w:highlight w:val="white"/>
        </w:rPr>
      </w:pPr>
      <w:r w:rsidDel="00000000" w:rsidR="00000000" w:rsidRPr="00000000">
        <w:rPr>
          <w:rFonts w:ascii="Arial" w:cs="Arial" w:eastAsia="Arial" w:hAnsi="Arial"/>
          <w:b w:val="1"/>
          <w:bCs w:val="1"/>
          <w:sz w:val="24"/>
          <w:szCs w:val="24"/>
          <w:highlight w:val="white"/>
          <w:rtl w:val="0"/>
        </w:rPr>
        <w:t xml:space="preserve">PERFILES Y FUNCIONES DE LOS INTEGRANTES DEL GRUPO: </w:t>
      </w:r>
      <w:r w:rsidDel="00000000" w:rsidR="00000000" w:rsidRPr="00000000">
        <w:rPr>
          <w:rtl w:val="0"/>
        </w:rPr>
      </w:r>
    </w:p>
    <w:p w:rsidR="00000000" w:rsidDel="00000000" w:rsidP="00000000" w:rsidRDefault="00000000" w:rsidRPr="00000000" w14:paraId="00000076">
      <w:pPr>
        <w:spacing w:line="240" w:lineRule="auto"/>
        <w:ind w:left="502" w:firstLine="0"/>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pacing w:line="240" w:lineRule="auto"/>
        <w:ind w:left="1222" w:hanging="360"/>
        <w:jc w:val="both"/>
        <w:rPr>
          <w:color w:val="000000"/>
          <w:sz w:val="24"/>
          <w:szCs w:val="24"/>
          <w:highlight w:val="white"/>
        </w:rPr>
      </w:pPr>
      <w:r w:rsidDel="00000000" w:rsidR="00000000" w:rsidRPr="00000000">
        <w:rPr>
          <w:rFonts w:ascii="Arial" w:cs="Arial" w:eastAsia="Arial" w:hAnsi="Arial"/>
          <w:b w:val="1"/>
          <w:bCs w:val="1"/>
          <w:color w:val="000000"/>
          <w:sz w:val="24"/>
          <w:szCs w:val="24"/>
          <w:highlight w:val="white"/>
          <w:rtl w:val="0"/>
        </w:rPr>
        <w:t xml:space="preserve">Líder: </w:t>
      </w:r>
      <w:r w:rsidDel="00000000" w:rsidR="00000000" w:rsidRPr="00000000">
        <w:rPr>
          <w:rFonts w:ascii="Arial" w:cs="Arial" w:eastAsia="Arial" w:hAnsi="Arial"/>
          <w:color w:val="000000"/>
          <w:sz w:val="24"/>
          <w:szCs w:val="24"/>
          <w:highlight w:val="white"/>
          <w:rtl w:val="0"/>
        </w:rPr>
        <w:t xml:space="preserve">Es un clínico con un profundo conocimiento del tema objeto de la Guía de Práctica Clínica, con conocimientos en evaluación y síntesis de información científica y cuenta con reconocimiento dentro de su especialidad y de su ámbito de trabajo, y con capacidad para motivar y para coordinar un equipo multidisciplinar.</w:t>
      </w:r>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pacing w:line="240" w:lineRule="auto"/>
        <w:ind w:left="1222" w:hanging="360"/>
        <w:jc w:val="both"/>
        <w:rPr>
          <w:color w:val="000000"/>
          <w:sz w:val="24"/>
          <w:szCs w:val="24"/>
          <w:highlight w:val="white"/>
        </w:rPr>
      </w:pPr>
      <w:r w:rsidDel="00000000" w:rsidR="00000000" w:rsidRPr="00000000">
        <w:rPr>
          <w:rFonts w:ascii="Arial" w:cs="Arial" w:eastAsia="Arial" w:hAnsi="Arial"/>
          <w:b w:val="1"/>
          <w:bCs w:val="1"/>
          <w:color w:val="000000"/>
          <w:sz w:val="24"/>
          <w:szCs w:val="24"/>
          <w:highlight w:val="white"/>
          <w:rtl w:val="0"/>
        </w:rPr>
        <w:t xml:space="preserve">Experto/a en metodología</w:t>
      </w:r>
      <w:r w:rsidDel="00000000" w:rsidR="00000000" w:rsidRPr="00000000">
        <w:rPr>
          <w:rFonts w:ascii="Arial" w:cs="Arial" w:eastAsia="Arial" w:hAnsi="Arial"/>
          <w:color w:val="000000"/>
          <w:sz w:val="24"/>
          <w:szCs w:val="24"/>
          <w:highlight w:val="white"/>
          <w:rtl w:val="0"/>
        </w:rPr>
        <w:t xml:space="preserve">: Profesional con experiencia en las diferentes etapas de adopción de una Guía de Práctica Clínica, con conocimientos sobre lectura crítica y síntesis de la información, con capacidad para resumir la evidencia científica, en estrecho contacto con los clínicos, para que puedan formular las recomendaciones y que brinde apoyo al líder en tareas de coordinación del grupo.</w:t>
      </w:r>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pacing w:line="240" w:lineRule="auto"/>
        <w:ind w:left="1222" w:hanging="360"/>
        <w:jc w:val="both"/>
        <w:rPr>
          <w:color w:val="000000"/>
          <w:sz w:val="24"/>
          <w:szCs w:val="24"/>
          <w:highlight w:val="white"/>
        </w:rPr>
      </w:pPr>
      <w:r w:rsidDel="00000000" w:rsidR="00000000" w:rsidRPr="00000000">
        <w:rPr>
          <w:rFonts w:ascii="Arial" w:cs="Arial" w:eastAsia="Arial" w:hAnsi="Arial"/>
          <w:b w:val="1"/>
          <w:bCs w:val="1"/>
          <w:color w:val="000000"/>
          <w:sz w:val="24"/>
          <w:szCs w:val="24"/>
          <w:highlight w:val="white"/>
          <w:rtl w:val="0"/>
        </w:rPr>
        <w:t xml:space="preserve">Documentalista: </w:t>
      </w:r>
      <w:r w:rsidDel="00000000" w:rsidR="00000000" w:rsidRPr="00000000">
        <w:rPr>
          <w:rFonts w:ascii="Arial" w:cs="Arial" w:eastAsia="Arial" w:hAnsi="Arial"/>
          <w:color w:val="000000"/>
          <w:sz w:val="24"/>
          <w:szCs w:val="24"/>
          <w:highlight w:val="white"/>
          <w:rtl w:val="0"/>
        </w:rPr>
        <w:t xml:space="preserve">Colabora estrechamente con el Grupo de Adopción de Guías en el diseño de las estrategias de búsqueda y en la provisión de la bibliografía necesaria.</w:t>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line="240" w:lineRule="auto"/>
        <w:ind w:left="0" w:firstLine="0"/>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40" w:lineRule="auto"/>
        <w:ind w:left="0" w:firstLine="0"/>
        <w:jc w:val="both"/>
        <w:rPr>
          <w:rFonts w:ascii="Arial" w:cs="Arial" w:eastAsia="Arial" w:hAnsi="Arial"/>
          <w:b w:val="1"/>
          <w:bCs w:val="1"/>
          <w:sz w:val="24"/>
          <w:szCs w:val="24"/>
          <w:highlight w:val="white"/>
        </w:rPr>
      </w:pPr>
      <w:r w:rsidDel="00000000" w:rsidR="00000000" w:rsidRPr="00000000">
        <w:rPr>
          <w:rFonts w:ascii="Arial" w:cs="Arial" w:eastAsia="Arial" w:hAnsi="Arial"/>
          <w:b w:val="1"/>
          <w:bCs w:val="1"/>
          <w:sz w:val="24"/>
          <w:szCs w:val="24"/>
          <w:highlight w:val="white"/>
          <w:rtl w:val="0"/>
        </w:rPr>
        <w:t xml:space="preserve">SELECCIÓN DE LAS GUÍAS A IMPLEMENTAR</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40" w:lineRule="auto"/>
        <w:ind w:left="0" w:firstLine="0"/>
        <w:jc w:val="both"/>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7D">
      <w:pPr>
        <w:spacing w:line="259"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Selección de las guías a implementar</w:t>
      </w:r>
    </w:p>
    <w:p w:rsidR="00000000" w:rsidDel="00000000" w:rsidP="00000000" w:rsidRDefault="00000000" w:rsidRPr="00000000" w14:paraId="0000007E">
      <w:pPr>
        <w:spacing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deben definir y priorizar las guías a implementar considerando el mayor número de variables de patologías frecuentes, teniendo en cuenta lo siguiente:</w:t>
      </w:r>
    </w:p>
    <w:p w:rsidR="00000000" w:rsidDel="00000000" w:rsidP="00000000" w:rsidRDefault="00000000" w:rsidRPr="00000000" w14:paraId="0000007F">
      <w:pPr>
        <w:numPr>
          <w:ilvl w:val="0"/>
          <w:numId w:val="1"/>
        </w:numPr>
        <w:spacing w:line="259"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Principales causas de consulta</w:t>
      </w:r>
    </w:p>
    <w:p w:rsidR="00000000" w:rsidDel="00000000" w:rsidP="00000000" w:rsidRDefault="00000000" w:rsidRPr="00000000" w14:paraId="00000080">
      <w:pPr>
        <w:numPr>
          <w:ilvl w:val="0"/>
          <w:numId w:val="1"/>
        </w:numPr>
        <w:spacing w:line="259"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Ámbito asistencial y portafolio de servicios</w:t>
      </w:r>
    </w:p>
    <w:p w:rsidR="00000000" w:rsidDel="00000000" w:rsidP="00000000" w:rsidRDefault="00000000" w:rsidRPr="00000000" w14:paraId="00000081">
      <w:pPr>
        <w:numPr>
          <w:ilvl w:val="0"/>
          <w:numId w:val="1"/>
        </w:numPr>
        <w:spacing w:line="259"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Características de la población objetivo</w:t>
      </w:r>
    </w:p>
    <w:p w:rsidR="00000000" w:rsidDel="00000000" w:rsidP="00000000" w:rsidRDefault="00000000" w:rsidRPr="00000000" w14:paraId="00000082">
      <w:pPr>
        <w:numPr>
          <w:ilvl w:val="0"/>
          <w:numId w:val="1"/>
        </w:numPr>
        <w:spacing w:line="259"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Necesidades de mejoramiento de la calidad de la atención</w:t>
      </w:r>
    </w:p>
    <w:p w:rsidR="00000000" w:rsidDel="00000000" w:rsidP="00000000" w:rsidRDefault="00000000" w:rsidRPr="00000000" w14:paraId="00000083">
      <w:pPr>
        <w:numPr>
          <w:ilvl w:val="0"/>
          <w:numId w:val="1"/>
        </w:numPr>
        <w:spacing w:line="259"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Tabla de detalle del talento humano del servicio</w:t>
      </w:r>
    </w:p>
    <w:p w:rsidR="00000000" w:rsidDel="00000000" w:rsidP="00000000" w:rsidRDefault="00000000" w:rsidRPr="00000000" w14:paraId="00000084">
      <w:pPr>
        <w:spacing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5">
      <w:pPr>
        <w:spacing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lo cual, por medio del software G-MEDIC se descargan de forma automatizada los CIE-10, más frecuentes en consulta de endocrinología y medicina general. Cabe aclarar que para los demás servicios como: Fisioterapia e imágenes diagnósticas no ionizantes, sólo son complementarios para el diagnóstico principal y definitivo que lo realiza el médico laboral. </w:t>
      </w:r>
    </w:p>
    <w:p w:rsidR="00000000" w:rsidDel="00000000" w:rsidP="00000000" w:rsidRDefault="00000000" w:rsidRPr="00000000" w14:paraId="00000086">
      <w:pPr>
        <w:spacing w:line="259"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7">
      <w:pPr>
        <w:spacing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continuación la tabla de clasificación que realiza el sistema de mayor a menor: </w:t>
      </w:r>
    </w:p>
    <w:p w:rsidR="00000000" w:rsidDel="00000000" w:rsidP="00000000" w:rsidRDefault="00000000" w:rsidRPr="00000000" w14:paraId="00000088">
      <w:pPr>
        <w:spacing w:line="259" w:lineRule="auto"/>
        <w:jc w:val="both"/>
        <w:rPr>
          <w:rFonts w:ascii="Arial" w:cs="Arial" w:eastAsia="Arial" w:hAnsi="Arial"/>
          <w:sz w:val="24"/>
          <w:szCs w:val="24"/>
        </w:rPr>
      </w:pPr>
      <w:r w:rsidDel="00000000" w:rsidR="00000000" w:rsidRPr="00000000">
        <w:rPr>
          <w:rtl w:val="0"/>
        </w:rPr>
      </w:r>
    </w:p>
    <w:sdt>
      <w:sdtPr>
        <w:lock w:val="contentLocked"/>
        <w:id w:val="-1082137379"/>
        <w:tag w:val="goog_rdk_0"/>
      </w:sdtPr>
      <w:sdtContent>
        <w:tbl>
          <w:tblPr>
            <w:tblStyle w:val="Table2"/>
            <w:tblW w:w="9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5"/>
            <w:gridCol w:w="1445"/>
            <w:tblGridChange w:id="0">
              <w:tblGrid>
                <w:gridCol w:w="8255"/>
                <w:gridCol w:w="1445"/>
              </w:tblGrid>
            </w:tblGridChange>
          </w:tblGrid>
          <w:tr>
            <w:trPr>
              <w:cantSplit w:val="0"/>
              <w:trHeight w:val="485" w:hRule="atLeast"/>
              <w:tblHeader w:val="0"/>
            </w:trPr>
            <w:tc>
              <w:tcPr>
                <w:tcBorders>
                  <w:top w:color="4472c4" w:space="0" w:sz="8" w:val="single"/>
                  <w:left w:color="4472c4" w:space="0" w:sz="8" w:val="single"/>
                  <w:bottom w:color="4472c4" w:space="0" w:sz="8" w:val="single"/>
                  <w:right w:color="4472c4" w:space="0" w:sz="8" w:val="single"/>
                </w:tcBorders>
                <w:shd w:fill="4472c4" w:val="clear"/>
                <w:tcMar>
                  <w:top w:w="100.0" w:type="dxa"/>
                  <w:left w:w="100.0" w:type="dxa"/>
                  <w:bottom w:w="100.0" w:type="dxa"/>
                  <w:right w:w="100.0" w:type="dxa"/>
                </w:tcMar>
                <w:vAlign w:val="top"/>
              </w:tcPr>
              <w:p w:rsidR="00000000" w:rsidDel="00000000" w:rsidP="00000000" w:rsidRDefault="00000000" w:rsidRPr="00000000" w14:paraId="00000089">
                <w:pPr>
                  <w:spacing w:line="259" w:lineRule="auto"/>
                  <w:jc w:val="cente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G-MEDIC - Archivo Exportado</w:t>
                </w:r>
                <w:r w:rsidDel="00000000" w:rsidR="00000000" w:rsidRPr="00000000">
                  <w:rPr>
                    <w:rtl w:val="0"/>
                  </w:rPr>
                </w:r>
              </w:p>
            </w:tc>
            <w:tc>
              <w:tcPr>
                <w:tcBorders>
                  <w:top w:color="4472c4" w:space="0" w:sz="8" w:val="single"/>
                  <w:left w:color="4472c4" w:space="0" w:sz="8" w:val="single"/>
                  <w:bottom w:color="4472c4" w:space="0" w:sz="8" w:val="single"/>
                  <w:right w:color="4472c4" w:space="0" w:sz="8" w:val="single"/>
                </w:tcBorders>
                <w:shd w:fill="4472c4" w:val="clear"/>
                <w:tcMar>
                  <w:top w:w="100.0" w:type="dxa"/>
                  <w:left w:w="100.0" w:type="dxa"/>
                  <w:bottom w:w="100.0" w:type="dxa"/>
                  <w:right w:w="100.0" w:type="dxa"/>
                </w:tcMar>
                <w:vAlign w:val="top"/>
              </w:tcPr>
              <w:p w:rsidR="00000000" w:rsidDel="00000000" w:rsidP="00000000" w:rsidRDefault="00000000" w:rsidRPr="00000000" w14:paraId="0000008A">
                <w:pPr>
                  <w:spacing w:line="259" w:lineRule="auto"/>
                  <w:jc w:val="both"/>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TOTAL </w:t>
                </w:r>
                <w:r w:rsidDel="00000000" w:rsidR="00000000" w:rsidRPr="00000000">
                  <w:rPr>
                    <w:rtl w:val="0"/>
                  </w:rPr>
                </w:r>
              </w:p>
            </w:tc>
          </w:tr>
          <w:tr>
            <w:trPr>
              <w:cantSplit w:val="0"/>
              <w:trHeight w:val="485" w:hRule="atLeast"/>
              <w:tblHeader w:val="0"/>
            </w:trPr>
            <w:tc>
              <w:tcPr>
                <w:gridSpan w:val="2"/>
                <w:tcBorders>
                  <w:top w:color="4472c4" w:space="0" w:sz="8" w:val="single"/>
                  <w:left w:color="4472c4" w:space="0" w:sz="8" w:val="single"/>
                  <w:bottom w:color="4472c4" w:space="0" w:sz="8" w:val="single"/>
                  <w:right w:color="4472c4"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EVALUACIÓN MÉDICA : REPORTE POR DIAGNÓSTICO MÉDICO AÑO 2023</w:t>
                </w:r>
              </w:p>
            </w:tc>
          </w:tr>
          <w:tr>
            <w:trPr>
              <w:cantSplit w:val="0"/>
              <w:trHeight w:val="485" w:hRule="atLeast"/>
              <w:tblHeader w:val="0"/>
            </w:trPr>
            <w:tc>
              <w:tcPr>
                <w:tcBorders>
                  <w:top w:color="4472c4" w:space="0" w:sz="8" w:val="single"/>
                  <w:left w:color="4472c4" w:space="0" w:sz="8" w:val="single"/>
                  <w:bottom w:color="4472c4" w:space="0" w:sz="8" w:val="single"/>
                  <w:right w:color="4472c4"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line="259"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DIAGNÓSTICO CIE-10</w:t>
                </w:r>
                <w:r w:rsidDel="00000000" w:rsidR="00000000" w:rsidRPr="00000000">
                  <w:rPr>
                    <w:rtl w:val="0"/>
                  </w:rPr>
                </w:r>
              </w:p>
            </w:tc>
            <w:tc>
              <w:tcPr>
                <w:tcBorders>
                  <w:top w:color="4472c4" w:space="0" w:sz="8" w:val="single"/>
                  <w:left w:color="4472c4" w:space="0" w:sz="8" w:val="single"/>
                  <w:bottom w:color="4472c4" w:space="0" w:sz="8" w:val="single"/>
                  <w:right w:color="4472c4"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line="259" w:lineRule="auto"/>
                  <w:jc w:val="both"/>
                  <w:rPr>
                    <w:rFonts w:ascii="Arial" w:cs="Arial" w:eastAsia="Arial" w:hAnsi="Arial"/>
                    <w:sz w:val="24"/>
                    <w:szCs w:val="24"/>
                  </w:rPr>
                </w:pPr>
                <w:r w:rsidDel="00000000" w:rsidR="00000000" w:rsidRPr="00000000">
                  <w:rPr>
                    <w:rtl w:val="0"/>
                  </w:rPr>
                </w:r>
              </w:p>
            </w:tc>
          </w:tr>
          <w:tr>
            <w:trPr>
              <w:cantSplit w:val="0"/>
              <w:trHeight w:val="485" w:hRule="atLeast"/>
              <w:tblHeader w:val="0"/>
            </w:trPr>
            <w:tc>
              <w:tcPr>
                <w:tcBorders>
                  <w:top w:color="4472c4" w:space="0" w:sz="8" w:val="single"/>
                  <w:left w:color="4472c4" w:space="0" w:sz="8" w:val="single"/>
                  <w:bottom w:color="4472c4" w:space="0" w:sz="8" w:val="single"/>
                  <w:right w:color="4472c4"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DIABETES MELLITUS</w:t>
                </w:r>
              </w:p>
            </w:tc>
            <w:tc>
              <w:tcPr>
                <w:tcBorders>
                  <w:top w:color="4472c4" w:space="0" w:sz="8" w:val="single"/>
                  <w:left w:color="4472c4" w:space="0" w:sz="8" w:val="single"/>
                  <w:bottom w:color="4472c4" w:space="0" w:sz="8" w:val="single"/>
                  <w:right w:color="4472c4"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764</w:t>
                </w:r>
              </w:p>
            </w:tc>
          </w:tr>
          <w:tr>
            <w:trPr>
              <w:cantSplit w:val="0"/>
              <w:trHeight w:val="485" w:hRule="atLeast"/>
              <w:tblHeader w:val="0"/>
            </w:trPr>
            <w:tc>
              <w:tcPr>
                <w:tcBorders>
                  <w:top w:color="4472c4" w:space="0" w:sz="8" w:val="single"/>
                  <w:left w:color="4472c4" w:space="0" w:sz="8" w:val="single"/>
                  <w:bottom w:color="4472c4" w:space="0" w:sz="8" w:val="single"/>
                  <w:right w:color="4472c4"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PATOLOGIA TIROIDEA</w:t>
                </w:r>
              </w:p>
            </w:tc>
            <w:tc>
              <w:tcPr>
                <w:tcBorders>
                  <w:top w:color="4472c4" w:space="0" w:sz="8" w:val="single"/>
                  <w:left w:color="4472c4" w:space="0" w:sz="8" w:val="single"/>
                  <w:bottom w:color="4472c4" w:space="0" w:sz="8" w:val="single"/>
                  <w:right w:color="4472c4"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174</w:t>
                </w:r>
              </w:p>
            </w:tc>
          </w:tr>
          <w:tr>
            <w:trPr>
              <w:cantSplit w:val="0"/>
              <w:trHeight w:val="485" w:hRule="atLeast"/>
              <w:tblHeader w:val="0"/>
            </w:trPr>
            <w:tc>
              <w:tcPr>
                <w:tcBorders>
                  <w:top w:color="4472c4" w:space="0" w:sz="8" w:val="single"/>
                  <w:left w:color="4472c4" w:space="0" w:sz="8" w:val="single"/>
                  <w:bottom w:color="4472c4" w:space="0" w:sz="8" w:val="single"/>
                  <w:right w:color="4472c4"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HIPERTENSIÓN ARTERIAL PRIMARIA</w:t>
                </w:r>
              </w:p>
            </w:tc>
            <w:tc>
              <w:tcPr>
                <w:tcBorders>
                  <w:top w:color="4472c4" w:space="0" w:sz="8" w:val="single"/>
                  <w:left w:color="4472c4" w:space="0" w:sz="8" w:val="single"/>
                  <w:bottom w:color="4472c4" w:space="0" w:sz="8" w:val="single"/>
                  <w:right w:color="4472c4"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71</w:t>
                </w:r>
              </w:p>
            </w:tc>
          </w:tr>
          <w:tr>
            <w:trPr>
              <w:cantSplit w:val="0"/>
              <w:trHeight w:val="485" w:hRule="atLeast"/>
              <w:tblHeader w:val="0"/>
            </w:trPr>
            <w:tc>
              <w:tcPr>
                <w:tcBorders>
                  <w:top w:color="4472c4" w:space="0" w:sz="8" w:val="single"/>
                  <w:left w:color="4472c4" w:space="0" w:sz="8" w:val="single"/>
                  <w:bottom w:color="4472c4" w:space="0" w:sz="8" w:val="single"/>
                  <w:right w:color="4472c4"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HIPOTIROIDISMO</w:t>
                </w:r>
              </w:p>
            </w:tc>
            <w:tc>
              <w:tcPr>
                <w:tcBorders>
                  <w:top w:color="4472c4" w:space="0" w:sz="8" w:val="single"/>
                  <w:left w:color="4472c4" w:space="0" w:sz="8" w:val="single"/>
                  <w:bottom w:color="4472c4" w:space="0" w:sz="8" w:val="single"/>
                  <w:right w:color="4472c4"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57</w:t>
                </w:r>
              </w:p>
            </w:tc>
          </w:tr>
          <w:tr>
            <w:trPr>
              <w:cantSplit w:val="0"/>
              <w:trHeight w:val="485" w:hRule="atLeast"/>
              <w:tblHeader w:val="0"/>
            </w:trPr>
            <w:tc>
              <w:tcPr>
                <w:tcBorders>
                  <w:top w:color="4472c4" w:space="0" w:sz="8" w:val="single"/>
                  <w:left w:color="4472c4" w:space="0" w:sz="8" w:val="single"/>
                  <w:bottom w:color="4472c4" w:space="0" w:sz="8" w:val="single"/>
                  <w:right w:color="4472c4"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SOBREPESO Y OBESIDAD</w:t>
                </w:r>
              </w:p>
            </w:tc>
            <w:tc>
              <w:tcPr>
                <w:tcBorders>
                  <w:top w:color="4472c4" w:space="0" w:sz="8" w:val="single"/>
                  <w:left w:color="4472c4" w:space="0" w:sz="8" w:val="single"/>
                  <w:bottom w:color="4472c4" w:space="0" w:sz="8" w:val="single"/>
                  <w:right w:color="4472c4"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37</w:t>
                </w:r>
              </w:p>
            </w:tc>
          </w:tr>
        </w:tbl>
      </w:sdtContent>
    </w:sdt>
    <w:p w:rsidR="00000000" w:rsidDel="00000000" w:rsidP="00000000" w:rsidRDefault="00000000" w:rsidRPr="00000000" w14:paraId="00000099">
      <w:pPr>
        <w:spacing w:line="259" w:lineRule="auto"/>
        <w:jc w:val="both"/>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9A">
      <w:pPr>
        <w:spacing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objetivo es identificar principalmente las guías que cuentan con evidencia científica y marco bibliográfico y que su aplicabilidad sea congruente con el modelo de atención de  ENDOCRINOLOGY AND HEALTH. También se debe tener en cuenta que tanto los recursos humanos como técnicos y financieros que implica la adopción de la guía concuerde con la situación actual de la institución.</w:t>
      </w:r>
    </w:p>
    <w:p w:rsidR="00000000" w:rsidDel="00000000" w:rsidP="00000000" w:rsidRDefault="00000000" w:rsidRPr="00000000" w14:paraId="0000009B">
      <w:pPr>
        <w:spacing w:line="259" w:lineRule="auto"/>
        <w:jc w:val="both"/>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9C">
      <w:pPr>
        <w:spacing w:line="240" w:lineRule="auto"/>
        <w:jc w:val="both"/>
        <w:rPr>
          <w:rFonts w:ascii="Arial" w:cs="Arial" w:eastAsia="Arial" w:hAnsi="Arial"/>
          <w:sz w:val="24"/>
          <w:szCs w:val="24"/>
          <w:highlight w:val="white"/>
        </w:rPr>
      </w:pPr>
      <w:r w:rsidDel="00000000" w:rsidR="00000000" w:rsidRPr="00000000">
        <w:rPr>
          <w:rFonts w:ascii="Arial" w:cs="Arial" w:eastAsia="Arial" w:hAnsi="Arial"/>
          <w:b w:val="1"/>
          <w:bCs w:val="1"/>
          <w:sz w:val="24"/>
          <w:szCs w:val="24"/>
          <w:highlight w:val="white"/>
          <w:rtl w:val="0"/>
        </w:rPr>
        <w:t xml:space="preserve">DISEÑO Y EVALUACIÓN DE GPC</w:t>
      </w:r>
      <w:r w:rsidDel="00000000" w:rsidR="00000000" w:rsidRPr="00000000">
        <w:rPr>
          <w:rFonts w:ascii="Arial" w:cs="Arial" w:eastAsia="Arial" w:hAnsi="Arial"/>
          <w:sz w:val="24"/>
          <w:szCs w:val="24"/>
          <w:highlight w:val="white"/>
          <w:rtl w:val="0"/>
        </w:rPr>
        <w:t xml:space="preserve">: </w:t>
      </w:r>
    </w:p>
    <w:p w:rsidR="00000000" w:rsidDel="00000000" w:rsidP="00000000" w:rsidRDefault="00000000" w:rsidRPr="00000000" w14:paraId="0000009D">
      <w:pPr>
        <w:spacing w:line="24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9E">
      <w:pPr>
        <w:spacing w:line="24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Por tratarse de una adopción de guías se realizó una introducción a las guías de práctica clínica y las posibilidades de adopción, y creación, se habló de las partes que las conforman: etapas, modelos metodológicos, etc. Y se expuso el Instrumento AGREE II para verificar que cumplieran con todos los requisitos necesarios en caso de que no se tratara de guías elaboradas por el Ministerio de Salud y Protección Social.</w:t>
      </w:r>
    </w:p>
    <w:p w:rsidR="00000000" w:rsidDel="00000000" w:rsidP="00000000" w:rsidRDefault="00000000" w:rsidRPr="00000000" w14:paraId="0000009F">
      <w:pPr>
        <w:spacing w:line="24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A0">
      <w:pPr>
        <w:spacing w:line="240" w:lineRule="auto"/>
        <w:jc w:val="both"/>
        <w:rPr>
          <w:rFonts w:ascii="Arial" w:cs="Arial" w:eastAsia="Arial" w:hAnsi="Arial"/>
          <w:sz w:val="24"/>
          <w:szCs w:val="24"/>
          <w:highlight w:val="white"/>
        </w:rPr>
      </w:pPr>
      <w:r w:rsidDel="00000000" w:rsidR="00000000" w:rsidRPr="00000000">
        <w:rPr>
          <w:rFonts w:ascii="Arial" w:cs="Arial" w:eastAsia="Arial" w:hAnsi="Arial"/>
          <w:b w:val="1"/>
          <w:bCs w:val="1"/>
          <w:sz w:val="24"/>
          <w:szCs w:val="24"/>
          <w:highlight w:val="white"/>
          <w:rtl w:val="0"/>
        </w:rPr>
        <w:t xml:space="preserve">BÚSQUEDA Y SELECCIÓN DE LA LITERATURA</w:t>
      </w:r>
      <w:r w:rsidDel="00000000" w:rsidR="00000000" w:rsidRPr="00000000">
        <w:rPr>
          <w:rFonts w:ascii="Arial" w:cs="Arial" w:eastAsia="Arial" w:hAnsi="Arial"/>
          <w:sz w:val="24"/>
          <w:szCs w:val="24"/>
          <w:highlight w:val="white"/>
          <w:rtl w:val="0"/>
        </w:rPr>
        <w:t xml:space="preserve">: </w:t>
      </w:r>
    </w:p>
    <w:p w:rsidR="00000000" w:rsidDel="00000000" w:rsidP="00000000" w:rsidRDefault="00000000" w:rsidRPr="00000000" w14:paraId="000000A1">
      <w:pPr>
        <w:spacing w:line="24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A2">
      <w:pPr>
        <w:spacing w:line="24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El grupo se dio a la tarea de hacer una búsqueda de información, llegando a la conclusión de que el Ministerio de Salud y Protección Social no cuenta con Guías de Práctica Clínica Basadas en la Evidencia para el servicio de </w:t>
      </w:r>
      <w:r w:rsidDel="00000000" w:rsidR="00000000" w:rsidRPr="00000000">
        <w:rPr>
          <w:rFonts w:ascii="Arial" w:cs="Arial" w:eastAsia="Arial" w:hAnsi="Arial"/>
          <w:b w:val="1"/>
          <w:bCs w:val="1"/>
          <w:sz w:val="24"/>
          <w:szCs w:val="24"/>
          <w:highlight w:val="white"/>
          <w:rtl w:val="0"/>
        </w:rPr>
        <w:t xml:space="preserve">(servicio).</w:t>
      </w:r>
      <w:r w:rsidDel="00000000" w:rsidR="00000000" w:rsidRPr="00000000">
        <w:rPr>
          <w:rFonts w:ascii="Arial" w:cs="Arial" w:eastAsia="Arial" w:hAnsi="Arial"/>
          <w:sz w:val="24"/>
          <w:szCs w:val="24"/>
          <w:highlight w:val="white"/>
          <w:rtl w:val="0"/>
        </w:rPr>
        <w:t xml:space="preserve"> Por lo tanto, se decide ampliar la búsqueda en las bases de datos científicas nombradas a continuación </w:t>
      </w:r>
    </w:p>
    <w:p w:rsidR="00000000" w:rsidDel="00000000" w:rsidP="00000000" w:rsidRDefault="00000000" w:rsidRPr="00000000" w14:paraId="000000A3">
      <w:pPr>
        <w:spacing w:line="24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A4">
      <w:pPr>
        <w:spacing w:line="240" w:lineRule="auto"/>
        <w:jc w:val="both"/>
        <w:rPr>
          <w:rFonts w:ascii="Arial" w:cs="Arial" w:eastAsia="Arial" w:hAnsi="Arial"/>
          <w:b w:val="1"/>
          <w:bCs w:val="1"/>
          <w:sz w:val="24"/>
          <w:szCs w:val="24"/>
          <w:highlight w:val="white"/>
        </w:rPr>
      </w:pPr>
      <w:r w:rsidDel="00000000" w:rsidR="00000000" w:rsidRPr="00000000">
        <w:rPr>
          <w:rFonts w:ascii="Arial" w:cs="Arial" w:eastAsia="Arial" w:hAnsi="Arial"/>
          <w:b w:val="1"/>
          <w:bCs w:val="1"/>
          <w:sz w:val="24"/>
          <w:szCs w:val="24"/>
          <w:highlight w:val="white"/>
          <w:rtl w:val="0"/>
        </w:rPr>
        <w:t xml:space="preserve">FUENTES DE INFORMACIÓN TENIDAS EN CUENTA PARA LA BÚSQUEDA:</w:t>
      </w:r>
    </w:p>
    <w:p w:rsidR="00000000" w:rsidDel="00000000" w:rsidP="00000000" w:rsidRDefault="00000000" w:rsidRPr="00000000" w14:paraId="000000A5">
      <w:pPr>
        <w:spacing w:line="240" w:lineRule="auto"/>
        <w:jc w:val="both"/>
        <w:rPr>
          <w:rFonts w:ascii="Arial" w:cs="Arial" w:eastAsia="Arial" w:hAnsi="Arial"/>
          <w:b w:val="1"/>
          <w:bCs w:val="1"/>
          <w:sz w:val="24"/>
          <w:szCs w:val="24"/>
          <w:highlight w:val="white"/>
        </w:rPr>
      </w:pPr>
      <w:r w:rsidDel="00000000" w:rsidR="00000000" w:rsidRPr="00000000">
        <w:rPr>
          <w:rFonts w:ascii="Arial" w:cs="Arial" w:eastAsia="Arial" w:hAnsi="Arial"/>
          <w:b w:val="1"/>
          <w:bCs w:val="1"/>
          <w:sz w:val="24"/>
          <w:szCs w:val="24"/>
          <w:highlight w:val="white"/>
          <w:rtl w:val="0"/>
        </w:rPr>
        <w:t xml:space="preserve"> </w:t>
      </w:r>
    </w:p>
    <w:p w:rsidR="00000000" w:rsidDel="00000000" w:rsidP="00000000" w:rsidRDefault="00000000" w:rsidRPr="00000000" w14:paraId="000000A6">
      <w:pPr>
        <w:spacing w:line="24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Ministerio de Salud y protección social Colombiano, Bases de Datos EBSCO, SciElo, Redalyc.org, PubMed.gov, US National Guidelines Clearinghouse (NGC) y la Guidelines International Network (G-I-N); y en organismos elaboradores de guías clínicas como el National Institute for Health and Clinical Excellence (NICE), Scottish Intercollegiate Guidelines Network (SIGN) y New Zealand Guidelines Group (NZGG) utilizando términos relevantes en texto libre (pneumonia, community-acquired pneumonia), Medline (a través de PubMed) utilizando los términos MeSH, NeLH, National Electronic Library for Health: http://www.nelh.nhs.uk/clinical_evidence.asp, CISMeF, Catalogage et l'Indexation des Sites Médicaux, Francophones / Catalog and Index of French-language, health resources: </w:t>
      </w:r>
      <w:hyperlink r:id="rId8">
        <w:r w:rsidDel="00000000" w:rsidR="00000000" w:rsidRPr="00000000">
          <w:rPr>
            <w:rFonts w:ascii="Arial" w:cs="Arial" w:eastAsia="Arial" w:hAnsi="Arial"/>
            <w:color w:val="000000"/>
            <w:sz w:val="24"/>
            <w:szCs w:val="24"/>
            <w:highlight w:val="white"/>
            <w:u w:val="single"/>
            <w:rtl w:val="0"/>
          </w:rPr>
          <w:t xml:space="preserve">http://doccismef.chu-rouen.fr/CISMeFBPTR.html</w:t>
        </w:r>
      </w:hyperlink>
      <w:r w:rsidDel="00000000" w:rsidR="00000000" w:rsidRPr="00000000">
        <w:rPr>
          <w:rFonts w:ascii="Arial" w:cs="Arial" w:eastAsia="Arial" w:hAnsi="Arial"/>
          <w:sz w:val="24"/>
          <w:szCs w:val="24"/>
          <w:highlight w:val="white"/>
          <w:rtl w:val="0"/>
        </w:rPr>
        <w:t xml:space="preserve">, CMA Infobase, Canadian Medical Association http://www.cma.ca/index.cfm/ci_id/54316/la_id/1.htm, Guía Salud: http://www.guiasalud.es/home.asp, AEZQ/AQuMed, German Agency for Quality in Medicine: http://www.leitlinien.de/leitlinienanbieter/fremdsprachig_en/view, Organismos elaboradores, NHMRC, National Health and Medical Research Council: http://nhmrc.gov.au/guidelines/index.htm, http://www.nzgg.org.nz/index.cfm?, NICE, National Institute for Clinical Excellence: http://www.nice.org.uk/Guidance/Topic, SIGN, Scottish Intercollegiate Network : http://www.sign.ac.uk/, ICSI, Institute for Clinical Systems Improvement: http://www.icsi.org/guidelines_and_more/, </w:t>
      </w:r>
      <w:hyperlink r:id="rId9">
        <w:r w:rsidDel="00000000" w:rsidR="00000000" w:rsidRPr="00000000">
          <w:rPr>
            <w:rFonts w:ascii="Arial" w:cs="Arial" w:eastAsia="Arial" w:hAnsi="Arial"/>
            <w:color w:val="000000"/>
            <w:sz w:val="24"/>
            <w:szCs w:val="24"/>
            <w:highlight w:val="white"/>
            <w:u w:val="single"/>
            <w:rtl w:val="0"/>
          </w:rPr>
          <w:t xml:space="preserve">http://www.cancercare.on.ca/english/home/toolbox/qualityguidelines/pebc/</w:t>
        </w:r>
      </w:hyperlink>
      <w:r w:rsidDel="00000000" w:rsidR="00000000" w:rsidRPr="00000000">
        <w:rPr>
          <w:rFonts w:ascii="Arial" w:cs="Arial" w:eastAsia="Arial" w:hAnsi="Arial"/>
          <w:sz w:val="24"/>
          <w:szCs w:val="24"/>
          <w:highlight w:val="white"/>
          <w:rtl w:val="0"/>
        </w:rPr>
        <w:t xml:space="preserve">.</w:t>
      </w:r>
    </w:p>
    <w:p w:rsidR="00000000" w:rsidDel="00000000" w:rsidP="00000000" w:rsidRDefault="00000000" w:rsidRPr="00000000" w14:paraId="000000A7">
      <w:pPr>
        <w:spacing w:line="24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A8">
      <w:pPr>
        <w:spacing w:line="240" w:lineRule="auto"/>
        <w:jc w:val="both"/>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A9">
      <w:pPr>
        <w:spacing w:line="240" w:lineRule="auto"/>
        <w:jc w:val="both"/>
        <w:rPr>
          <w:rFonts w:ascii="Arial" w:cs="Arial" w:eastAsia="Arial" w:hAnsi="Arial"/>
          <w:b w:val="1"/>
          <w:bCs w:val="1"/>
          <w:sz w:val="24"/>
          <w:szCs w:val="24"/>
          <w:highlight w:val="white"/>
        </w:rPr>
      </w:pPr>
      <w:r w:rsidDel="00000000" w:rsidR="00000000" w:rsidRPr="00000000">
        <w:rPr>
          <w:rFonts w:ascii="Arial" w:cs="Arial" w:eastAsia="Arial" w:hAnsi="Arial"/>
          <w:b w:val="1"/>
          <w:bCs w:val="1"/>
          <w:sz w:val="24"/>
          <w:szCs w:val="24"/>
          <w:highlight w:val="white"/>
          <w:rtl w:val="0"/>
        </w:rPr>
        <w:t xml:space="preserve">CRONOGRAMA Y REUNIONES:</w:t>
      </w:r>
    </w:p>
    <w:p w:rsidR="00000000" w:rsidDel="00000000" w:rsidP="00000000" w:rsidRDefault="00000000" w:rsidRPr="00000000" w14:paraId="000000AA">
      <w:pPr>
        <w:spacing w:line="24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AB">
      <w:pPr>
        <w:spacing w:line="24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Se establecerán los compromisos de acuerdo con los perfiles y funciones de los integrantes del grupo, la socialización estará a cargo del líder del GAG. La implementación estará a cargo de todo el personal clínico y administrativo. La verificación de su cumplimiento, la revisión y medición de adherencia estarán a cargo del equipo de seguridad del paciente.</w:t>
      </w:r>
    </w:p>
    <w:p w:rsidR="00000000" w:rsidDel="00000000" w:rsidP="00000000" w:rsidRDefault="00000000" w:rsidRPr="00000000" w14:paraId="000000AC">
      <w:pPr>
        <w:spacing w:line="24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AD">
      <w:pPr>
        <w:spacing w:line="240" w:lineRule="auto"/>
        <w:jc w:val="both"/>
        <w:rPr>
          <w:rFonts w:ascii="Arial" w:cs="Arial" w:eastAsia="Arial" w:hAnsi="Arial"/>
          <w:b w:val="1"/>
          <w:bCs w:val="1"/>
          <w:sz w:val="24"/>
          <w:szCs w:val="24"/>
          <w:highlight w:val="white"/>
        </w:rPr>
      </w:pPr>
      <w:r w:rsidDel="00000000" w:rsidR="00000000" w:rsidRPr="00000000">
        <w:rPr>
          <w:rFonts w:ascii="Arial" w:cs="Arial" w:eastAsia="Arial" w:hAnsi="Arial"/>
          <w:b w:val="1"/>
          <w:bCs w:val="1"/>
          <w:sz w:val="24"/>
          <w:szCs w:val="24"/>
          <w:highlight w:val="white"/>
          <w:rtl w:val="0"/>
        </w:rPr>
        <w:t xml:space="preserve">SELECCIÓN Y ANÁLISIS DE LAS GPC OBTENIDAS:</w:t>
      </w:r>
    </w:p>
    <w:p w:rsidR="00000000" w:rsidDel="00000000" w:rsidP="00000000" w:rsidRDefault="00000000" w:rsidRPr="00000000" w14:paraId="000000AE">
      <w:pPr>
        <w:spacing w:line="240" w:lineRule="auto"/>
        <w:jc w:val="both"/>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AF">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highlight w:val="white"/>
          <w:rtl w:val="0"/>
        </w:rPr>
        <w:t xml:space="preserve">Los integrantes del GAG analizarán las recomendaciones del Ministerio y los niveles de evidencia más relevantes de cada una de las guías seleccionadas. </w:t>
      </w:r>
      <w:r w:rsidDel="00000000" w:rsidR="00000000" w:rsidRPr="00000000">
        <w:rPr>
          <w:rtl w:val="0"/>
        </w:rPr>
      </w:r>
    </w:p>
    <w:p w:rsidR="00000000" w:rsidDel="00000000" w:rsidP="00000000" w:rsidRDefault="00000000" w:rsidRPr="00000000" w14:paraId="000000B0">
      <w:pPr>
        <w:spacing w:line="240" w:lineRule="auto"/>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B1">
      <w:pPr>
        <w:spacing w:line="240" w:lineRule="auto"/>
        <w:jc w:val="both"/>
        <w:rPr>
          <w:rFonts w:ascii="Arial" w:cs="Arial" w:eastAsia="Arial" w:hAnsi="Arial"/>
          <w:b w:val="1"/>
          <w:bCs w:val="1"/>
          <w:sz w:val="24"/>
          <w:szCs w:val="24"/>
          <w:highlight w:val="white"/>
        </w:rPr>
      </w:pPr>
      <w:r w:rsidDel="00000000" w:rsidR="00000000" w:rsidRPr="00000000">
        <w:rPr>
          <w:rFonts w:ascii="Arial" w:cs="Arial" w:eastAsia="Arial" w:hAnsi="Arial"/>
          <w:b w:val="1"/>
          <w:bCs w:val="1"/>
          <w:sz w:val="24"/>
          <w:szCs w:val="24"/>
          <w:highlight w:val="white"/>
          <w:rtl w:val="0"/>
        </w:rPr>
        <w:t xml:space="preserve">EVALUACIÓN DE LAS GPC SELECCIONADAS:</w:t>
      </w:r>
    </w:p>
    <w:p w:rsidR="00000000" w:rsidDel="00000000" w:rsidP="00000000" w:rsidRDefault="00000000" w:rsidRPr="00000000" w14:paraId="000000B2">
      <w:pPr>
        <w:spacing w:line="240" w:lineRule="auto"/>
        <w:jc w:val="both"/>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B3">
      <w:pPr>
        <w:shd w:fill="ffffff" w:val="clea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GAG evalúa una a una las GPC, encontradas en las fuentes de referencia anteriormente nombradas, aplicando la herramienta AGREE II </w:t>
      </w:r>
    </w:p>
    <w:p w:rsidR="00000000" w:rsidDel="00000000" w:rsidP="00000000" w:rsidRDefault="00000000" w:rsidRPr="00000000" w14:paraId="000000B4">
      <w:pPr>
        <w:spacing w:line="240" w:lineRule="auto"/>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B5">
      <w:pPr>
        <w:spacing w:line="240" w:lineRule="auto"/>
        <w:jc w:val="both"/>
        <w:rPr>
          <w:rFonts w:ascii="Arial" w:cs="Arial" w:eastAsia="Arial" w:hAnsi="Arial"/>
          <w:sz w:val="24"/>
          <w:szCs w:val="24"/>
          <w:highlight w:val="white"/>
        </w:rPr>
      </w:pPr>
      <w:r w:rsidDel="00000000" w:rsidR="00000000" w:rsidRPr="00000000">
        <w:rPr>
          <w:rFonts w:ascii="Arial" w:cs="Arial" w:eastAsia="Arial" w:hAnsi="Arial"/>
          <w:b w:val="1"/>
          <w:bCs w:val="1"/>
          <w:sz w:val="24"/>
          <w:szCs w:val="24"/>
          <w:highlight w:val="white"/>
          <w:rtl w:val="0"/>
        </w:rPr>
        <w:t xml:space="preserve">PROCESO DE ADOPCIÓN DE GPC:</w:t>
      </w:r>
      <w:r w:rsidDel="00000000" w:rsidR="00000000" w:rsidRPr="00000000">
        <w:rPr>
          <w:rFonts w:ascii="Arial" w:cs="Arial" w:eastAsia="Arial" w:hAnsi="Arial"/>
          <w:sz w:val="24"/>
          <w:szCs w:val="24"/>
          <w:highlight w:val="white"/>
          <w:rtl w:val="0"/>
        </w:rPr>
        <w:t xml:space="preserve"> </w:t>
      </w:r>
    </w:p>
    <w:p w:rsidR="00000000" w:rsidDel="00000000" w:rsidP="00000000" w:rsidRDefault="00000000" w:rsidRPr="00000000" w14:paraId="000000B6">
      <w:pPr>
        <w:spacing w:line="24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B7">
      <w:pPr>
        <w:spacing w:line="24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El proceso de adopción se realizará formalmente y mediante resolución expedida por el representante legal.</w:t>
      </w:r>
    </w:p>
    <w:p w:rsidR="00000000" w:rsidDel="00000000" w:rsidP="00000000" w:rsidRDefault="00000000" w:rsidRPr="00000000" w14:paraId="000000B8">
      <w:pPr>
        <w:spacing w:line="240" w:lineRule="auto"/>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B9">
      <w:pPr>
        <w:spacing w:line="240" w:lineRule="auto"/>
        <w:jc w:val="both"/>
        <w:rPr>
          <w:rFonts w:ascii="Arial" w:cs="Arial" w:eastAsia="Arial" w:hAnsi="Arial"/>
          <w:b w:val="1"/>
          <w:bCs w:val="1"/>
          <w:sz w:val="24"/>
          <w:szCs w:val="24"/>
          <w:highlight w:val="white"/>
        </w:rPr>
      </w:pPr>
      <w:r w:rsidDel="00000000" w:rsidR="00000000" w:rsidRPr="00000000">
        <w:rPr>
          <w:rFonts w:ascii="Arial" w:cs="Arial" w:eastAsia="Arial" w:hAnsi="Arial"/>
          <w:b w:val="1"/>
          <w:bCs w:val="1"/>
          <w:sz w:val="24"/>
          <w:szCs w:val="24"/>
          <w:highlight w:val="white"/>
          <w:rtl w:val="0"/>
        </w:rPr>
        <w:t xml:space="preserve">SOCIALIZACIÓN DE LAS GPC:</w:t>
      </w:r>
    </w:p>
    <w:p w:rsidR="00000000" w:rsidDel="00000000" w:rsidP="00000000" w:rsidRDefault="00000000" w:rsidRPr="00000000" w14:paraId="000000BA">
      <w:pPr>
        <w:spacing w:line="240" w:lineRule="auto"/>
        <w:jc w:val="both"/>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0BB">
      <w:pPr>
        <w:spacing w:line="24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La difusión de las GPC será responsabilidad de los líderes de cada servicio. Para ello se utilizarán los medios físicos (volantes, cartillas, circulares, etc.) y electrónicos (e-mail y WhatsApp) con que cuente la institución. Todos los temas de las GPC están incluidos en el plan de formación continua. Cada tema de socialización tiene una semana de duración: al inicio de la semana se entrega el material de estudio y al finalizar se realiza la evaluación. Ambas actividades se llevan a cabo en modalidad virtual asincrónica. </w:t>
      </w:r>
    </w:p>
    <w:p w:rsidR="00000000" w:rsidDel="00000000" w:rsidP="00000000" w:rsidRDefault="00000000" w:rsidRPr="00000000" w14:paraId="000000BC">
      <w:pPr>
        <w:spacing w:line="24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BD">
      <w:pPr>
        <w:spacing w:line="24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BE">
      <w:pPr>
        <w:spacing w:line="240" w:lineRule="auto"/>
        <w:jc w:val="both"/>
        <w:rPr>
          <w:rFonts w:ascii="Arial" w:cs="Arial" w:eastAsia="Arial" w:hAnsi="Arial"/>
          <w:b w:val="1"/>
          <w:bCs w:val="1"/>
          <w:sz w:val="24"/>
          <w:szCs w:val="24"/>
          <w:highlight w:val="white"/>
        </w:rPr>
      </w:pPr>
      <w:r w:rsidDel="00000000" w:rsidR="00000000" w:rsidRPr="00000000">
        <w:rPr>
          <w:rFonts w:ascii="Arial" w:cs="Arial" w:eastAsia="Arial" w:hAnsi="Arial"/>
          <w:b w:val="1"/>
          <w:bCs w:val="1"/>
          <w:sz w:val="24"/>
          <w:szCs w:val="24"/>
          <w:highlight w:val="white"/>
          <w:rtl w:val="0"/>
        </w:rPr>
        <w:t xml:space="preserve">MEDICIÓN DE ADHERENCIA A GUÍAS:</w:t>
      </w:r>
    </w:p>
    <w:p w:rsidR="00000000" w:rsidDel="00000000" w:rsidP="00000000" w:rsidRDefault="00000000" w:rsidRPr="00000000" w14:paraId="000000BF">
      <w:pPr>
        <w:spacing w:line="24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C0">
      <w:pPr>
        <w:spacing w:line="24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Las mediciones de adherencia serán realizadas por el equipo de comité de historias clínicas, bajo la supervisión de los líderes del servicio, con listas de chequeo de revisión de las Historias Clínicas con periodicidad mínima semestral.</w:t>
      </w:r>
    </w:p>
    <w:p w:rsidR="00000000" w:rsidDel="00000000" w:rsidP="00000000" w:rsidRDefault="00000000" w:rsidRPr="00000000" w14:paraId="000000C1">
      <w:pPr>
        <w:spacing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2">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PROCEDIMIENTO</w:t>
      </w:r>
    </w:p>
    <w:tbl>
      <w:tblPr>
        <w:tblStyle w:val="Table3"/>
        <w:tblW w:w="9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0"/>
        <w:gridCol w:w="5400"/>
        <w:gridCol w:w="2070"/>
        <w:tblGridChange w:id="0">
          <w:tblGrid>
            <w:gridCol w:w="2460"/>
            <w:gridCol w:w="5400"/>
            <w:gridCol w:w="2070"/>
          </w:tblGrid>
        </w:tblGridChange>
      </w:tblGrid>
      <w:tr>
        <w:trPr>
          <w:cantSplit w:val="0"/>
          <w:tblHeader w:val="0"/>
        </w:trPr>
        <w:tc>
          <w:tcPr>
            <w:shd w:fill="002060" w:val="clear"/>
            <w:vAlign w:val="center"/>
          </w:tcPr>
          <w:p w:rsidR="00000000" w:rsidDel="00000000" w:rsidP="00000000" w:rsidRDefault="00000000" w:rsidRPr="00000000" w14:paraId="000000C3">
            <w:pPr>
              <w:spacing w:line="240" w:lineRule="auto"/>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ACTIVIDAD</w:t>
            </w:r>
          </w:p>
        </w:tc>
        <w:tc>
          <w:tcPr>
            <w:shd w:fill="002060" w:val="clear"/>
            <w:vAlign w:val="center"/>
          </w:tcPr>
          <w:p w:rsidR="00000000" w:rsidDel="00000000" w:rsidP="00000000" w:rsidRDefault="00000000" w:rsidRPr="00000000" w14:paraId="000000C4">
            <w:pPr>
              <w:spacing w:line="240" w:lineRule="auto"/>
              <w:jc w:val="center"/>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DESCRIPCIÓN</w:t>
            </w:r>
          </w:p>
        </w:tc>
        <w:tc>
          <w:tcPr>
            <w:shd w:fill="002060" w:val="clear"/>
            <w:vAlign w:val="center"/>
          </w:tcPr>
          <w:p w:rsidR="00000000" w:rsidDel="00000000" w:rsidP="00000000" w:rsidRDefault="00000000" w:rsidRPr="00000000" w14:paraId="000000C5">
            <w:pPr>
              <w:spacing w:line="240" w:lineRule="auto"/>
              <w:jc w:val="center"/>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RESPONSABLE</w:t>
            </w:r>
          </w:p>
        </w:tc>
      </w:tr>
      <w:tr>
        <w:trPr>
          <w:cantSplit w:val="0"/>
          <w:tblHeader w:val="0"/>
        </w:trPr>
        <w:tc>
          <w:tcPr>
            <w:shd w:fill="auto" w:val="clear"/>
            <w:vAlign w:val="center"/>
          </w:tcPr>
          <w:p w:rsidR="00000000" w:rsidDel="00000000" w:rsidP="00000000" w:rsidRDefault="00000000" w:rsidRPr="00000000" w14:paraId="000000C6">
            <w:pPr>
              <w:spacing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highlight w:val="white"/>
                <w:rtl w:val="0"/>
              </w:rPr>
              <w:t xml:space="preserve">CONFORMACIÓN DEL GRUPO DE ADOPCIÓN DE GUÍAS (GAG)</w:t>
            </w:r>
            <w:r w:rsidDel="00000000" w:rsidR="00000000" w:rsidRPr="00000000">
              <w:rPr>
                <w:rtl w:val="0"/>
              </w:rPr>
            </w:r>
          </w:p>
        </w:tc>
        <w:tc>
          <w:tcPr>
            <w:shd w:fill="auto" w:val="clear"/>
          </w:tcPr>
          <w:p w:rsidR="00000000" w:rsidDel="00000000" w:rsidP="00000000" w:rsidRDefault="00000000" w:rsidRPr="00000000" w14:paraId="000000C7">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highlight w:val="white"/>
                <w:rtl w:val="0"/>
              </w:rPr>
              <w:t xml:space="preserve">Crear un equipo institucional para desarrollar el plan de implementación. Este equipo debe estar conformado de manera multidisciplinaria, incluyendo actores provenientes de todos los niveles de participación y de acuerdo con el contexto de aplicación de la GPC. </w:t>
            </w:r>
            <w:r w:rsidDel="00000000" w:rsidR="00000000" w:rsidRPr="00000000">
              <w:rPr>
                <w:rtl w:val="0"/>
              </w:rPr>
            </w:r>
          </w:p>
        </w:tc>
        <w:tc>
          <w:tcPr>
            <w:shd w:fill="auto" w:val="clear"/>
          </w:tcPr>
          <w:p w:rsidR="00000000" w:rsidDel="00000000" w:rsidP="00000000" w:rsidRDefault="00000000" w:rsidRPr="00000000" w14:paraId="000000C8">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Dirección administrativa</w:t>
            </w:r>
          </w:p>
          <w:p w:rsidR="00000000" w:rsidDel="00000000" w:rsidP="00000000" w:rsidRDefault="00000000" w:rsidRPr="00000000" w14:paraId="000000C9">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A">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highlight w:val="red"/>
                <w:rtl w:val="0"/>
              </w:rPr>
              <w:t xml:space="preserve">Dirección</w:t>
            </w:r>
            <w:r w:rsidDel="00000000" w:rsidR="00000000" w:rsidRPr="00000000">
              <w:rPr>
                <w:rFonts w:ascii="Arial" w:cs="Arial" w:eastAsia="Arial" w:hAnsi="Arial"/>
                <w:sz w:val="24"/>
                <w:szCs w:val="24"/>
                <w:rtl w:val="0"/>
              </w:rPr>
              <w:t xml:space="preserve"> médica científica</w:t>
            </w:r>
          </w:p>
        </w:tc>
      </w:tr>
      <w:tr>
        <w:trPr>
          <w:cantSplit w:val="0"/>
          <w:tblHeader w:val="0"/>
        </w:trPr>
        <w:tc>
          <w:tcPr>
            <w:shd w:fill="auto" w:val="clear"/>
            <w:vAlign w:val="center"/>
          </w:tcPr>
          <w:p w:rsidR="00000000" w:rsidDel="00000000" w:rsidP="00000000" w:rsidRDefault="00000000" w:rsidRPr="00000000" w14:paraId="000000CB">
            <w:pPr>
              <w:spacing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highlight w:val="white"/>
                <w:rtl w:val="0"/>
              </w:rPr>
              <w:t xml:space="preserve">SELECCIÓN DE LA GUÍA A IMPLEMENTAR</w:t>
            </w:r>
            <w:r w:rsidDel="00000000" w:rsidR="00000000" w:rsidRPr="00000000">
              <w:rPr>
                <w:rtl w:val="0"/>
              </w:rPr>
            </w:r>
          </w:p>
        </w:tc>
        <w:tc>
          <w:tcPr>
            <w:shd w:fill="auto" w:val="clear"/>
          </w:tcPr>
          <w:p w:rsidR="00000000" w:rsidDel="00000000" w:rsidP="00000000" w:rsidRDefault="00000000" w:rsidRPr="00000000" w14:paraId="000000CC">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highlight w:val="white"/>
                <w:rtl w:val="0"/>
              </w:rPr>
              <w:t xml:space="preserve">Priorizar una o más guías, es decir, definir cuáles guías va a implementar considerando el mayor número de variables del perfil epidemiológico posibles.</w:t>
            </w:r>
            <w:r w:rsidDel="00000000" w:rsidR="00000000" w:rsidRPr="00000000">
              <w:rPr>
                <w:rtl w:val="0"/>
              </w:rPr>
            </w:r>
          </w:p>
        </w:tc>
        <w:tc>
          <w:tcPr>
            <w:shd w:fill="auto" w:val="clear"/>
          </w:tcPr>
          <w:p w:rsidR="00000000" w:rsidDel="00000000" w:rsidP="00000000" w:rsidRDefault="00000000" w:rsidRPr="00000000" w14:paraId="000000CD">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GAG</w:t>
            </w:r>
          </w:p>
        </w:tc>
      </w:tr>
      <w:tr>
        <w:trPr>
          <w:cantSplit w:val="0"/>
          <w:tblHeader w:val="0"/>
        </w:trPr>
        <w:tc>
          <w:tcPr>
            <w:shd w:fill="auto" w:val="clear"/>
            <w:vAlign w:val="center"/>
          </w:tcPr>
          <w:p w:rsidR="00000000" w:rsidDel="00000000" w:rsidP="00000000" w:rsidRDefault="00000000" w:rsidRPr="00000000" w14:paraId="000000CE">
            <w:pPr>
              <w:spacing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highlight w:val="white"/>
                <w:rtl w:val="0"/>
              </w:rPr>
              <w:t xml:space="preserve">SELECCIÓN  Y ANÁLISIS DE LAS GPC OBTENIDAS</w:t>
            </w:r>
            <w:r w:rsidDel="00000000" w:rsidR="00000000" w:rsidRPr="00000000">
              <w:rPr>
                <w:rtl w:val="0"/>
              </w:rPr>
            </w:r>
          </w:p>
        </w:tc>
        <w:tc>
          <w:tcPr>
            <w:shd w:fill="auto" w:val="clear"/>
          </w:tcPr>
          <w:p w:rsidR="00000000" w:rsidDel="00000000" w:rsidP="00000000" w:rsidRDefault="00000000" w:rsidRPr="00000000" w14:paraId="000000CF">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highlight w:val="white"/>
                <w:rtl w:val="0"/>
              </w:rPr>
              <w:t xml:space="preserve">Analiza las recomendaciones y los </w:t>
            </w:r>
            <w:hyperlink r:id="rId10">
              <w:r w:rsidDel="00000000" w:rsidR="00000000" w:rsidRPr="00000000">
                <w:rPr>
                  <w:rFonts w:ascii="Arial" w:cs="Arial" w:eastAsia="Arial" w:hAnsi="Arial"/>
                  <w:sz w:val="24"/>
                  <w:szCs w:val="24"/>
                  <w:highlight w:val="white"/>
                  <w:rtl w:val="0"/>
                </w:rPr>
                <w:t xml:space="preserve">niveles de evidencia</w:t>
              </w:r>
            </w:hyperlink>
            <w:r w:rsidDel="00000000" w:rsidR="00000000" w:rsidRPr="00000000">
              <w:rPr>
                <w:rFonts w:ascii="Arial" w:cs="Arial" w:eastAsia="Arial" w:hAnsi="Arial"/>
                <w:sz w:val="24"/>
                <w:szCs w:val="24"/>
                <w:highlight w:val="white"/>
                <w:rtl w:val="0"/>
              </w:rPr>
              <w:t xml:space="preserve"> más relevantes de cada una de las guías seleccionadas, si está actualizada y su aplicabilidad en el contexto epidemiológico de la región.</w:t>
            </w:r>
            <w:r w:rsidDel="00000000" w:rsidR="00000000" w:rsidRPr="00000000">
              <w:rPr>
                <w:rtl w:val="0"/>
              </w:rPr>
            </w:r>
          </w:p>
        </w:tc>
        <w:tc>
          <w:tcPr>
            <w:shd w:fill="auto" w:val="clear"/>
          </w:tcPr>
          <w:p w:rsidR="00000000" w:rsidDel="00000000" w:rsidP="00000000" w:rsidRDefault="00000000" w:rsidRPr="00000000" w14:paraId="000000D0">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GAG</w:t>
            </w:r>
          </w:p>
        </w:tc>
      </w:tr>
      <w:tr>
        <w:trPr>
          <w:cantSplit w:val="0"/>
          <w:tblHeader w:val="0"/>
        </w:trPr>
        <w:tc>
          <w:tcPr>
            <w:shd w:fill="auto" w:val="clear"/>
            <w:vAlign w:val="center"/>
          </w:tcPr>
          <w:p w:rsidR="00000000" w:rsidDel="00000000" w:rsidP="00000000" w:rsidRDefault="00000000" w:rsidRPr="00000000" w14:paraId="000000D1">
            <w:pPr>
              <w:shd w:fill="ffffff" w:val="clea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EVALUACIÓN DE LAS GUÍAS DE PRÁCTICA CLÍNICA SELECCIONADAS</w:t>
            </w:r>
            <w:r w:rsidDel="00000000" w:rsidR="00000000" w:rsidRPr="00000000">
              <w:rPr>
                <w:rtl w:val="0"/>
              </w:rPr>
            </w:r>
          </w:p>
          <w:p w:rsidR="00000000" w:rsidDel="00000000" w:rsidP="00000000" w:rsidRDefault="00000000" w:rsidRPr="00000000" w14:paraId="000000D2">
            <w:pPr>
              <w:spacing w:line="240" w:lineRule="auto"/>
              <w:rPr>
                <w:rFonts w:ascii="Arial" w:cs="Arial" w:eastAsia="Arial" w:hAnsi="Arial"/>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0D3">
            <w:pPr>
              <w:spacing w:line="24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Evaluar la calidad metodológica de las guías seleccionadas utilizando el instrumento internacional denominado AGREE II. </w:t>
            </w:r>
          </w:p>
          <w:p w:rsidR="00000000" w:rsidDel="00000000" w:rsidP="00000000" w:rsidRDefault="00000000" w:rsidRPr="00000000" w14:paraId="000000D4">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highlight w:val="white"/>
                <w:rtl w:val="0"/>
              </w:rPr>
              <w:t xml:space="preserve">El GAG evalúa las GPC asignadas aleatoriamente, siguiendo las instrucciones estándar del instrumento. Descartar las GPC que presenten los puntajes menores y finalmente se seleccionan las GPC para realizar un análisis más detallado de sus recomendaciones y nivel de evidencia.</w:t>
            </w:r>
            <w:r w:rsidDel="00000000" w:rsidR="00000000" w:rsidRPr="00000000">
              <w:rPr>
                <w:rtl w:val="0"/>
              </w:rPr>
            </w:r>
          </w:p>
        </w:tc>
        <w:tc>
          <w:tcPr>
            <w:shd w:fill="auto" w:val="clear"/>
          </w:tcPr>
          <w:p w:rsidR="00000000" w:rsidDel="00000000" w:rsidP="00000000" w:rsidRDefault="00000000" w:rsidRPr="00000000" w14:paraId="000000D5">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GAG</w:t>
            </w:r>
          </w:p>
        </w:tc>
      </w:tr>
      <w:tr>
        <w:trPr>
          <w:cantSplit w:val="0"/>
          <w:tblHeader w:val="0"/>
        </w:trPr>
        <w:tc>
          <w:tcPr>
            <w:shd w:fill="auto" w:val="clear"/>
            <w:vAlign w:val="center"/>
          </w:tcPr>
          <w:p w:rsidR="00000000" w:rsidDel="00000000" w:rsidP="00000000" w:rsidRDefault="00000000" w:rsidRPr="00000000" w14:paraId="000000D6">
            <w:pPr>
              <w:spacing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highlight w:val="white"/>
                <w:rtl w:val="0"/>
              </w:rPr>
              <w:t xml:space="preserve">DEFINICIÓN DE ESTRATEGIAS Y ACTIVIDADES DE SOCIALIZACIÓN</w:t>
            </w:r>
            <w:r w:rsidDel="00000000" w:rsidR="00000000" w:rsidRPr="00000000">
              <w:rPr>
                <w:rtl w:val="0"/>
              </w:rPr>
            </w:r>
          </w:p>
        </w:tc>
        <w:tc>
          <w:tcPr>
            <w:shd w:fill="auto" w:val="clear"/>
          </w:tcPr>
          <w:p w:rsidR="00000000" w:rsidDel="00000000" w:rsidP="00000000" w:rsidRDefault="00000000" w:rsidRPr="00000000" w14:paraId="000000D7">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highlight w:val="white"/>
                <w:rtl w:val="0"/>
              </w:rPr>
              <w:t xml:space="preserve">Una vez se han identificado las barreras y facilitadores de la implementación, la institución debe seleccionar las estrategias de diseminación más adecuadas de acuerdo con el talento humano, técnico y económico.</w:t>
            </w:r>
            <w:r w:rsidDel="00000000" w:rsidR="00000000" w:rsidRPr="00000000">
              <w:rPr>
                <w:rtl w:val="0"/>
              </w:rPr>
            </w:r>
          </w:p>
        </w:tc>
        <w:tc>
          <w:tcPr>
            <w:shd w:fill="auto" w:val="clear"/>
          </w:tcPr>
          <w:p w:rsidR="00000000" w:rsidDel="00000000" w:rsidP="00000000" w:rsidRDefault="00000000" w:rsidRPr="00000000" w14:paraId="000000D8">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Líder del GAG</w:t>
            </w:r>
          </w:p>
          <w:p w:rsidR="00000000" w:rsidDel="00000000" w:rsidP="00000000" w:rsidRDefault="00000000" w:rsidRPr="00000000" w14:paraId="000000D9">
            <w:pPr>
              <w:spacing w:line="240" w:lineRule="auto"/>
              <w:jc w:val="both"/>
              <w:rPr>
                <w:rFonts w:ascii="Arial" w:cs="Arial" w:eastAsia="Arial" w:hAnsi="Arial"/>
                <w:sz w:val="24"/>
                <w:szCs w:val="24"/>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DA">
            <w:pPr>
              <w:spacing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highlight w:val="white"/>
                <w:rtl w:val="0"/>
              </w:rPr>
              <w:t xml:space="preserve">IDENTIFICACIÓN DE RECURSOS NECESARIOS PARA LA IMPLEMENTACIÓN</w:t>
            </w:r>
            <w:r w:rsidDel="00000000" w:rsidR="00000000" w:rsidRPr="00000000">
              <w:rPr>
                <w:rtl w:val="0"/>
              </w:rPr>
            </w:r>
          </w:p>
        </w:tc>
        <w:tc>
          <w:tcPr>
            <w:shd w:fill="auto" w:val="clear"/>
          </w:tcPr>
          <w:p w:rsidR="00000000" w:rsidDel="00000000" w:rsidP="00000000" w:rsidRDefault="00000000" w:rsidRPr="00000000" w14:paraId="000000DB">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highlight w:val="white"/>
                <w:rtl w:val="0"/>
              </w:rPr>
              <w:t xml:space="preserve">Identificar los recursos económicos, técnicos y humanos necesarios.</w:t>
            </w:r>
            <w:r w:rsidDel="00000000" w:rsidR="00000000" w:rsidRPr="00000000">
              <w:rPr>
                <w:rtl w:val="0"/>
              </w:rPr>
            </w:r>
          </w:p>
        </w:tc>
        <w:tc>
          <w:tcPr>
            <w:shd w:fill="auto" w:val="clear"/>
          </w:tcPr>
          <w:p w:rsidR="00000000" w:rsidDel="00000000" w:rsidP="00000000" w:rsidRDefault="00000000" w:rsidRPr="00000000" w14:paraId="000000DC">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GAG</w:t>
            </w:r>
          </w:p>
        </w:tc>
      </w:tr>
      <w:tr>
        <w:trPr>
          <w:cantSplit w:val="0"/>
          <w:tblHeader w:val="0"/>
        </w:trPr>
        <w:tc>
          <w:tcPr>
            <w:shd w:fill="auto" w:val="clear"/>
            <w:vAlign w:val="center"/>
          </w:tcPr>
          <w:p w:rsidR="00000000" w:rsidDel="00000000" w:rsidP="00000000" w:rsidRDefault="00000000" w:rsidRPr="00000000" w14:paraId="000000DD">
            <w:pPr>
              <w:shd w:fill="ffffff" w:val="clea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ELABORACIÓN DEL CRONOGRAMA DE ACTIVIDADES</w:t>
            </w:r>
            <w:r w:rsidDel="00000000" w:rsidR="00000000" w:rsidRPr="00000000">
              <w:rPr>
                <w:rtl w:val="0"/>
              </w:rPr>
            </w:r>
          </w:p>
          <w:p w:rsidR="00000000" w:rsidDel="00000000" w:rsidP="00000000" w:rsidRDefault="00000000" w:rsidRPr="00000000" w14:paraId="000000DE">
            <w:pPr>
              <w:spacing w:line="240" w:lineRule="auto"/>
              <w:rPr>
                <w:rFonts w:ascii="Arial" w:cs="Arial" w:eastAsia="Arial" w:hAnsi="Arial"/>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0DF">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highlight w:val="white"/>
                <w:rtl w:val="0"/>
              </w:rPr>
              <w:t xml:space="preserve">Elaborar un cronograma que permita ajustar las actividades a los tiempos reales en el que se realice el plan de implementación. Es importante identificar a los responsables de la implementación. Se establecerán los compromisos, dedicación horaria, los responsables, la difusión, implementación verificación de su cumplimiento y la revisión. Las reuniones deben ser formalizadas mediante actas e informes de los avances del cronograma.</w:t>
            </w:r>
            <w:r w:rsidDel="00000000" w:rsidR="00000000" w:rsidRPr="00000000">
              <w:rPr>
                <w:rtl w:val="0"/>
              </w:rPr>
            </w:r>
          </w:p>
        </w:tc>
        <w:tc>
          <w:tcPr>
            <w:shd w:fill="auto" w:val="clear"/>
          </w:tcPr>
          <w:p w:rsidR="00000000" w:rsidDel="00000000" w:rsidP="00000000" w:rsidRDefault="00000000" w:rsidRPr="00000000" w14:paraId="000000E0">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GAG</w:t>
            </w:r>
          </w:p>
        </w:tc>
      </w:tr>
      <w:tr>
        <w:trPr>
          <w:cantSplit w:val="0"/>
          <w:tblHeader w:val="0"/>
        </w:trPr>
        <w:tc>
          <w:tcPr>
            <w:shd w:fill="auto" w:val="clear"/>
            <w:vAlign w:val="center"/>
          </w:tcPr>
          <w:p w:rsidR="00000000" w:rsidDel="00000000" w:rsidP="00000000" w:rsidRDefault="00000000" w:rsidRPr="00000000" w14:paraId="000000E1">
            <w:pPr>
              <w:spacing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SELECCIÓN DE MECANISMOS DE EVALUACIÓN Y CONTROL</w:t>
            </w:r>
          </w:p>
        </w:tc>
        <w:tc>
          <w:tcPr>
            <w:shd w:fill="auto" w:val="clear"/>
          </w:tcPr>
          <w:p w:rsidR="00000000" w:rsidDel="00000000" w:rsidP="00000000" w:rsidRDefault="00000000" w:rsidRPr="00000000" w14:paraId="000000E2">
            <w:pPr>
              <w:spacing w:line="24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La evaluación de las GPC se realiza por la medicina de adherencia semestral a GPC.</w:t>
            </w:r>
          </w:p>
          <w:p w:rsidR="00000000" w:rsidDel="00000000" w:rsidP="00000000" w:rsidRDefault="00000000" w:rsidRPr="00000000" w14:paraId="000000E3">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highlight w:val="white"/>
                <w:rtl w:val="0"/>
              </w:rPr>
              <w:t xml:space="preserve">La revisión sistemática de los modelos de implementación permite el seguimiento a los indicadores.</w:t>
            </w:r>
            <w:r w:rsidDel="00000000" w:rsidR="00000000" w:rsidRPr="00000000">
              <w:rPr>
                <w:rtl w:val="0"/>
              </w:rPr>
            </w:r>
          </w:p>
        </w:tc>
        <w:tc>
          <w:tcPr>
            <w:shd w:fill="auto" w:val="clear"/>
          </w:tcPr>
          <w:p w:rsidR="00000000" w:rsidDel="00000000" w:rsidP="00000000" w:rsidRDefault="00000000" w:rsidRPr="00000000" w14:paraId="000000E4">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GAG</w:t>
            </w:r>
          </w:p>
        </w:tc>
      </w:tr>
      <w:tr>
        <w:trPr>
          <w:cantSplit w:val="0"/>
          <w:tblHeader w:val="0"/>
        </w:trPr>
        <w:tc>
          <w:tcPr>
            <w:shd w:fill="auto" w:val="clear"/>
            <w:vAlign w:val="center"/>
          </w:tcPr>
          <w:p w:rsidR="00000000" w:rsidDel="00000000" w:rsidP="00000000" w:rsidRDefault="00000000" w:rsidRPr="00000000" w14:paraId="000000E5">
            <w:pPr>
              <w:spacing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highlight w:val="white"/>
                <w:rtl w:val="0"/>
              </w:rPr>
              <w:t xml:space="preserve">EJECUCIÓN DE ACTIVIDADES DE IMPLEMENTACIÓN</w:t>
            </w:r>
            <w:r w:rsidDel="00000000" w:rsidR="00000000" w:rsidRPr="00000000">
              <w:rPr>
                <w:rtl w:val="0"/>
              </w:rPr>
            </w:r>
          </w:p>
        </w:tc>
        <w:tc>
          <w:tcPr>
            <w:shd w:fill="auto" w:val="clear"/>
          </w:tcPr>
          <w:p w:rsidR="00000000" w:rsidDel="00000000" w:rsidP="00000000" w:rsidRDefault="00000000" w:rsidRPr="00000000" w14:paraId="000000E6">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highlight w:val="white"/>
                <w:rtl w:val="0"/>
              </w:rPr>
              <w:t xml:space="preserve">Involucrar estrategias que permitan reducir la resistencia al cambio a la vez que conjugar las decisiones de tipo administrativo, financiero y educativo que resulten efectivas en la práctica. Para lograrlo es importante que el equipo institucional conforme un grupo que, de acuerdo con el nivel de desarrollo institucional y las posibilidades de recursos, cuente con el apoyo de expertos en comunicaciones y profesionales que realicen el trabajo de campo</w:t>
            </w:r>
            <w:r w:rsidDel="00000000" w:rsidR="00000000" w:rsidRPr="00000000">
              <w:rPr>
                <w:rtl w:val="0"/>
              </w:rPr>
            </w:r>
          </w:p>
        </w:tc>
        <w:tc>
          <w:tcPr>
            <w:shd w:fill="auto" w:val="clear"/>
          </w:tcPr>
          <w:p w:rsidR="00000000" w:rsidDel="00000000" w:rsidP="00000000" w:rsidRDefault="00000000" w:rsidRPr="00000000" w14:paraId="000000E7">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GAG</w:t>
            </w:r>
          </w:p>
        </w:tc>
      </w:tr>
      <w:tr>
        <w:trPr>
          <w:cantSplit w:val="0"/>
          <w:tblHeader w:val="0"/>
        </w:trPr>
        <w:tc>
          <w:tcPr>
            <w:shd w:fill="auto" w:val="clear"/>
            <w:vAlign w:val="center"/>
          </w:tcPr>
          <w:p w:rsidR="00000000" w:rsidDel="00000000" w:rsidP="00000000" w:rsidRDefault="00000000" w:rsidRPr="00000000" w14:paraId="000000E8">
            <w:pPr>
              <w:spacing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highlight w:val="white"/>
                <w:rtl w:val="0"/>
              </w:rPr>
              <w:t xml:space="preserve"> MONITORIZACIÓN</w:t>
            </w:r>
            <w:r w:rsidDel="00000000" w:rsidR="00000000" w:rsidRPr="00000000">
              <w:rPr>
                <w:rtl w:val="0"/>
              </w:rPr>
            </w:r>
          </w:p>
        </w:tc>
        <w:tc>
          <w:tcPr>
            <w:shd w:fill="auto" w:val="clear"/>
          </w:tcPr>
          <w:p w:rsidR="00000000" w:rsidDel="00000000" w:rsidP="00000000" w:rsidRDefault="00000000" w:rsidRPr="00000000" w14:paraId="000000E9">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highlight w:val="white"/>
                <w:rtl w:val="0"/>
              </w:rPr>
              <w:t xml:space="preserve">Se espera que cada área realice su propia evaluación mediante revisión de un grupo evaluador. Adicionalmente se deben incluir revisores externos que permitan validar la evaluación.</w:t>
            </w:r>
            <w:r w:rsidDel="00000000" w:rsidR="00000000" w:rsidRPr="00000000">
              <w:rPr>
                <w:rtl w:val="0"/>
              </w:rPr>
            </w:r>
          </w:p>
        </w:tc>
        <w:tc>
          <w:tcPr>
            <w:shd w:fill="auto" w:val="clear"/>
          </w:tcPr>
          <w:p w:rsidR="00000000" w:rsidDel="00000000" w:rsidP="00000000" w:rsidRDefault="00000000" w:rsidRPr="00000000" w14:paraId="000000EA">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GAG</w:t>
            </w:r>
          </w:p>
        </w:tc>
      </w:tr>
      <w:tr>
        <w:trPr>
          <w:cantSplit w:val="0"/>
          <w:tblHeader w:val="0"/>
        </w:trPr>
        <w:tc>
          <w:tcPr>
            <w:shd w:fill="auto" w:val="clear"/>
            <w:vAlign w:val="center"/>
          </w:tcPr>
          <w:p w:rsidR="00000000" w:rsidDel="00000000" w:rsidP="00000000" w:rsidRDefault="00000000" w:rsidRPr="00000000" w14:paraId="000000EB">
            <w:pPr>
              <w:shd w:fill="ffffff" w:val="clear"/>
              <w:spacing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PLAN DE EVALUACIÓN DE LA IMPLEMENTACIÓN DE GPC.</w:t>
            </w:r>
            <w:r w:rsidDel="00000000" w:rsidR="00000000" w:rsidRPr="00000000">
              <w:rPr>
                <w:rtl w:val="0"/>
              </w:rPr>
            </w:r>
          </w:p>
          <w:p w:rsidR="00000000" w:rsidDel="00000000" w:rsidP="00000000" w:rsidRDefault="00000000" w:rsidRPr="00000000" w14:paraId="000000EC">
            <w:pPr>
              <w:spacing w:line="240" w:lineRule="auto"/>
              <w:rPr>
                <w:rFonts w:ascii="Arial" w:cs="Arial" w:eastAsia="Arial" w:hAnsi="Arial"/>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0ED">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highlight w:val="white"/>
                <w:rtl w:val="0"/>
              </w:rPr>
              <w:t xml:space="preserve">Determinar qué tipo de evaluación se realizará. Esta puede ser comparativa (por ejemplo, si el servicio ha mejorado) o absoluta (por ejemplo, si se ha llegado a un estándar predeterminado).</w:t>
            </w:r>
            <w:r w:rsidDel="00000000" w:rsidR="00000000" w:rsidRPr="00000000">
              <w:rPr>
                <w:rtl w:val="0"/>
              </w:rPr>
            </w:r>
          </w:p>
        </w:tc>
        <w:tc>
          <w:tcPr>
            <w:shd w:fill="auto" w:val="clear"/>
          </w:tcPr>
          <w:p w:rsidR="00000000" w:rsidDel="00000000" w:rsidP="00000000" w:rsidRDefault="00000000" w:rsidRPr="00000000" w14:paraId="000000EE">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GAG</w:t>
            </w:r>
          </w:p>
        </w:tc>
      </w:tr>
      <w:tr>
        <w:trPr>
          <w:cantSplit w:val="0"/>
          <w:tblHeader w:val="0"/>
        </w:trPr>
        <w:tc>
          <w:tcPr>
            <w:shd w:fill="auto" w:val="clear"/>
            <w:vAlign w:val="center"/>
          </w:tcPr>
          <w:p w:rsidR="00000000" w:rsidDel="00000000" w:rsidP="00000000" w:rsidRDefault="00000000" w:rsidRPr="00000000" w14:paraId="000000EF">
            <w:pPr>
              <w:spacing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highlight w:val="white"/>
                <w:rtl w:val="0"/>
              </w:rPr>
              <w:t xml:space="preserve">RETROALIMENTACIÓN Y REAJUSTES AL PLAN DE IMPLEMENTACIÓN</w:t>
            </w:r>
            <w:r w:rsidDel="00000000" w:rsidR="00000000" w:rsidRPr="00000000">
              <w:rPr>
                <w:rtl w:val="0"/>
              </w:rPr>
            </w:r>
          </w:p>
        </w:tc>
        <w:tc>
          <w:tcPr>
            <w:shd w:fill="auto" w:val="clear"/>
          </w:tcPr>
          <w:p w:rsidR="00000000" w:rsidDel="00000000" w:rsidP="00000000" w:rsidRDefault="00000000" w:rsidRPr="00000000" w14:paraId="000000F0">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highlight w:val="white"/>
                <w:rtl w:val="0"/>
              </w:rPr>
              <w:t xml:space="preserve">Con base en los resultados de la evaluación, el equipo de implementación deberá revisar si existen recomendaciones que no han sido aplicadas y evaluar las causas por las cuales no fueron puestas en funcionamiento. Posteriormente, deberá evaluar un cambio en las estrategias de implementación del plan, para mejorar la adherencia de las recomendaciones de la GPC.</w:t>
            </w:r>
            <w:r w:rsidDel="00000000" w:rsidR="00000000" w:rsidRPr="00000000">
              <w:rPr>
                <w:rtl w:val="0"/>
              </w:rPr>
            </w:r>
          </w:p>
        </w:tc>
        <w:tc>
          <w:tcPr>
            <w:shd w:fill="auto" w:val="clear"/>
          </w:tcPr>
          <w:p w:rsidR="00000000" w:rsidDel="00000000" w:rsidP="00000000" w:rsidRDefault="00000000" w:rsidRPr="00000000" w14:paraId="000000F1">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GAG</w:t>
            </w:r>
          </w:p>
        </w:tc>
      </w:tr>
      <w:tr>
        <w:trPr>
          <w:cantSplit w:val="0"/>
          <w:tblHeader w:val="0"/>
        </w:trPr>
        <w:tc>
          <w:tcPr>
            <w:shd w:fill="auto" w:val="clear"/>
            <w:vAlign w:val="center"/>
          </w:tcPr>
          <w:p w:rsidR="00000000" w:rsidDel="00000000" w:rsidP="00000000" w:rsidRDefault="00000000" w:rsidRPr="00000000" w14:paraId="000000F2">
            <w:pPr>
              <w:spacing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highlight w:val="white"/>
                <w:rtl w:val="0"/>
              </w:rPr>
              <w:t xml:space="preserve">IMPLEMENTACIÓN DE LAS GUÍAS DE USUARIOS</w:t>
            </w:r>
            <w:r w:rsidDel="00000000" w:rsidR="00000000" w:rsidRPr="00000000">
              <w:rPr>
                <w:rtl w:val="0"/>
              </w:rPr>
            </w:r>
          </w:p>
        </w:tc>
        <w:tc>
          <w:tcPr>
            <w:shd w:fill="auto" w:val="clear"/>
          </w:tcPr>
          <w:p w:rsidR="00000000" w:rsidDel="00000000" w:rsidP="00000000" w:rsidRDefault="00000000" w:rsidRPr="00000000" w14:paraId="000000F3">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highlight w:val="white"/>
                <w:rtl w:val="0"/>
              </w:rPr>
              <w:t xml:space="preserve">Identificar las estrategias de socialización dirigidas a pacientes y cuidadores. Un punto clave para la implementación de las GPC es que las personas implicadas tengan acceso a la información. Esta puede distribuirse en materiales impresos, electrónicos o audiovisuales. Debe ser completa, de fácil acceso y debe estar disponible cuando se necesite</w:t>
            </w:r>
            <w:r w:rsidDel="00000000" w:rsidR="00000000" w:rsidRPr="00000000">
              <w:rPr>
                <w:rtl w:val="0"/>
              </w:rPr>
            </w:r>
          </w:p>
        </w:tc>
        <w:tc>
          <w:tcPr>
            <w:shd w:fill="auto" w:val="clear"/>
          </w:tcPr>
          <w:p w:rsidR="00000000" w:rsidDel="00000000" w:rsidP="00000000" w:rsidRDefault="00000000" w:rsidRPr="00000000" w14:paraId="000000F4">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GAG</w:t>
            </w:r>
          </w:p>
          <w:p w:rsidR="00000000" w:rsidDel="00000000" w:rsidP="00000000" w:rsidRDefault="00000000" w:rsidRPr="00000000" w14:paraId="000000F5">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6">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Grupo SIAU</w:t>
            </w:r>
          </w:p>
        </w:tc>
      </w:tr>
      <w:tr>
        <w:trPr>
          <w:cantSplit w:val="0"/>
          <w:tblHeader w:val="0"/>
        </w:trPr>
        <w:tc>
          <w:tcPr>
            <w:shd w:fill="auto" w:val="clear"/>
            <w:vAlign w:val="center"/>
          </w:tcPr>
          <w:p w:rsidR="00000000" w:rsidDel="00000000" w:rsidP="00000000" w:rsidRDefault="00000000" w:rsidRPr="00000000" w14:paraId="000000F7">
            <w:pPr>
              <w:spacing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highlight w:val="white"/>
                <w:rtl w:val="0"/>
              </w:rPr>
              <w:t xml:space="preserve">REVISIÓN</w:t>
            </w:r>
            <w:r w:rsidDel="00000000" w:rsidR="00000000" w:rsidRPr="00000000">
              <w:rPr>
                <w:rtl w:val="0"/>
              </w:rPr>
            </w:r>
          </w:p>
        </w:tc>
        <w:tc>
          <w:tcPr>
            <w:shd w:fill="auto" w:val="clear"/>
          </w:tcPr>
          <w:p w:rsidR="00000000" w:rsidDel="00000000" w:rsidP="00000000" w:rsidRDefault="00000000" w:rsidRPr="00000000" w14:paraId="000000F8">
            <w:pPr>
              <w:spacing w:line="24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highlight w:val="white"/>
                <w:rtl w:val="0"/>
              </w:rPr>
              <w:t xml:space="preserve">Revisar en forma continua por cada uno de los grupos participantes en su adopción, en especial si hay nuevas recomendaciones o evidencia científica. No deben pasar más de 5 años sin que dichas guías sean actualizadas en forma sistemática y detallada.</w:t>
            </w:r>
            <w:r w:rsidDel="00000000" w:rsidR="00000000" w:rsidRPr="00000000">
              <w:rPr>
                <w:rtl w:val="0"/>
              </w:rPr>
            </w:r>
          </w:p>
        </w:tc>
        <w:tc>
          <w:tcPr>
            <w:shd w:fill="auto" w:val="clear"/>
          </w:tcPr>
          <w:p w:rsidR="00000000" w:rsidDel="00000000" w:rsidP="00000000" w:rsidRDefault="00000000" w:rsidRPr="00000000" w14:paraId="000000F9">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GAG</w:t>
            </w:r>
          </w:p>
        </w:tc>
      </w:tr>
    </w:tbl>
    <w:p w:rsidR="00000000" w:rsidDel="00000000" w:rsidP="00000000" w:rsidRDefault="00000000" w:rsidRPr="00000000" w14:paraId="000000FA">
      <w:pPr>
        <w:spacing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B">
      <w:pPr>
        <w:shd w:fill="ffffff" w:val="clear"/>
        <w:spacing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REFERENCIAS BIBLIOGRÁFICAS</w:t>
      </w:r>
      <w:r w:rsidDel="00000000" w:rsidR="00000000" w:rsidRPr="00000000">
        <w:rPr>
          <w:rtl w:val="0"/>
        </w:rPr>
      </w:r>
    </w:p>
    <w:p w:rsidR="00000000" w:rsidDel="00000000" w:rsidP="00000000" w:rsidRDefault="00000000" w:rsidRPr="00000000" w14:paraId="000000FC">
      <w:pPr>
        <w:shd w:fill="ffffff" w:val="clea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D">
      <w:pPr>
        <w:numPr>
          <w:ilvl w:val="0"/>
          <w:numId w:val="3"/>
        </w:numPr>
        <w:shd w:fill="ffffff" w:val="clear"/>
        <w:spacing w:line="240" w:lineRule="auto"/>
        <w:ind w:left="720" w:hanging="360"/>
        <w:jc w:val="both"/>
        <w:rPr>
          <w:rFonts w:ascii="Arial" w:cs="Arial" w:eastAsia="Arial" w:hAnsi="Arial"/>
          <w:sz w:val="24"/>
          <w:szCs w:val="24"/>
        </w:rPr>
      </w:pPr>
      <w:hyperlink r:id="rId11">
        <w:r w:rsidDel="00000000" w:rsidR="00000000" w:rsidRPr="00000000">
          <w:rPr>
            <w:rFonts w:ascii="Arial" w:cs="Arial" w:eastAsia="Arial" w:hAnsi="Arial"/>
            <w:color w:val="000000"/>
            <w:sz w:val="24"/>
            <w:szCs w:val="24"/>
            <w:u w:val="single"/>
            <w:rtl w:val="0"/>
          </w:rPr>
          <w:t xml:space="preserve">Manual de Implementación Guías de Práctica Clínica  (GPC) Basadas en la Evidencia Instituciones Prestadoras de Servicios de Salud (IPS) Colombia</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FE">
      <w:pPr>
        <w:shd w:fill="ffffff" w:val="clea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F">
      <w:pPr>
        <w:numPr>
          <w:ilvl w:val="0"/>
          <w:numId w:val="3"/>
        </w:numPr>
        <w:shd w:fill="ffffff" w:val="clear"/>
        <w:spacing w:line="240" w:lineRule="auto"/>
        <w:ind w:left="720" w:hanging="360"/>
        <w:jc w:val="both"/>
        <w:rPr>
          <w:rFonts w:ascii="Arial" w:cs="Arial" w:eastAsia="Arial" w:hAnsi="Arial"/>
          <w:sz w:val="24"/>
          <w:szCs w:val="24"/>
        </w:rPr>
      </w:pPr>
      <w:hyperlink r:id="rId12">
        <w:r w:rsidDel="00000000" w:rsidR="00000000" w:rsidRPr="00000000">
          <w:rPr>
            <w:rFonts w:ascii="Arial" w:cs="Arial" w:eastAsia="Arial" w:hAnsi="Arial"/>
            <w:color w:val="000000"/>
            <w:sz w:val="24"/>
            <w:szCs w:val="24"/>
            <w:u w:val="single"/>
            <w:rtl w:val="0"/>
          </w:rPr>
          <w:t xml:space="preserve">Guía Metodológica Para la Elaboración de Guías de Práctica Clínica (GPC) con Evaluación Económica ​</w:t>
        </w:r>
      </w:hyperlink>
      <w:r w:rsidDel="00000000" w:rsidR="00000000" w:rsidRPr="00000000">
        <w:rPr>
          <w:rtl w:val="0"/>
        </w:rPr>
      </w:r>
    </w:p>
    <w:p w:rsidR="00000000" w:rsidDel="00000000" w:rsidP="00000000" w:rsidRDefault="00000000" w:rsidRPr="00000000" w14:paraId="00000100">
      <w:pPr>
        <w:shd w:fill="ffffff" w:val="clea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1">
      <w:pPr>
        <w:numPr>
          <w:ilvl w:val="0"/>
          <w:numId w:val="3"/>
        </w:numPr>
        <w:shd w:fill="ffffff" w:val="clear"/>
        <w:spacing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u w:val="single"/>
          <w:rtl w:val="0"/>
        </w:rPr>
        <w:t xml:space="preserve">Decreto 780/2016. Por el cual se establece el Sistema Obligatorio de Garantía de Calidad de la Atención de Salud del Sistema General de Seguridad Social en Salud.</w:t>
      </w:r>
      <w:r w:rsidDel="00000000" w:rsidR="00000000" w:rsidRPr="00000000">
        <w:rPr>
          <w:rtl w:val="0"/>
        </w:rPr>
      </w:r>
    </w:p>
    <w:p w:rsidR="00000000" w:rsidDel="00000000" w:rsidP="00000000" w:rsidRDefault="00000000" w:rsidRPr="00000000" w14:paraId="00000102">
      <w:pPr>
        <w:shd w:fill="ffffff" w:val="clea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3">
      <w:pPr>
        <w:numPr>
          <w:ilvl w:val="0"/>
          <w:numId w:val="3"/>
        </w:numPr>
        <w:shd w:fill="ffffff" w:val="clear"/>
        <w:spacing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u w:val="single"/>
          <w:rtl w:val="0"/>
        </w:rPr>
        <w:t xml:space="preserve">Resolución 3100/2019. Por la cual se definen los procedimientos y condiciones de inscripción de los Prestadores de Servicios de Salud y de habilitación de servicios de salud.</w:t>
      </w:r>
      <w:r w:rsidDel="00000000" w:rsidR="00000000" w:rsidRPr="00000000">
        <w:rPr>
          <w:rtl w:val="0"/>
        </w:rPr>
      </w:r>
    </w:p>
    <w:p w:rsidR="00000000" w:rsidDel="00000000" w:rsidP="00000000" w:rsidRDefault="00000000" w:rsidRPr="00000000" w14:paraId="00000104">
      <w:pPr>
        <w:spacing w:line="240" w:lineRule="auto"/>
        <w:jc w:val="both"/>
        <w:rPr>
          <w:rFonts w:ascii="Arial" w:cs="Arial" w:eastAsia="Arial" w:hAnsi="Arial"/>
          <w:color w:val="000000"/>
          <w:sz w:val="24"/>
          <w:szCs w:val="24"/>
        </w:rPr>
      </w:pPr>
      <w:r w:rsidDel="00000000" w:rsidR="00000000" w:rsidRPr="00000000">
        <w:rPr>
          <w:rtl w:val="0"/>
        </w:rPr>
      </w:r>
    </w:p>
    <w:sectPr>
      <w:headerReference r:id="rId13" w:type="default"/>
      <w:headerReference r:id="rId14" w:type="first"/>
      <w:headerReference r:id="rId15" w:type="even"/>
      <w:footerReference r:id="rId16" w:type="default"/>
      <w:footerReference r:id="rId17" w:type="first"/>
      <w:footerReference r:id="rId18" w:type="even"/>
      <w:pgSz w:h="15842" w:w="12242" w:orient="portrait"/>
      <w:pgMar w:bottom="1134" w:top="1134" w:left="1134" w:right="1134" w:header="397" w:footer="17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pBdr>
        <w:top w:space="0" w:sz="0" w:val="nil"/>
        <w:left w:space="0" w:sz="0" w:val="nil"/>
        <w:bottom w:space="0" w:sz="0" w:val="nil"/>
        <w:right w:space="0" w:sz="0" w:val="nil"/>
        <w:between w:space="0" w:sz="0" w:val="nil"/>
      </w:pBdr>
      <w:tabs>
        <w:tab w:val="center" w:leader="none" w:pos="4419"/>
        <w:tab w:val="right" w:leader="none" w:pos="8838"/>
      </w:tabs>
      <w:rPr>
        <w:rFonts w:ascii="Arial" w:cs="Arial" w:eastAsia="Arial" w:hAnsi="Arial"/>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bl>
    <w:tblPr>
      <w:tblStyle w:val="Table4"/>
      <w:tblW w:w="9900.0" w:type="dxa"/>
      <w:jc w:val="left"/>
      <w:tblLayout w:type="fixed"/>
      <w:tblLook w:val="0400"/>
    </w:tblPr>
    <w:tblGrid>
      <w:gridCol w:w="1845"/>
      <w:gridCol w:w="6075"/>
      <w:gridCol w:w="1980"/>
      <w:tblGridChange w:id="0">
        <w:tblGrid>
          <w:gridCol w:w="1845"/>
          <w:gridCol w:w="6075"/>
          <w:gridCol w:w="1980"/>
        </w:tblGrid>
      </w:tblGridChange>
    </w:tblGrid>
    <w:tr>
      <w:trPr>
        <w:cantSplit w:val="0"/>
        <w:trHeight w:val="249"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06">
          <w:pPr>
            <w:jc w:val="center"/>
            <w:rPr>
              <w:rFonts w:ascii="Calibri" w:cs="Calibri" w:eastAsia="Calibri" w:hAnsi="Calibri"/>
              <w:sz w:val="24"/>
              <w:szCs w:val="24"/>
            </w:rPr>
          </w:pPr>
          <w:r w:rsidDel="00000000" w:rsidR="00000000" w:rsidRPr="00000000">
            <w:rPr>
              <w:rFonts w:ascii="Arial" w:cs="Arial" w:eastAsia="Arial" w:hAnsi="Arial"/>
              <w:b w:val="1"/>
              <w:bCs w:val="1"/>
              <w:sz w:val="22"/>
              <w:szCs w:val="22"/>
            </w:rPr>
            <w:drawing>
              <wp:inline distB="114300" distT="114300" distL="114300" distR="114300">
                <wp:extent cx="1038225" cy="584200"/>
                <wp:effectExtent b="0" l="0" r="0" t="0"/>
                <wp:docPr id="29749227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38225" cy="584200"/>
                        </a:xfrm>
                        <a:prstGeom prst="rect"/>
                        <a:ln/>
                      </pic:spPr>
                    </pic:pic>
                  </a:graphicData>
                </a:graphic>
              </wp:inline>
            </w:drawing>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07">
          <w:pPr>
            <w:tabs>
              <w:tab w:val="center" w:leader="none" w:pos="4252"/>
              <w:tab w:val="right" w:leader="none" w:pos="8504"/>
            </w:tabs>
            <w:ind w:left="10" w:right="7"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ENDOCRINOLOGY AND HEALTH</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08">
          <w:pPr>
            <w:tabs>
              <w:tab w:val="center" w:leader="none" w:pos="4252"/>
              <w:tab w:val="right" w:leader="none" w:pos="8504"/>
            </w:tabs>
            <w:ind w:left="10" w:right="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Código: PP-PT-001</w:t>
          </w:r>
        </w:p>
      </w:tc>
    </w:tr>
    <w:tr>
      <w:trPr>
        <w:cantSplit w:val="0"/>
        <w:trHeight w:val="136"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0B">
          <w:pPr>
            <w:tabs>
              <w:tab w:val="center" w:leader="none" w:pos="4252"/>
              <w:tab w:val="right" w:leader="none" w:pos="8504"/>
            </w:tabs>
            <w:ind w:left="10" w:right="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Versión: 02</w:t>
          </w:r>
        </w:p>
      </w:tc>
    </w:tr>
    <w:tr>
      <w:trPr>
        <w:cantSplit w:val="0"/>
        <w:trHeight w:val="516"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0D">
          <w:pPr>
            <w:tabs>
              <w:tab w:val="center" w:leader="none" w:pos="4252"/>
              <w:tab w:val="right" w:leader="none" w:pos="8504"/>
            </w:tabs>
            <w:ind w:left="10" w:right="7"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ESTÁNDAR 5. PROCESOS PRIORITARIOS</w:t>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0E">
          <w:pPr>
            <w:tabs>
              <w:tab w:val="center" w:leader="none" w:pos="4252"/>
              <w:tab w:val="right" w:leader="none" w:pos="8504"/>
            </w:tabs>
            <w:ind w:left="0" w:right="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Fecha: Febrero 2025</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10">
          <w:pPr>
            <w:ind w:left="10" w:right="7" w:firstLine="0"/>
            <w:jc w:val="cente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PROTOCOLO DE ADOPCIÓN DE GUÍAS DE PRÁCTICA CLÍNICA</w:t>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4"/>
              <w:szCs w:val="24"/>
              <w:u w:val="single"/>
            </w:rPr>
          </w:pPr>
          <w:r w:rsidDel="00000000" w:rsidR="00000000" w:rsidRPr="00000000">
            <w:rPr>
              <w:rtl w:val="0"/>
            </w:rPr>
          </w:r>
        </w:p>
      </w:tc>
    </w:tr>
    <w:tr>
      <w:trPr>
        <w:cantSplit w:val="0"/>
        <w:trHeight w:val="516"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4"/>
              <w:szCs w:val="24"/>
              <w:u w:val="singl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4"/>
              <w:szCs w:val="24"/>
              <w:u w:val="sing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14">
          <w:pPr>
            <w:tabs>
              <w:tab w:val="center" w:leader="none" w:pos="4252"/>
              <w:tab w:val="right" w:leader="none" w:pos="8504"/>
            </w:tabs>
            <w:ind w:left="10" w:right="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Página </w:t>
          </w:r>
          <w:r w:rsidDel="00000000" w:rsidR="00000000" w:rsidRPr="00000000">
            <w:rPr>
              <w:rFonts w:ascii="Arial" w:cs="Arial" w:eastAsia="Arial" w:hAnsi="Arial"/>
              <w:b w:val="1"/>
              <w:bCs w:val="1"/>
              <w:sz w:val="18"/>
              <w:szCs w:val="18"/>
              <w:rtl w:val="0"/>
            </w:rPr>
            <w:t xml:space="preserve">1</w:t>
          </w:r>
          <w:r w:rsidDel="00000000" w:rsidR="00000000" w:rsidRPr="00000000">
            <w:rPr>
              <w:rFonts w:ascii="Arial" w:cs="Arial" w:eastAsia="Arial" w:hAnsi="Arial"/>
              <w:sz w:val="18"/>
              <w:szCs w:val="18"/>
              <w:rtl w:val="0"/>
            </w:rPr>
            <w:t xml:space="preserve"> de </w:t>
          </w:r>
          <w:r w:rsidDel="00000000" w:rsidR="00000000" w:rsidRPr="00000000">
            <w:rPr>
              <w:rFonts w:ascii="Arial" w:cs="Arial" w:eastAsia="Arial" w:hAnsi="Arial"/>
              <w:b w:val="1"/>
              <w:bCs w:val="1"/>
              <w:sz w:val="18"/>
              <w:szCs w:val="18"/>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15">
          <w:pPr>
            <w:tabs>
              <w:tab w:val="center" w:leader="none" w:pos="4252"/>
              <w:tab w:val="right" w:leader="none" w:pos="8504"/>
            </w:tabs>
            <w:ind w:left="10" w:right="7" w:firstLine="0"/>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16">
    <w:pPr>
      <w:pBdr>
        <w:top w:space="0" w:sz="0" w:val="nil"/>
        <w:left w:space="0" w:sz="0" w:val="nil"/>
        <w:bottom w:space="0" w:sz="0" w:val="nil"/>
        <w:right w:space="0" w:sz="0" w:val="nil"/>
        <w:between w:space="0" w:sz="0" w:val="nil"/>
      </w:pBdr>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222" w:hanging="360"/>
      </w:pPr>
      <w:rPr>
        <w:rFonts w:ascii="Noto Sans Symbols" w:cs="Noto Sans Symbols" w:eastAsia="Noto Sans Symbols" w:hAnsi="Noto Sans Symbols"/>
      </w:rPr>
    </w:lvl>
    <w:lvl w:ilvl="1">
      <w:start w:val="1"/>
      <w:numFmt w:val="bullet"/>
      <w:lvlText w:val="o"/>
      <w:lvlJc w:val="left"/>
      <w:pPr>
        <w:ind w:left="1942" w:hanging="360"/>
      </w:pPr>
      <w:rPr>
        <w:rFonts w:ascii="Courier New" w:cs="Courier New" w:eastAsia="Courier New" w:hAnsi="Courier New"/>
      </w:rPr>
    </w:lvl>
    <w:lvl w:ilvl="2">
      <w:start w:val="1"/>
      <w:numFmt w:val="bullet"/>
      <w:lvlText w:val="▪"/>
      <w:lvlJc w:val="left"/>
      <w:pPr>
        <w:ind w:left="2662" w:hanging="360"/>
      </w:pPr>
      <w:rPr>
        <w:rFonts w:ascii="Noto Sans Symbols" w:cs="Noto Sans Symbols" w:eastAsia="Noto Sans Symbols" w:hAnsi="Noto Sans Symbols"/>
      </w:rPr>
    </w:lvl>
    <w:lvl w:ilvl="3">
      <w:start w:val="1"/>
      <w:numFmt w:val="bullet"/>
      <w:lvlText w:val="●"/>
      <w:lvlJc w:val="left"/>
      <w:pPr>
        <w:ind w:left="3382" w:hanging="360"/>
      </w:pPr>
      <w:rPr>
        <w:rFonts w:ascii="Noto Sans Symbols" w:cs="Noto Sans Symbols" w:eastAsia="Noto Sans Symbols" w:hAnsi="Noto Sans Symbols"/>
      </w:rPr>
    </w:lvl>
    <w:lvl w:ilvl="4">
      <w:start w:val="1"/>
      <w:numFmt w:val="bullet"/>
      <w:lvlText w:val="o"/>
      <w:lvlJc w:val="left"/>
      <w:pPr>
        <w:ind w:left="4102" w:hanging="360"/>
      </w:pPr>
      <w:rPr>
        <w:rFonts w:ascii="Courier New" w:cs="Courier New" w:eastAsia="Courier New" w:hAnsi="Courier New"/>
      </w:rPr>
    </w:lvl>
    <w:lvl w:ilvl="5">
      <w:start w:val="1"/>
      <w:numFmt w:val="bullet"/>
      <w:lvlText w:val="▪"/>
      <w:lvlJc w:val="left"/>
      <w:pPr>
        <w:ind w:left="4822" w:hanging="360"/>
      </w:pPr>
      <w:rPr>
        <w:rFonts w:ascii="Noto Sans Symbols" w:cs="Noto Sans Symbols" w:eastAsia="Noto Sans Symbols" w:hAnsi="Noto Sans Symbols"/>
      </w:rPr>
    </w:lvl>
    <w:lvl w:ilvl="6">
      <w:start w:val="1"/>
      <w:numFmt w:val="bullet"/>
      <w:lvlText w:val="●"/>
      <w:lvlJc w:val="left"/>
      <w:pPr>
        <w:ind w:left="5542" w:hanging="360"/>
      </w:pPr>
      <w:rPr>
        <w:rFonts w:ascii="Noto Sans Symbols" w:cs="Noto Sans Symbols" w:eastAsia="Noto Sans Symbols" w:hAnsi="Noto Sans Symbols"/>
      </w:rPr>
    </w:lvl>
    <w:lvl w:ilvl="7">
      <w:start w:val="1"/>
      <w:numFmt w:val="bullet"/>
      <w:lvlText w:val="o"/>
      <w:lvlJc w:val="left"/>
      <w:pPr>
        <w:ind w:left="6262" w:hanging="360"/>
      </w:pPr>
      <w:rPr>
        <w:rFonts w:ascii="Courier New" w:cs="Courier New" w:eastAsia="Courier New" w:hAnsi="Courier New"/>
      </w:rPr>
    </w:lvl>
    <w:lvl w:ilvl="8">
      <w:start w:val="1"/>
      <w:numFmt w:val="bullet"/>
      <w:lvlText w:val="▪"/>
      <w:lvlJc w:val="left"/>
      <w:pPr>
        <w:ind w:left="6982"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a" w:customStyle="1">
    <w:basedOn w:val="TableNormal0"/>
    <w:tblPr>
      <w:tblStyleRowBandSize w:val="1"/>
      <w:tblStyleColBandSize w:val="1"/>
      <w:tblCellMar>
        <w:left w:w="108.0" w:type="dxa"/>
        <w:right w:w="108.0" w:type="dxa"/>
      </w:tblCellMar>
    </w:tblPr>
  </w:style>
  <w:style w:type="table" w:styleId="a0" w:customStyle="1">
    <w:basedOn w:val="TableNormal0"/>
    <w:tblPr>
      <w:tblStyleRowBandSize w:val="1"/>
      <w:tblStyleColBandSize w:val="1"/>
      <w:tblCellMar>
        <w:left w:w="70.0" w:type="dxa"/>
        <w:right w:w="70.0" w:type="dxa"/>
      </w:tblCellMar>
    </w:tblPr>
  </w:style>
  <w:style w:type="table" w:styleId="a1" w:customStyle="1">
    <w:basedOn w:val="TableNormal0"/>
    <w:tblPr>
      <w:tblStyleRowBandSize w:val="1"/>
      <w:tblStyleColBandSize w:val="1"/>
      <w:tblCellMar>
        <w:left w:w="108.0" w:type="dxa"/>
        <w:right w:w="108.0" w:type="dxa"/>
      </w:tblCellMar>
    </w:tblPr>
  </w:style>
  <w:style w:type="paragraph" w:styleId="Encabezado">
    <w:name w:val="header"/>
    <w:basedOn w:val="Normal"/>
    <w:link w:val="EncabezadoCar"/>
    <w:uiPriority w:val="99"/>
    <w:unhideWhenUsed w:val="1"/>
    <w:rsid w:val="00E6199B"/>
    <w:pPr>
      <w:tabs>
        <w:tab w:val="center" w:pos="4419"/>
        <w:tab w:val="right" w:pos="8838"/>
      </w:tabs>
    </w:pPr>
  </w:style>
  <w:style w:type="character" w:styleId="EncabezadoCar" w:customStyle="1">
    <w:name w:val="Encabezado Car"/>
    <w:basedOn w:val="Fuentedeprrafopredeter"/>
    <w:link w:val="Encabezado"/>
    <w:uiPriority w:val="99"/>
    <w:rsid w:val="00E6199B"/>
  </w:style>
  <w:style w:type="paragraph" w:styleId="Piedepgina">
    <w:name w:val="footer"/>
    <w:basedOn w:val="Normal"/>
    <w:link w:val="PiedepginaCar"/>
    <w:uiPriority w:val="99"/>
    <w:unhideWhenUsed w:val="1"/>
    <w:rsid w:val="00E6199B"/>
    <w:pPr>
      <w:tabs>
        <w:tab w:val="center" w:pos="4419"/>
        <w:tab w:val="right" w:pos="8838"/>
      </w:tabs>
    </w:pPr>
  </w:style>
  <w:style w:type="character" w:styleId="PiedepginaCar" w:customStyle="1">
    <w:name w:val="Pie de página Car"/>
    <w:basedOn w:val="Fuentedeprrafopredeter"/>
    <w:link w:val="Piedepgina"/>
    <w:uiPriority w:val="99"/>
    <w:rsid w:val="00E6199B"/>
  </w:style>
  <w:style w:type="paragraph" w:styleId="Sinespaciado">
    <w:name w:val="No Spacing"/>
    <w:link w:val="SinespaciadoCar"/>
    <w:uiPriority w:val="1"/>
    <w:qFormat w:val="1"/>
    <w:rsid w:val="00E6199B"/>
  </w:style>
  <w:style w:type="paragraph" w:styleId="Textodeglobo">
    <w:name w:val="Balloon Text"/>
    <w:basedOn w:val="Normal"/>
    <w:link w:val="TextodegloboCar"/>
    <w:uiPriority w:val="99"/>
    <w:semiHidden w:val="1"/>
    <w:unhideWhenUsed w:val="1"/>
    <w:rsid w:val="008B7607"/>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B7607"/>
    <w:rPr>
      <w:rFonts w:ascii="Tahoma" w:cs="Tahoma" w:hAnsi="Tahoma"/>
      <w:sz w:val="16"/>
      <w:szCs w:val="16"/>
    </w:rPr>
  </w:style>
  <w:style w:type="paragraph" w:styleId="Prrafodelista">
    <w:name w:val="List Paragraph"/>
    <w:basedOn w:val="Normal"/>
    <w:uiPriority w:val="34"/>
    <w:qFormat w:val="1"/>
    <w:rsid w:val="00994AB9"/>
    <w:pPr>
      <w:ind w:left="720"/>
      <w:contextualSpacing w:val="1"/>
    </w:pPr>
  </w:style>
  <w:style w:type="table" w:styleId="Tablaconcuadrcula">
    <w:name w:val="Table Grid"/>
    <w:basedOn w:val="Tablanormal"/>
    <w:uiPriority w:val="39"/>
    <w:rsid w:val="002170E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CE487D"/>
    <w:rPr>
      <w:color w:val="0000ff"/>
      <w:u w:val="single"/>
    </w:rPr>
  </w:style>
  <w:style w:type="character" w:styleId="SinespaciadoCar" w:customStyle="1">
    <w:name w:val="Sin espaciado Car"/>
    <w:link w:val="Sinespaciado"/>
    <w:uiPriority w:val="1"/>
    <w:rsid w:val="00F463C0"/>
  </w:style>
  <w:style w:type="table" w:styleId="a2" w:customStyle="1">
    <w:basedOn w:val="TableNormal0"/>
    <w:tblPr>
      <w:tblStyleRowBandSize w:val="1"/>
      <w:tblStyleColBandSize w:val="1"/>
      <w:tblCellMar>
        <w:left w:w="115.0" w:type="dxa"/>
        <w:right w:w="115.0" w:type="dxa"/>
      </w:tblCellMar>
    </w:tblPr>
  </w:style>
  <w:style w:type="table" w:styleId="a3" w:customStyle="1">
    <w:basedOn w:val="TableNormal0"/>
    <w:tblPr>
      <w:tblStyleRowBandSize w:val="1"/>
      <w:tblStyleColBandSize w:val="1"/>
      <w:tblCellMar>
        <w:left w:w="115.0" w:type="dxa"/>
        <w:right w:w="115.0" w:type="dxa"/>
      </w:tblCellMar>
    </w:tblPr>
  </w:style>
  <w:style w:type="table" w:styleId="a4" w:customStyle="1">
    <w:basedOn w:val="TableNormal0"/>
    <w:tblPr>
      <w:tblStyleRowBandSize w:val="1"/>
      <w:tblStyleColBandSize w:val="1"/>
      <w:tblCellMar>
        <w:left w:w="70.0" w:type="dxa"/>
        <w:right w:w="70.0" w:type="dxa"/>
      </w:tblCellMar>
    </w:tblPr>
  </w:style>
  <w:style w:type="paragraph" w:styleId="NormalWeb">
    <w:name w:val="Normal (Web)"/>
    <w:basedOn w:val="Normal"/>
    <w:uiPriority w:val="99"/>
    <w:semiHidden w:val="1"/>
    <w:unhideWhenUsed w:val="1"/>
    <w:rsid w:val="0085568A"/>
    <w:pPr>
      <w:spacing w:after="100" w:afterAutospacing="1" w:before="100" w:beforeAutospacing="1"/>
    </w:pPr>
    <w:rPr>
      <w:sz w:val="24"/>
      <w:szCs w:val="24"/>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gpc.minsalud.gov.co/recursos/Documents/Manual%20de%20implementaci%C3%B3n.pdf" TargetMode="External"/><Relationship Id="rId10" Type="http://schemas.openxmlformats.org/officeDocument/2006/relationships/hyperlink" Target="http://www.guiasalud.es/egpc/parto_normal/completa/apartado00/evidencia.html" TargetMode="External"/><Relationship Id="rId13" Type="http://schemas.openxmlformats.org/officeDocument/2006/relationships/header" Target="header1.xml"/><Relationship Id="rId12" Type="http://schemas.openxmlformats.org/officeDocument/2006/relationships/hyperlink" Target="http://gpc.minsalud.gov.co/recursos/Documents/Gu%C3%ADa%20Metodol%C3%B3gica_Web.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ancercare.on.ca/english/home/toolbox/qualityguidelines/pebc/" TargetMode="External"/><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hyperlink" Target="https://es.wikipedia.org/wiki/Cl%C3%ADnica" TargetMode="External"/><Relationship Id="rId8" Type="http://schemas.openxmlformats.org/officeDocument/2006/relationships/hyperlink" Target="http://doccismef.chu-rouen.fr/CISMeFBPTR.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YaXqiIYE7oGs9eX7iRzubZQP+Q==">CgMxLjAaHwoBMBIaChgICVIUChJ0YWJsZS5pNTVpaXdjbTVwNGU4AHIhMTdYbHVlc0NZaTFPYzc5alh4ZmVQdzFWWlhybjA2UW40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2017-12-13T16:21:00Z</dcterms:created>
  <dc:creator>Proyecto</dc:creator>
</cp:coreProperties>
</file>