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02">
      <w:pPr>
        <w:numPr>
          <w:ilvl w:val="0"/>
          <w:numId w:val="3"/>
        </w:numPr>
        <w:spacing w:after="0" w:line="240" w:lineRule="auto"/>
        <w:ind w:left="720" w:hanging="360"/>
        <w:jc w:val="both"/>
        <w:rPr/>
      </w:pPr>
      <w:r w:rsidDel="00000000" w:rsidR="00000000" w:rsidRPr="00000000">
        <w:rPr>
          <w:rFonts w:ascii="Arial" w:cs="Arial" w:eastAsia="Arial" w:hAnsi="Arial"/>
          <w:b w:val="1"/>
          <w:rtl w:val="0"/>
        </w:rPr>
        <w:t xml:space="preserve">INTRODUCCIÓN</w:t>
      </w:r>
      <w:r w:rsidDel="00000000" w:rsidR="00000000" w:rsidRPr="00000000">
        <w:rPr>
          <w:rtl w:val="0"/>
        </w:rPr>
      </w:r>
    </w:p>
    <w:p w:rsidR="00000000" w:rsidDel="00000000" w:rsidP="00000000" w:rsidRDefault="00000000" w:rsidRPr="00000000" w14:paraId="00000003">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cáncer de tiroides, una neoplasia que afecta a la glándula tiroides, representa un desafío clínico debido a su variabilidad en términos de subtipos histológicos, factores de riesgo y enfoques terapéuticos. Esta guía busca proporcionar a los profesionales de la salud de la IPS Endocrinology &amp; Health una perspectiva exhaustiva y basada en la evidencia para el diagnóstico preciso, el tratamiento adecuado y el manejo integral del paciente con cáncer de tiroides.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 lo largo de estas páginas, se explorarán los métodos de diagnóstico más confiables para identificar y categorizar los distintos tipos de cáncer de tiroides. Además, analizaremos las opciones terapéuticas disponibles, desde la cirugía y la terapia con yodo radiactivo hasta las terapias dirigidas más recientes, con el objetivo de ofrecer una guía sólida y actualizada para la toma de decisiones clínicas informadas.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Se abordarán las particularidades de cada subtipo de cáncer de tiroides y examinaremos los factores pronósticos y de riesgo que influyen en el enfoque terapéutico. También nos enfocaremos en la importancia de un seguimiento a largo plazo y en la monitorización constante de los pacientes, teniendo en cuenta las posibles recurrencias y las estrategias de manejo a largo plazo.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0A">
      <w:pPr>
        <w:numPr>
          <w:ilvl w:val="0"/>
          <w:numId w:val="3"/>
        </w:numPr>
        <w:spacing w:after="0" w:line="240" w:lineRule="auto"/>
        <w:ind w:left="720" w:hanging="360"/>
        <w:jc w:val="both"/>
        <w:rPr/>
      </w:pPr>
      <w:r w:rsidDel="00000000" w:rsidR="00000000" w:rsidRPr="00000000">
        <w:rPr>
          <w:rFonts w:ascii="Arial" w:cs="Arial" w:eastAsia="Arial" w:hAnsi="Arial"/>
          <w:b w:val="1"/>
          <w:rtl w:val="0"/>
        </w:rPr>
        <w:t xml:space="preserve">OBJETIVO GENERAL</w:t>
      </w:r>
      <w:r w:rsidDel="00000000" w:rsidR="00000000" w:rsidRPr="00000000">
        <w:rPr>
          <w:rtl w:val="0"/>
        </w:rPr>
      </w:r>
    </w:p>
    <w:p w:rsidR="00000000" w:rsidDel="00000000" w:rsidP="00000000" w:rsidRDefault="00000000" w:rsidRPr="00000000" w14:paraId="0000000B">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0C">
      <w:pPr>
        <w:spacing w:after="0" w:line="240" w:lineRule="auto"/>
        <w:jc w:val="both"/>
        <w:rPr>
          <w:rFonts w:ascii="Arial" w:cs="Arial" w:eastAsia="Arial" w:hAnsi="Arial"/>
        </w:rPr>
      </w:pPr>
      <w:r w:rsidDel="00000000" w:rsidR="00000000" w:rsidRPr="00000000">
        <w:rPr>
          <w:rFonts w:ascii="Arial" w:cs="Arial" w:eastAsia="Arial" w:hAnsi="Arial"/>
          <w:rtl w:val="0"/>
        </w:rPr>
        <w:t xml:space="preserve">Proporcionar a los profesionales de la salud una herramienta integral y actualizada que permita el diagnóstico temprano, el tratamiento óptimo y el manejo efectivo del cáncer de tiroides. Esta guía tiene como propósito principal mejorar la calidad de la atención médica brindada a los pacientes afectados por esta neoplasia endocrina, promoviendo la aplicación de enfoques clínicos basados en la evidencia y el consenso de expertos para lograr resultados clínicos satisfactorios y una mejor calidad de vida.</w:t>
      </w:r>
    </w:p>
    <w:p w:rsidR="00000000" w:rsidDel="00000000" w:rsidP="00000000" w:rsidRDefault="00000000" w:rsidRPr="00000000" w14:paraId="0000000D">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E">
      <w:pPr>
        <w:numPr>
          <w:ilvl w:val="0"/>
          <w:numId w:val="3"/>
        </w:numPr>
        <w:spacing w:after="0" w:line="240" w:lineRule="auto"/>
        <w:ind w:left="720" w:hanging="360"/>
        <w:jc w:val="both"/>
        <w:rPr/>
      </w:pPr>
      <w:r w:rsidDel="00000000" w:rsidR="00000000" w:rsidRPr="00000000">
        <w:rPr>
          <w:rFonts w:ascii="Arial" w:cs="Arial" w:eastAsia="Arial" w:hAnsi="Arial"/>
          <w:b w:val="1"/>
          <w:highlight w:val="white"/>
          <w:rtl w:val="0"/>
        </w:rPr>
        <w:t xml:space="preserve">OBJETIVOS ESPECÍFICOS</w:t>
      </w:r>
      <w:r w:rsidDel="00000000" w:rsidR="00000000" w:rsidRPr="00000000">
        <w:rPr>
          <w:rtl w:val="0"/>
        </w:rPr>
      </w:r>
    </w:p>
    <w:p w:rsidR="00000000" w:rsidDel="00000000" w:rsidP="00000000" w:rsidRDefault="00000000" w:rsidRPr="00000000" w14:paraId="0000000F">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10">
      <w:pPr>
        <w:numPr>
          <w:ilvl w:val="0"/>
          <w:numId w:val="4"/>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Proporcionar pautas claras y actualizadas para el manejo multidisciplinario del cáncer de tiroides, </w:t>
      </w:r>
    </w:p>
    <w:p w:rsidR="00000000" w:rsidDel="00000000" w:rsidP="00000000" w:rsidRDefault="00000000" w:rsidRPr="00000000" w14:paraId="00000011">
      <w:pPr>
        <w:spacing w:after="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2">
      <w:pPr>
        <w:numPr>
          <w:ilvl w:val="0"/>
          <w:numId w:val="4"/>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Definir los criterios de seguimiento y monitorización a largo plazo para los pacientes con cáncer de tiroides, </w:t>
      </w:r>
    </w:p>
    <w:p w:rsidR="00000000" w:rsidDel="00000000" w:rsidP="00000000" w:rsidRDefault="00000000" w:rsidRPr="00000000" w14:paraId="00000013">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4">
      <w:pPr>
        <w:numPr>
          <w:ilvl w:val="0"/>
          <w:numId w:val="4"/>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Evaluar y sintetizar la literatura científica más reciente relacionada con el cáncer de tiroides, con el fin de mantener esta guía actualizada y relevante, reflejando los avances en el campo y adaptando las recomendaciones según las últimas investigaciones.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16">
      <w:pPr>
        <w:numPr>
          <w:ilvl w:val="0"/>
          <w:numId w:val="3"/>
        </w:numPr>
        <w:spacing w:after="0" w:line="240" w:lineRule="auto"/>
        <w:ind w:left="720" w:hanging="360"/>
        <w:jc w:val="both"/>
        <w:rPr/>
      </w:pPr>
      <w:r w:rsidDel="00000000" w:rsidR="00000000" w:rsidRPr="00000000">
        <w:rPr>
          <w:rFonts w:ascii="Arial" w:cs="Arial" w:eastAsia="Arial" w:hAnsi="Arial"/>
          <w:b w:val="1"/>
          <w:rtl w:val="0"/>
        </w:rPr>
        <w:t xml:space="preserve">ALCANCE</w:t>
      </w:r>
      <w:r w:rsidDel="00000000" w:rsidR="00000000" w:rsidRPr="00000000">
        <w:rPr>
          <w:rtl w:val="0"/>
        </w:rPr>
      </w:r>
    </w:p>
    <w:p w:rsidR="00000000" w:rsidDel="00000000" w:rsidP="00000000" w:rsidRDefault="00000000" w:rsidRPr="00000000" w14:paraId="00000017">
      <w:pPr>
        <w:spacing w:after="0" w:lin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18">
      <w:pPr>
        <w:spacing w:after="0" w:line="240" w:lineRule="auto"/>
        <w:jc w:val="both"/>
        <w:rPr>
          <w:rFonts w:ascii="Arial" w:cs="Arial" w:eastAsia="Arial" w:hAnsi="Arial"/>
          <w:highlight w:val="white"/>
        </w:rPr>
      </w:pPr>
      <w:r w:rsidDel="00000000" w:rsidR="00000000" w:rsidRPr="00000000">
        <w:rPr>
          <w:rFonts w:ascii="Arial" w:cs="Arial" w:eastAsia="Arial" w:hAnsi="Arial"/>
          <w:rtl w:val="0"/>
        </w:rPr>
        <w:t xml:space="preserve">Esta guía de práctica clínica (GPC) está dirigida a los profesionales de la salud que atienden directamente a los pacientes con Cáncer de tiroides con el propósito de brindar una aproximación escalonada y racional de esta patología, disminuyendo la variabilidad injustificada en el diagnóstico y tratamiento. Su enfoque está dirigido hacia aspectos relacionados con el diagnóstico, tratamiento farmacológico y no farmacológico.</w:t>
      </w:r>
      <w:r w:rsidDel="00000000" w:rsidR="00000000" w:rsidRPr="00000000">
        <w:rPr>
          <w:rtl w:val="0"/>
        </w:rPr>
      </w:r>
    </w:p>
    <w:p w:rsidR="00000000" w:rsidDel="00000000" w:rsidP="00000000" w:rsidRDefault="00000000" w:rsidRPr="00000000" w14:paraId="00000019">
      <w:pPr>
        <w:spacing w:after="0" w:lin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smallCaps w:val="0"/>
          <w:strike w:val="0"/>
          <w:vertAlign w:val="baseline"/>
        </w:rPr>
      </w:pPr>
      <w:r w:rsidDel="00000000" w:rsidR="00000000" w:rsidRPr="00000000">
        <w:rPr>
          <w:rFonts w:ascii="Arial" w:cs="Arial" w:eastAsia="Arial" w:hAnsi="Arial"/>
          <w:b w:val="1"/>
          <w:rtl w:val="0"/>
        </w:rPr>
        <w:t xml:space="preserve">EQUIPO DESARROLLADOR</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1C">
      <w:pPr>
        <w:spacing w:after="0" w:lin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Carlos Vizcaino, médico endocrinólogo</w:t>
      </w:r>
    </w:p>
    <w:p w:rsidR="00000000" w:rsidDel="00000000" w:rsidP="00000000" w:rsidRDefault="00000000" w:rsidRPr="00000000" w14:paraId="0000001D">
      <w:pPr>
        <w:spacing w:after="0" w:lin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Angela Monsalve, Ingeniera industrial de procesos</w:t>
      </w:r>
    </w:p>
    <w:p w:rsidR="00000000" w:rsidDel="00000000" w:rsidP="00000000" w:rsidRDefault="00000000" w:rsidRPr="00000000" w14:paraId="0000001F">
      <w:pPr>
        <w:spacing w:after="0" w:line="24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20">
      <w:pPr>
        <w:spacing w:after="0" w:line="240" w:lineRule="auto"/>
        <w:jc w:val="both"/>
        <w:rPr>
          <w:rFonts w:ascii="Arial" w:cs="Arial" w:eastAsia="Arial" w:hAnsi="Arial"/>
          <w:highlight w:val="white"/>
        </w:rPr>
      </w:pPr>
      <w:r w:rsidDel="00000000" w:rsidR="00000000" w:rsidRPr="00000000">
        <w:rPr>
          <w:rFonts w:ascii="Arial" w:cs="Arial" w:eastAsia="Arial" w:hAnsi="Arial"/>
          <w:highlight w:val="white"/>
          <w:rtl w:val="0"/>
        </w:rPr>
        <w:t xml:space="preserve">Jackeline Morales, auditora en salud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rtl w:val="0"/>
        </w:rPr>
        <w:t xml:space="preserve">POBLACIÓN</w:t>
      </w:r>
      <w:r w:rsidDel="00000000" w:rsidR="00000000" w:rsidRPr="00000000">
        <w:rPr>
          <w:rtl w:val="0"/>
        </w:rPr>
      </w:r>
    </w:p>
    <w:p w:rsidR="00000000" w:rsidDel="00000000" w:rsidP="00000000" w:rsidRDefault="00000000" w:rsidRPr="00000000" w14:paraId="00000024">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5">
      <w:pPr>
        <w:spacing w:after="0" w:line="240" w:lineRule="auto"/>
        <w:jc w:val="both"/>
        <w:rPr>
          <w:rFonts w:ascii="Arial" w:cs="Arial" w:eastAsia="Arial" w:hAnsi="Arial"/>
        </w:rPr>
      </w:pPr>
      <w:r w:rsidDel="00000000" w:rsidR="00000000" w:rsidRPr="00000000">
        <w:rPr>
          <w:rFonts w:ascii="Arial" w:cs="Arial" w:eastAsia="Arial" w:hAnsi="Arial"/>
          <w:rtl w:val="0"/>
        </w:rPr>
        <w:t xml:space="preserve">La población objetivo son pacientes con diagnóstico de Cáncer de tiroides.</w:t>
      </w:r>
    </w:p>
    <w:p w:rsidR="00000000" w:rsidDel="00000000" w:rsidP="00000000" w:rsidRDefault="00000000" w:rsidRPr="00000000" w14:paraId="00000026">
      <w:pPr>
        <w:spacing w:after="0" w:line="240" w:lineRule="auto"/>
        <w:ind w:left="720" w:firstLine="0"/>
        <w:rPr>
          <w:rFonts w:ascii="Arial" w:cs="Arial" w:eastAsia="Arial" w:hAnsi="Arial"/>
          <w:b w:val="1"/>
          <w:highlight w:val="whit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highlight w:val="white"/>
        </w:rPr>
      </w:pPr>
      <w:r w:rsidDel="00000000" w:rsidR="00000000" w:rsidRPr="00000000">
        <w:rPr>
          <w:rtl w:val="0"/>
        </w:rPr>
      </w:r>
    </w:p>
    <w:p w:rsidR="00000000" w:rsidDel="00000000" w:rsidP="00000000" w:rsidRDefault="00000000" w:rsidRPr="00000000" w14:paraId="00000028">
      <w:pPr>
        <w:numPr>
          <w:ilvl w:val="0"/>
          <w:numId w:val="3"/>
        </w:numPr>
        <w:spacing w:after="0" w:line="240" w:lineRule="auto"/>
        <w:ind w:left="720" w:hanging="360"/>
        <w:rPr/>
      </w:pPr>
      <w:r w:rsidDel="00000000" w:rsidR="00000000" w:rsidRPr="00000000">
        <w:rPr>
          <w:rFonts w:ascii="Arial" w:cs="Arial" w:eastAsia="Arial" w:hAnsi="Arial"/>
          <w:b w:val="1"/>
          <w:highlight w:val="white"/>
          <w:rtl w:val="0"/>
        </w:rPr>
        <w:t xml:space="preserve">TALENTO HUMANO</w:t>
      </w:r>
      <w:r w:rsidDel="00000000" w:rsidR="00000000" w:rsidRPr="00000000">
        <w:rPr>
          <w:rtl w:val="0"/>
        </w:rPr>
      </w:r>
    </w:p>
    <w:p w:rsidR="00000000" w:rsidDel="00000000" w:rsidP="00000000" w:rsidRDefault="00000000" w:rsidRPr="00000000" w14:paraId="00000029">
      <w:pPr>
        <w:spacing w:after="0" w:line="240" w:lineRule="auto"/>
        <w:ind w:left="0" w:firstLine="0"/>
        <w:rPr>
          <w:rFonts w:ascii="Arial" w:cs="Arial" w:eastAsia="Arial" w:hAnsi="Arial"/>
          <w:highlight w:val="white"/>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highlight w:val="white"/>
        </w:rPr>
      </w:pPr>
      <w:r w:rsidDel="00000000" w:rsidR="00000000" w:rsidRPr="00000000">
        <w:rPr>
          <w:rFonts w:ascii="Arial" w:cs="Arial" w:eastAsia="Arial" w:hAnsi="Arial"/>
          <w:rtl w:val="0"/>
        </w:rPr>
        <w:t xml:space="preserve">Personal asistencial de la IPS Endocrinology &amp; Health</w:t>
      </w:r>
      <w:r w:rsidDel="00000000" w:rsidR="00000000" w:rsidRPr="00000000">
        <w:rPr>
          <w:rtl w:val="0"/>
        </w:rPr>
      </w:r>
    </w:p>
    <w:p w:rsidR="00000000" w:rsidDel="00000000" w:rsidP="00000000" w:rsidRDefault="00000000" w:rsidRPr="00000000" w14:paraId="0000002B">
      <w:pPr>
        <w:spacing w:after="0" w:lin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C">
      <w:pPr>
        <w:numPr>
          <w:ilvl w:val="0"/>
          <w:numId w:val="3"/>
        </w:numPr>
        <w:spacing w:after="0" w:line="240" w:lineRule="auto"/>
        <w:ind w:left="720" w:hanging="360"/>
        <w:rPr/>
      </w:pPr>
      <w:r w:rsidDel="00000000" w:rsidR="00000000" w:rsidRPr="00000000">
        <w:rPr>
          <w:rFonts w:ascii="Arial" w:cs="Arial" w:eastAsia="Arial" w:hAnsi="Arial"/>
          <w:b w:val="1"/>
          <w:rtl w:val="0"/>
        </w:rPr>
        <w:t xml:space="preserve">DOTACIÓN</w:t>
      </w:r>
      <w:r w:rsidDel="00000000" w:rsidR="00000000" w:rsidRPr="00000000">
        <w:rPr>
          <w:rtl w:val="0"/>
        </w:rPr>
      </w:r>
    </w:p>
    <w:p w:rsidR="00000000" w:rsidDel="00000000" w:rsidP="00000000" w:rsidRDefault="00000000" w:rsidRPr="00000000" w14:paraId="0000002D">
      <w:pPr>
        <w:spacing w:after="0" w:line="240" w:lineRule="auto"/>
        <w:ind w:left="0" w:firstLine="0"/>
        <w:rPr>
          <w:rFonts w:ascii="Arial" w:cs="Arial" w:eastAsia="Arial" w:hAnsi="Arial"/>
          <w:b w:val="1"/>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rPr>
      </w:pPr>
      <w:r w:rsidDel="00000000" w:rsidR="00000000" w:rsidRPr="00000000">
        <w:rPr>
          <w:rFonts w:ascii="Arial" w:cs="Arial" w:eastAsia="Arial" w:hAnsi="Arial"/>
          <w:rtl w:val="0"/>
        </w:rPr>
        <w:t xml:space="preserve">Guantes, bata, tapabocas</w:t>
      </w:r>
    </w:p>
    <w:p w:rsidR="00000000" w:rsidDel="00000000" w:rsidP="00000000" w:rsidRDefault="00000000" w:rsidRPr="00000000" w14:paraId="0000002F">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30">
      <w:pPr>
        <w:numPr>
          <w:ilvl w:val="0"/>
          <w:numId w:val="3"/>
        </w:numPr>
        <w:spacing w:after="0" w:line="240" w:lineRule="auto"/>
        <w:ind w:left="720" w:hanging="360"/>
        <w:rPr/>
      </w:pPr>
      <w:r w:rsidDel="00000000" w:rsidR="00000000" w:rsidRPr="00000000">
        <w:rPr>
          <w:rFonts w:ascii="Arial" w:cs="Arial" w:eastAsia="Arial" w:hAnsi="Arial"/>
          <w:b w:val="1"/>
          <w:rtl w:val="0"/>
        </w:rPr>
        <w:t xml:space="preserve">DISPOSITIVOS MÉDICOS E INSUMOS</w:t>
      </w:r>
      <w:r w:rsidDel="00000000" w:rsidR="00000000" w:rsidRPr="00000000">
        <w:rPr>
          <w:rtl w:val="0"/>
        </w:rPr>
      </w:r>
    </w:p>
    <w:p w:rsidR="00000000" w:rsidDel="00000000" w:rsidP="00000000" w:rsidRDefault="00000000" w:rsidRPr="00000000" w14:paraId="00000031">
      <w:pPr>
        <w:spacing w:after="0" w:line="240" w:lineRule="auto"/>
        <w:rPr>
          <w:rFonts w:ascii="Arial" w:cs="Arial" w:eastAsia="Arial" w:hAnsi="Arial"/>
          <w:b w:val="1"/>
          <w:highlight w:val="yellow"/>
        </w:rPr>
      </w:pPr>
      <w:r w:rsidDel="00000000" w:rsidR="00000000" w:rsidRPr="00000000">
        <w:rPr>
          <w:rtl w:val="0"/>
        </w:rPr>
      </w:r>
    </w:p>
    <w:p w:rsidR="00000000" w:rsidDel="00000000" w:rsidP="00000000" w:rsidRDefault="00000000" w:rsidRPr="00000000" w14:paraId="00000032">
      <w:pPr>
        <w:spacing w:after="0" w:line="240" w:lineRule="auto"/>
        <w:rPr>
          <w:rFonts w:ascii="Arial" w:cs="Arial" w:eastAsia="Arial" w:hAnsi="Arial"/>
        </w:rPr>
      </w:pPr>
      <w:r w:rsidDel="00000000" w:rsidR="00000000" w:rsidRPr="00000000">
        <w:rPr>
          <w:rFonts w:ascii="Arial" w:cs="Arial" w:eastAsia="Arial" w:hAnsi="Arial"/>
          <w:rtl w:val="0"/>
        </w:rPr>
        <w:t xml:space="preserve">Equipo de organos</w:t>
      </w:r>
    </w:p>
    <w:p w:rsidR="00000000" w:rsidDel="00000000" w:rsidP="00000000" w:rsidRDefault="00000000" w:rsidRPr="00000000" w14:paraId="00000033">
      <w:pPr>
        <w:spacing w:after="0" w:line="240" w:lineRule="auto"/>
        <w:rPr>
          <w:rFonts w:ascii="Arial" w:cs="Arial" w:eastAsia="Arial" w:hAnsi="Arial"/>
        </w:rPr>
      </w:pPr>
      <w:r w:rsidDel="00000000" w:rsidR="00000000" w:rsidRPr="00000000">
        <w:rPr>
          <w:rFonts w:ascii="Arial" w:cs="Arial" w:eastAsia="Arial" w:hAnsi="Arial"/>
          <w:rtl w:val="0"/>
        </w:rPr>
        <w:t xml:space="preserve">Tensiometro</w:t>
      </w:r>
    </w:p>
    <w:p w:rsidR="00000000" w:rsidDel="00000000" w:rsidP="00000000" w:rsidRDefault="00000000" w:rsidRPr="00000000" w14:paraId="00000034">
      <w:pPr>
        <w:spacing w:after="0" w:line="240" w:lineRule="auto"/>
        <w:rPr>
          <w:rFonts w:ascii="Arial" w:cs="Arial" w:eastAsia="Arial" w:hAnsi="Arial"/>
        </w:rPr>
      </w:pPr>
      <w:r w:rsidDel="00000000" w:rsidR="00000000" w:rsidRPr="00000000">
        <w:rPr>
          <w:rFonts w:ascii="Arial" w:cs="Arial" w:eastAsia="Arial" w:hAnsi="Arial"/>
          <w:rtl w:val="0"/>
        </w:rPr>
        <w:t xml:space="preserve">Fonendoscopio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rtl w:val="0"/>
        </w:rPr>
        <w:t xml:space="preserve">ENFOQUE DIFERENCIAL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Descrito en el documento de enfoque diferencial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rtl w:val="0"/>
        </w:rPr>
        <w:t xml:space="preserve">GENERALIDADES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Fonts w:ascii="Arial" w:cs="Arial" w:eastAsia="Arial" w:hAnsi="Arial"/>
          <w:b w:val="1"/>
          <w:rtl w:val="0"/>
        </w:rPr>
        <w:t xml:space="preserve">11.1. DEFINICIÓN (1)</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El cáncer diferenciado de tiroides (CDT) se origina del epitelio folicular tiroideo, por alteraciones en el control de proliferación del tirocito. Se reconocen 2 tipos histológicos principales, el carcinoma papilar y el carcinoma folicular, que en conjunto constituyen más del 90% de los cánceres tiroideos. Se consideran como cánceres diferenciados, al ser posible reconocer en muchos casos algunas características histológicas y funcionales similares al tejido tiroideo normal (patrón folicular, captación de yodo, respuesta a supresión de TSH). Otros tipos histológicos de mucha menor frecuencia (no incluidos en esta Guía Clínica) son el carcinoma medular, el anaplástico y el linfoma tiroideo. La glándula también puede ser excepcionalmente afectada por metástasis a distancia de otras neoplasias malignas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Fonts w:ascii="Arial" w:cs="Arial" w:eastAsia="Arial" w:hAnsi="Arial"/>
          <w:b w:val="1"/>
          <w:rtl w:val="0"/>
        </w:rPr>
        <w:t xml:space="preserve">11.2. EPIDEMIOLOGIA (1)</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Fonts w:ascii="Arial" w:cs="Arial" w:eastAsia="Arial" w:hAnsi="Arial"/>
          <w:rtl w:val="0"/>
        </w:rPr>
        <w:t xml:space="preserve">Los datos para describir la epidemiología de neoplasias tiroideas se han obtenido de las siguientes fuentes: (ANEXO Nº1).  Estudios de necropsias: Hay 3 modalidades: - Revisión de necropsias sin restricción de sujetos. - Revisión de necropsias con exclusión de historia clínica previa. - Estudio dirigida a una neoplasia. Permiten estimar la frecuencia relativa. Es posible estimar prevalencia e incidencia si se conoce el denominador (Población de interés). La muestra se extrae de una población distinta a la población de interés. No discrimina la relevancia clínica de la neoplasia.  Estudios con registros de neoplasias - Sólo son posibles con buenos registros (SEER, Registro Sueco de Neoplasias) . - Suelen estar sub-representadas las neoplasias benignas (Falta de obligación legal de reporte). - Permiten estimar la frecuencia relativa. - Es posible estimar prevalencia e incidencia si se conoce el denominador (Población de interés).  Series de casos y proyección a la población - Son la fuente de datos más frecuente en la literatura. - Presentan múltiples sesgos. - Las estimaciones pueden aceptarse en la medida que el centro de derivación tenga una población bajo cobertura.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rtl w:val="0"/>
        </w:rPr>
        <w:t xml:space="preserve">RECOMENDACIONES (2)</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b w:val="1"/>
        </w:rPr>
      </w:pPr>
      <w:r w:rsidDel="00000000" w:rsidR="00000000" w:rsidRPr="00000000">
        <w:rPr>
          <w:rtl w:val="0"/>
        </w:rPr>
      </w:r>
    </w:p>
    <w:p w:rsidR="00000000" w:rsidDel="00000000" w:rsidP="00000000" w:rsidRDefault="00000000" w:rsidRPr="00000000" w14:paraId="00000048">
      <w:pPr>
        <w:widowControl w:val="0"/>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Se recomienda el consumo dietético suficiente de yodo 150 mcg/día y asimismo, seguir las recomendaciones del Instituto Nacional de Medicina Nuclear para la protección radiológica y considerar la norma oficial mexicana de la Comisión Nacional de Seguridad Nuclear y Salvaguardias para la Protección Radiológica En caso de haber sido expuesto a radiaciones deberá mantener vigilancia estrecha. </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Se recomienda que la descripción histopatológica se base en las guías de la OMS. Tomar en cuenta las variantes agresivas en el tratamiento y seguimiento de los pacientes.  </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Seguir la clasificación TNM 6ª edición para estadificar y homologar la información. </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Es necesario estadificar a los pacientes de acuerdo a la clasificación TNM. </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Sí en la exploración física de cuello se identifica por palpación nódulo tiroideo se realiza el protocolo del mismo. En caso de identificar adenopatías duras, y alguna característica más como estar fija, de bordes mal definidos, de crecimiento lento sin reducción de las misma se realice protocolo de estudio para las adenopatías y la búsqueda intencionada por clínica y/o ultrasonido de nódulo tiroideo. </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Se recomienda vigilar la evolución con ultrasonido en 6 a 12 meses del nódulo y en caso de crecimiento o aparición de alguna característica de sospecha se debe referir para biopsia. </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Se recomienda que el estudio de estos casos lo realice el especialista en el área.  </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Se recomienda solicitar perfil tiroideo a todos los pacientes con nódulo tiroideo (TSH y hormonas tiroideas). </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Realizar ultrasonido de tiroides en los pacientes con nódulo tiroideo palpable y no realizarlo como prueba de escrutinio en la población. El USC debe ser realizado por radiólogo con experiencia, con equipo de alta resolución. </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El radiólogo debe observar y reportar la presencia o ausencia de estas características en los nódulos estudiados.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Realizar biopsia fina por aspiración y envío a patólogo con experiencia en tiroides. </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En caso de resultado positivo ó sospechoso a malignidad enviar a cirugía de cabeza y cuello y/o oncológica para tratamiento. </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En caso de no contar con suficiente material repetir la biopsia. En caso de no poder determinarse la malignidad con la biopsia, valorar las características clínicas, ultrasonográficas y/o gammagráficas del tiroides para determinar envío a cirugía. </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Explicar al paciente este riesgo y tomar la decisión además de este reporte con las características clínicas y paraclínicas necesarias.  </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Mantener vigilancia por médicos de primer y segundo nivel. En caso de crecimiento o datos de sospecha enviar nuevamente al especialista.</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Realizar ultrasonido de cuello para identificar lesiones más sospechosas y dirigir el procedimiento de biopsia. </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Enviar al especialista para determinar el manejo de este nódulo.  </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Realizar perfil tiroideo y ultrasonido de tiroides y envió al especialista. </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Es recomendable vigilar clínica y por ultrasonido la progresión del nódulo tiroideo positivo ó sospechoso y la decisión quirúrgica debe ser tomada por el equipo multidisciplinario. </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Es recomendable que el procedimiento quirúrgico sea realizado por cirujanos expertos en cuello (Cirujanos oncólogos, Cirujanos de cabeza y cuello). </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Sólo se recomiendan en tumores grandes sospechosos de invasión a estructuras centrales de cuello o mediastino. Se recomienda no realizar estudios con material de contraste yodado.</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La medición preoperatoria de tiroglobulina no es recomendada.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Se recomienda ligar el pedículo vascular a menos de 1 cm del borde del polo superior de la glándula.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Se recomienda revisar la pieza quirúrgica en búsqueda de glándulas paratiroides, si éstas se identifican deben de ser reimplantadas en el músculo de preferencia fuera del área cervical por la posibilidad de radioterapia a esta zona.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Se recomienda realizar estudios de extensión endoscópicos y de imagen para planeación quirúrgica en pacientes con enfermedad avanzada. </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El calcio en infusión debe ser diluido en solución glucosada, nunca en fisiológica y se suspenderá hasta haber logrado niveles normales con la vía oral, y se mantendrá por espacio de un mes y posterior a él se intentará la suspensión, de no lograrse se podrá intentar nuevo destete en los siguientes 6 meses a la cirugía y de no lograrse deberá ser administrado indefinidamente. </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Los pacientes deben ser referidos después de la cirugía a tratamiento con dosis ablativa de radioyodo 131. </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Se puede dar dieta baja en yodo pero debe vigilarse los efectos secundarios de la misma. </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Es recomendable evitar la exposición de un paciente el cual va a recibir una dosis ablativa/terapéutica o estudios con radioyodo 131 a sustancias yodadas como los medios de contraste o medicamentos con alto contenido de yodo como la amiodarona, antisépticos yodados, yodohidroxiquinoleína, etc. </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Se recomienda la ablación a todos los pacientes con tiroidectomía total o casi total y vigilancia aún en microcarcinomas. Así como en aquellos con actividad tumoral macroscópica que no puede ser reseca por cirugía. </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Realizar previo a la ablación determinación de TSH. </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En casos muy seleccionados por el equipo multidisciplinario podrá utilizarse la rhTSH para la realización de la ablación y el rastreo con radioyodo 131. </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Utilizar las dosis ablativas/terapéuticas recomendadas para la administración de radioyodo 131.</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Realizar el rastreo posterior a la ablación del tejido tiroideo, no se recomienda realizar rastreo pre dosis para evitar el “aturdimiento” del tejido tiroideo residual. </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Tomar suficiente líquidos, evitar exposición a alimentos sólidos, se pueden utilizar antiinflamatorios no esteroides y antieméticos. Dejar intervalos de 6 a 18 idealmente 12 meses de requerirse para la aplicación de una siguiente dosis.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La supresión inicial de TSH por debajo de 0.1 mU/L es recomendada para pacientes con cáncer de tiroides de alto riesgo mientras mantengan niveles por debajo del límite normal (0.1 a 0.5 mU/L).  </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Dosificar y evitar llegar a dosis máximas que pongan en riesgo de esta comorbilidad. Evitar el embarazo dentro del año posterior a la aplicación del radioyodo131. </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Verificar el no embarazo para la aplicación del radioyodo en mujer fértil. </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Apegarse a la norma oficial para el uso del material radiactivo, trato y seguimiento de los pacientes </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Se debe planear cuidadosamente con el uso de planos conformacionales tridimensionales y siguiendo la normatividad radiológica. </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Considerar el uso de la cirugía radioguiada para el control local de la metástasis cerebral.</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No hay evidencia de beneficios con quimioterapia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La dosis promedio de levotiroxina es de 150 a 200 mcg/día; pero esto debe ajustar en base al objetivo terapéutico de supresión de TSH. Puede iniciarse gradualmente con dosis de 25 mcg e incremento cada 2 a 3 semanas en especial en pacientes con alto riesgo cardiovascular o ancianos.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Realizar y ajustar periódicamente en base al objetivo terapéutico.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Vigilar y mantener niveles de TSH de acuerdo con el grupo de riesgo y evolución de los pacientes.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Tener especial cuidado en estos pacientes al suprimir TSH.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Tener especial cuidado en estos pacientes al suprimir TSH.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Realizar la determinación de dichos marcadores en el seguimiento de los pacientes.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Buscar ablación del tejido tiroideo residual.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En pacientes con niveles de Tg entre 1 y 2 ng/dL bajo supresión de TSH, se debe investigar actividad tumoral. En pacientes de bajo riesgo con niveles de Tg &lt;1ng/dL bajo supresión de TSH solo con USC sospechoso de micro metástasis ganglionar y tener entre 9 a 12 meses de seguimiento valorar el beneficio de una prueba de estimulación ya que solo beneficiaría al 6% de la población.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Hacer USG en casos sospechosos.  </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Llevar el registro de los niveles de Tg y valorar en cada consulta su comportamiento. </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El antecedente de enfermedad tiroidea autoinmune (Hashimoto o Graves) se asocia con títulos más elevados de AcTg. Los pacientes con remisión de la enfermedad tienen un descenso en los niveles de AcTg de hasta el 73.1% en un lapso de 28± 12 meses. Los pacientes que mantienen AcTg después de 2 años, incrementan o cambian de negativo a positivo tienen mayor riesgo de actividad tumoral. </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El antecedente de enfermedad tiroidea autoinmune (Hashimoto o Graves) se asocia con títulos más elevados de AcTg. Los pacientes con remisión de la enfermedad tienen un descenso en los niveles de AcTg de hasta el 73.1% en un lapso de 28± 12 meses. Los pacientes que mantienen AcTg después de 2 años, incrementan o cambian de negativo a positivo tienen mayor riesgo de actividad tumoral. </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Realizar en los primeros 6 a 12 meses y después cada año en los primeros 3 a 5 años dependiendo del grupo de riesgo y evolución del paciente. Realizar biopsia y determinación de Tg en la muestra del ganglio ó tejido estudiado. </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Solo realizar en el seguimiento ante elevación de la Tg, persistencia de AcTg o masas sospechosas no resecables. La dosis recomendada es de 2 a 6 mCi.</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Realizar estos estudios de imagen en caso de sospecha de actividad tumoral por elevación de Tg con rastreo negativo. </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En estos casos se puede realizar rastreo posterior a la administración de dosis terapéuticas (100 mCi) de yodo radiactivo entre los 3 a 10 días siguientes. </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Envío en forma oportuna para el tratamiento de la recurrencia. Se debe ofrecer tratamiento quirúrgico en todos los casos posibles y terapia adyuvante con radioyodo y/o radioterapia externa de no haberla recibido como tratamiento primario.</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Envío en forma oportuna para el tratamiento de la recurrencia. Se debe ofrecer tratamiento quirúrgico en todos los casos posibles y terapia adyuvante con radioyodo y/o radioterapia externa de no haberla recibido como tratamiento primario.</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Ofrecer medidas paliativas de acuerdo a cada caso</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Se recomienda exploración física de cuello, medición de Tg, USC anual, PFT, medición de calcio sérico en aquellos casos de hipoparatiroidismo postquirúrgico. </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Se recomienda que si en el hospital de segundo nivel no se cuenta con la experiencia para realizar reintervenciones o tiroidectomía total como cirugía inicial se envía directamente a tercer nivel con dicha justificación.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Arial" w:cs="Arial" w:eastAsia="Arial" w:hAnsi="Arial"/>
          <w:b w:val="1"/>
          <w:rtl w:val="0"/>
        </w:rPr>
        <w:t xml:space="preserve">BIBLIOGRAFÍA</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rPr>
      </w:pPr>
      <w:r w:rsidDel="00000000" w:rsidR="00000000" w:rsidRPr="00000000">
        <w:rPr>
          <w:rtl w:val="0"/>
        </w:rPr>
      </w:r>
    </w:p>
    <w:p w:rsidR="00000000" w:rsidDel="00000000" w:rsidP="00000000" w:rsidRDefault="00000000" w:rsidRPr="00000000" w14:paraId="00000093">
      <w:pPr>
        <w:numPr>
          <w:ilvl w:val="0"/>
          <w:numId w:val="2"/>
        </w:numPr>
        <w:spacing w:after="0" w:afterAutospacing="0" w:line="240" w:lineRule="auto"/>
        <w:ind w:left="1440" w:hanging="360"/>
        <w:jc w:val="both"/>
        <w:rPr>
          <w:rFonts w:ascii="Arial" w:cs="Arial" w:eastAsia="Arial" w:hAnsi="Arial"/>
        </w:rPr>
      </w:pPr>
      <w:r w:rsidDel="00000000" w:rsidR="00000000" w:rsidRPr="00000000">
        <w:rPr>
          <w:rFonts w:ascii="Arial" w:cs="Arial" w:eastAsia="Arial" w:hAnsi="Arial"/>
          <w:color w:val="222222"/>
          <w:highlight w:val="white"/>
          <w:rtl w:val="0"/>
        </w:rPr>
        <w:t xml:space="preserve">Ministerio de Salud. Guía Clínica Nódulo Tiroideo y cáncer diferenciado de Tiroides. Santiago, Minsal, 2013.</w:t>
      </w:r>
    </w:p>
    <w:p w:rsidR="00000000" w:rsidDel="00000000" w:rsidP="00000000" w:rsidRDefault="00000000" w:rsidRPr="00000000" w14:paraId="00000094">
      <w:pPr>
        <w:numPr>
          <w:ilvl w:val="0"/>
          <w:numId w:val="2"/>
        </w:numPr>
        <w:spacing w:after="0" w:afterAutospacing="0" w:line="240" w:lineRule="auto"/>
        <w:ind w:left="1440" w:hanging="360"/>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Guía de Práctica Clínica, Diagnóstico y Tratamiento del Tumor Maligno de Tiroides, México: Instituto Mexicano del Seguro Social; CENETEC, 2009.  </w:t>
      </w:r>
    </w:p>
    <w:p w:rsidR="00000000" w:rsidDel="00000000" w:rsidP="00000000" w:rsidRDefault="00000000" w:rsidRPr="00000000" w14:paraId="00000095">
      <w:pPr>
        <w:numPr>
          <w:ilvl w:val="0"/>
          <w:numId w:val="2"/>
        </w:numPr>
        <w:spacing w:after="0" w:afterAutospacing="0" w:line="240" w:lineRule="auto"/>
        <w:ind w:left="1440" w:hanging="360"/>
        <w:jc w:val="both"/>
        <w:rPr>
          <w:rFonts w:ascii="Arial" w:cs="Arial" w:eastAsia="Arial" w:hAnsi="Arial"/>
        </w:rPr>
      </w:pPr>
      <w:r w:rsidDel="00000000" w:rsidR="00000000" w:rsidRPr="00000000">
        <w:rPr>
          <w:rFonts w:ascii="Arial" w:cs="Arial" w:eastAsia="Arial" w:hAnsi="Arial"/>
          <w:color w:val="222222"/>
          <w:highlight w:val="white"/>
          <w:rtl w:val="0"/>
        </w:rPr>
        <w:t xml:space="preserve">Granados-García, Martín, Gallegos-Hernández, Francisco, Quintero-Rodríguez, Carlos Eduardo, Gurrola-Machuca, Héctor, Acuña-Tovar, Manuel, Pacheco-Bravo, Irlanda, Flores-Hernández, Lorena, Cano-Valdez, Ana María, Maldonado-Magos, Federico, Villavicencio-Queijeiro, Michelle Aline, García-Pérez, Francisco Osvaldo, Medina-Ornelas, Sebastián Salvador, Cruz-López, Juan Carlos, Serrano-Arévalo, Mónica Lizzette, Faridi-Villegas González, Lidia, Gómez-Pedraza, Antonio, Abrego-Vásquez, José Alberto, Guadarrama-Orozco, Jorge Alberto, Rivera Rivera, Samuel, Mayorga-Butrón, José Luis, &amp; </w:t>
      </w:r>
    </w:p>
    <w:p w:rsidR="00000000" w:rsidDel="00000000" w:rsidP="00000000" w:rsidRDefault="00000000" w:rsidRPr="00000000" w14:paraId="00000096">
      <w:pPr>
        <w:numPr>
          <w:ilvl w:val="0"/>
          <w:numId w:val="2"/>
        </w:numPr>
        <w:spacing w:after="0" w:afterAutospacing="0" w:line="240" w:lineRule="auto"/>
        <w:ind w:left="1440" w:hanging="360"/>
        <w:jc w:val="both"/>
        <w:rPr>
          <w:rFonts w:ascii="Arial" w:cs="Arial" w:eastAsia="Arial" w:hAnsi="Arial"/>
        </w:rPr>
      </w:pPr>
      <w:r w:rsidDel="00000000" w:rsidR="00000000" w:rsidRPr="00000000">
        <w:rPr>
          <w:rFonts w:ascii="Arial" w:cs="Arial" w:eastAsia="Arial" w:hAnsi="Arial"/>
          <w:color w:val="666666"/>
          <w:highlight w:val="white"/>
          <w:rtl w:val="0"/>
        </w:rPr>
        <w:t xml:space="preserve">Elizondo CA. Histopatología del cáncer de tiroides. Rev Med Cos Cen. 2014;71(610):253-258.</w:t>
      </w:r>
    </w:p>
    <w:p w:rsidR="00000000" w:rsidDel="00000000" w:rsidP="00000000" w:rsidRDefault="00000000" w:rsidRPr="00000000" w14:paraId="00000097">
      <w:pPr>
        <w:numPr>
          <w:ilvl w:val="0"/>
          <w:numId w:val="2"/>
        </w:numPr>
        <w:spacing w:after="0" w:afterAutospacing="0" w:line="240" w:lineRule="auto"/>
        <w:ind w:left="1440" w:hanging="360"/>
        <w:jc w:val="both"/>
        <w:rPr>
          <w:rFonts w:ascii="Arial" w:cs="Arial" w:eastAsia="Arial" w:hAnsi="Arial"/>
        </w:rPr>
      </w:pPr>
      <w:r w:rsidDel="00000000" w:rsidR="00000000" w:rsidRPr="00000000">
        <w:rPr>
          <w:rFonts w:ascii="Arial" w:cs="Arial" w:eastAsia="Arial" w:hAnsi="Arial"/>
          <w:color w:val="222222"/>
          <w:highlight w:val="white"/>
          <w:rtl w:val="0"/>
        </w:rPr>
        <w:t xml:space="preserve">Ochoa Carrillo, Francisco Javier. (2019). Guía de práctica clínica para el diagnóstico y tratamiento del nódulo tiroideo y el carcinoma diferenciado de tiroides. </w:t>
      </w:r>
      <w:r w:rsidDel="00000000" w:rsidR="00000000" w:rsidRPr="00000000">
        <w:rPr>
          <w:rFonts w:ascii="Arial" w:cs="Arial" w:eastAsia="Arial" w:hAnsi="Arial"/>
          <w:i w:val="1"/>
          <w:color w:val="222222"/>
          <w:highlight w:val="white"/>
          <w:rtl w:val="0"/>
        </w:rPr>
        <w:t xml:space="preserve">Gaceta mexicana de oncología</w:t>
      </w:r>
      <w:r w:rsidDel="00000000" w:rsidR="00000000" w:rsidRPr="00000000">
        <w:rPr>
          <w:rFonts w:ascii="Arial" w:cs="Arial" w:eastAsia="Arial" w:hAnsi="Arial"/>
          <w:color w:val="222222"/>
          <w:highlight w:val="white"/>
          <w:rtl w:val="0"/>
        </w:rPr>
        <w:t xml:space="preserve">, </w:t>
      </w:r>
      <w:r w:rsidDel="00000000" w:rsidR="00000000" w:rsidRPr="00000000">
        <w:rPr>
          <w:rFonts w:ascii="Arial" w:cs="Arial" w:eastAsia="Arial" w:hAnsi="Arial"/>
          <w:i w:val="1"/>
          <w:color w:val="222222"/>
          <w:highlight w:val="white"/>
          <w:rtl w:val="0"/>
        </w:rPr>
        <w:t xml:space="preserve">18</w:t>
      </w:r>
      <w:r w:rsidDel="00000000" w:rsidR="00000000" w:rsidRPr="00000000">
        <w:rPr>
          <w:rFonts w:ascii="Arial" w:cs="Arial" w:eastAsia="Arial" w:hAnsi="Arial"/>
          <w:color w:val="222222"/>
          <w:highlight w:val="white"/>
          <w:rtl w:val="0"/>
        </w:rPr>
        <w:t xml:space="preserve">(2), 53-101. Epub 09 de mayo de 2022.</w:t>
      </w:r>
      <w:hyperlink r:id="rId7">
        <w:r w:rsidDel="00000000" w:rsidR="00000000" w:rsidRPr="00000000">
          <w:rPr>
            <w:rFonts w:ascii="Arial" w:cs="Arial" w:eastAsia="Arial" w:hAnsi="Arial"/>
            <w:color w:val="555555"/>
            <w:highlight w:val="white"/>
            <w:rtl w:val="0"/>
          </w:rPr>
          <w:t xml:space="preserve">https://doi.org/10.24875/j.gamo.m19000165</w:t>
        </w:r>
      </w:hyperlink>
      <w:r w:rsidDel="00000000" w:rsidR="00000000" w:rsidRPr="00000000">
        <w:rPr>
          <w:rtl w:val="0"/>
        </w:rPr>
      </w:r>
    </w:p>
    <w:p w:rsidR="00000000" w:rsidDel="00000000" w:rsidP="00000000" w:rsidRDefault="00000000" w:rsidRPr="00000000" w14:paraId="00000098">
      <w:pPr>
        <w:numPr>
          <w:ilvl w:val="0"/>
          <w:numId w:val="2"/>
        </w:numPr>
        <w:spacing w:after="0" w:afterAutospacing="0" w:line="240" w:lineRule="auto"/>
        <w:ind w:left="1440" w:hanging="360"/>
        <w:jc w:val="both"/>
        <w:rPr>
          <w:rFonts w:ascii="Arial" w:cs="Arial" w:eastAsia="Arial" w:hAnsi="Arial"/>
        </w:rPr>
      </w:pPr>
      <w:r w:rsidDel="00000000" w:rsidR="00000000" w:rsidRPr="00000000">
        <w:rPr>
          <w:rFonts w:ascii="Arial" w:cs="Arial" w:eastAsia="Arial" w:hAnsi="Arial"/>
          <w:color w:val="222222"/>
          <w:highlight w:val="white"/>
          <w:rtl w:val="0"/>
        </w:rPr>
        <w:t xml:space="preserve">Rodríguez Grimán, Oscar. (2001). Cáncer del tiroides. </w:t>
      </w:r>
      <w:r w:rsidDel="00000000" w:rsidR="00000000" w:rsidRPr="00000000">
        <w:rPr>
          <w:rFonts w:ascii="Arial" w:cs="Arial" w:eastAsia="Arial" w:hAnsi="Arial"/>
          <w:i w:val="1"/>
          <w:color w:val="222222"/>
          <w:highlight w:val="white"/>
          <w:rtl w:val="0"/>
        </w:rPr>
        <w:t xml:space="preserve">Gaceta Médica de Caracas</w:t>
      </w:r>
      <w:r w:rsidDel="00000000" w:rsidR="00000000" w:rsidRPr="00000000">
        <w:rPr>
          <w:rFonts w:ascii="Arial" w:cs="Arial" w:eastAsia="Arial" w:hAnsi="Arial"/>
          <w:color w:val="222222"/>
          <w:highlight w:val="white"/>
          <w:rtl w:val="0"/>
        </w:rPr>
        <w:t xml:space="preserve">, </w:t>
      </w:r>
      <w:r w:rsidDel="00000000" w:rsidR="00000000" w:rsidRPr="00000000">
        <w:rPr>
          <w:rFonts w:ascii="Arial" w:cs="Arial" w:eastAsia="Arial" w:hAnsi="Arial"/>
          <w:i w:val="1"/>
          <w:color w:val="222222"/>
          <w:highlight w:val="white"/>
          <w:rtl w:val="0"/>
        </w:rPr>
        <w:t xml:space="preserve">109</w:t>
      </w:r>
      <w:r w:rsidDel="00000000" w:rsidR="00000000" w:rsidRPr="00000000">
        <w:rPr>
          <w:rFonts w:ascii="Arial" w:cs="Arial" w:eastAsia="Arial" w:hAnsi="Arial"/>
          <w:color w:val="222222"/>
          <w:highlight w:val="white"/>
          <w:rtl w:val="0"/>
        </w:rPr>
        <w:t xml:space="preserve">(4), 468-487. Recuperado en 17 de agosto de 2023, de http://ve.scielo.org/scielo.php?script=sci_arttext&amp;pid=S0367-47622001000400003&amp;lng=es&amp;tlng=es.</w:t>
      </w:r>
    </w:p>
    <w:p w:rsidR="00000000" w:rsidDel="00000000" w:rsidP="00000000" w:rsidRDefault="00000000" w:rsidRPr="00000000" w14:paraId="00000099">
      <w:pPr>
        <w:numPr>
          <w:ilvl w:val="0"/>
          <w:numId w:val="2"/>
        </w:numPr>
        <w:spacing w:after="300" w:line="240" w:lineRule="auto"/>
        <w:ind w:left="1440" w:hanging="360"/>
        <w:jc w:val="both"/>
        <w:rPr>
          <w:rFonts w:ascii="Arial" w:cs="Arial" w:eastAsia="Arial" w:hAnsi="Arial"/>
        </w:rPr>
      </w:pPr>
      <w:r w:rsidDel="00000000" w:rsidR="00000000" w:rsidRPr="00000000">
        <w:rPr>
          <w:rFonts w:ascii="Arial" w:cs="Arial" w:eastAsia="Arial" w:hAnsi="Arial"/>
          <w:color w:val="222222"/>
          <w:highlight w:val="white"/>
          <w:rtl w:val="0"/>
        </w:rPr>
        <w:t xml:space="preserve">Juan José Díez, Amelia Oleaga, Cristina Álvarez-Escolá, Tomás Martín, Juan Carlos Galofré, Guía clínica para el manejo de pacientes con carcinoma diferenciado de tiroides de bajo riesgo, Endocrinología y Nutrición, Volume 62, Issue 6, 2015, Pages e57-e72, ISSN 1575-0922, </w:t>
      </w:r>
      <w:hyperlink r:id="rId8">
        <w:r w:rsidDel="00000000" w:rsidR="00000000" w:rsidRPr="00000000">
          <w:rPr>
            <w:rFonts w:ascii="Arial" w:cs="Arial" w:eastAsia="Arial" w:hAnsi="Arial"/>
            <w:color w:val="1155cc"/>
            <w:highlight w:val="white"/>
            <w:u w:val="single"/>
            <w:rtl w:val="0"/>
          </w:rPr>
          <w:t xml:space="preserve">https://doi.org/10.1016/j.endonu.2015.02.006</w:t>
        </w:r>
      </w:hyperlink>
      <w:r w:rsidDel="00000000" w:rsidR="00000000" w:rsidRPr="00000000">
        <w:rPr>
          <w:rFonts w:ascii="Arial" w:cs="Arial" w:eastAsia="Arial" w:hAnsi="Arial"/>
          <w:color w:val="222222"/>
          <w:highlight w:val="white"/>
          <w:rtl w:val="0"/>
        </w:rPr>
        <w:t xml:space="preserve">. (https://www.sciencedirect.com/science/article/pii/S1575092215000765)</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rial" w:cs="Arial" w:eastAsia="Arial" w:hAnsi="Arial"/>
          <w:highlight w:val="white"/>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highlight w:val="white"/>
        <w:u w:val="none"/>
        <w:vertAlign w:val="baseline"/>
      </w:rPr>
    </w:pPr>
    <w:r w:rsidDel="00000000" w:rsidR="00000000" w:rsidRPr="00000000">
      <w:rPr>
        <w:rtl w:val="0"/>
      </w:rPr>
    </w:r>
  </w:p>
  <w:tbl>
    <w:tblPr>
      <w:tblStyle w:val="Table1"/>
      <w:tblW w:w="8895.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60"/>
      <w:gridCol w:w="3210"/>
      <w:gridCol w:w="2025"/>
      <w:tblGridChange w:id="0">
        <w:tblGrid>
          <w:gridCol w:w="3660"/>
          <w:gridCol w:w="3210"/>
          <w:gridCol w:w="2025"/>
        </w:tblGrid>
      </w:tblGridChange>
    </w:tblGrid>
    <w:tr>
      <w:trPr>
        <w:cantSplit w:val="0"/>
        <w:tblHeader w:val="0"/>
      </w:trPr>
      <w:tc>
        <w:tcPr/>
        <w:p w:rsidR="00000000" w:rsidDel="00000000" w:rsidP="00000000" w:rsidRDefault="00000000" w:rsidRPr="00000000" w14:paraId="0000009D">
          <w:pPr>
            <w:tabs>
              <w:tab w:val="center" w:leader="none" w:pos="4419"/>
              <w:tab w:val="right" w:leader="none" w:pos="8838"/>
            </w:tabs>
            <w:rPr>
              <w:b w:val="1"/>
              <w:sz w:val="22"/>
              <w:szCs w:val="22"/>
            </w:rPr>
          </w:pPr>
          <w:r w:rsidDel="00000000" w:rsidR="00000000" w:rsidRPr="00000000">
            <w:rPr/>
            <w:drawing>
              <wp:inline distB="114300" distT="114300" distL="114300" distR="114300">
                <wp:extent cx="2078610" cy="722995"/>
                <wp:effectExtent b="0" l="0" r="0" t="0"/>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78610" cy="72299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GUÍA</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DE PRÁCTICA CLÍNICA </w:t>
          </w:r>
          <w:r w:rsidDel="00000000" w:rsidR="00000000" w:rsidRPr="00000000">
            <w:rPr>
              <w:rFonts w:ascii="Arial" w:cs="Arial" w:eastAsia="Arial" w:hAnsi="Arial"/>
              <w:b w:val="1"/>
              <w:sz w:val="22"/>
              <w:szCs w:val="22"/>
              <w:rtl w:val="0"/>
            </w:rPr>
            <w:t xml:space="preserve">PARA CANCER DE TIROIDES</w:t>
          </w:r>
          <w:r w:rsidDel="00000000" w:rsidR="00000000" w:rsidRPr="00000000">
            <w:rPr>
              <w:rtl w:val="0"/>
            </w:rPr>
          </w:r>
        </w:p>
      </w:tc>
      <w:tc>
        <w:tcPr/>
        <w:p w:rsidR="00000000" w:rsidDel="00000000" w:rsidP="00000000" w:rsidRDefault="00000000" w:rsidRPr="00000000" w14:paraId="000000A0">
          <w:pPr>
            <w:tabs>
              <w:tab w:val="center" w:leader="none" w:pos="4419"/>
              <w:tab w:val="right" w:leader="none" w:pos="8838"/>
            </w:tabs>
            <w:rPr>
              <w:rFonts w:ascii="Arial" w:cs="Arial" w:eastAsia="Arial" w:hAnsi="Arial"/>
              <w:sz w:val="20"/>
              <w:szCs w:val="20"/>
            </w:rPr>
          </w:pPr>
          <w:r w:rsidDel="00000000" w:rsidR="00000000" w:rsidRPr="00000000">
            <w:rPr>
              <w:rFonts w:ascii="Arial" w:cs="Arial" w:eastAsia="Arial" w:hAnsi="Arial"/>
              <w:sz w:val="20"/>
              <w:szCs w:val="20"/>
              <w:rtl w:val="0"/>
            </w:rPr>
            <w:t xml:space="preserve">Código:EH-D-040</w:t>
          </w:r>
        </w:p>
        <w:p w:rsidR="00000000" w:rsidDel="00000000" w:rsidP="00000000" w:rsidRDefault="00000000" w:rsidRPr="00000000" w14:paraId="000000A1">
          <w:pPr>
            <w:tabs>
              <w:tab w:val="center" w:leader="none" w:pos="4419"/>
              <w:tab w:val="right" w:leader="none" w:pos="8838"/>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2">
          <w:pPr>
            <w:tabs>
              <w:tab w:val="center" w:leader="none" w:pos="4419"/>
              <w:tab w:val="right" w:leader="none" w:pos="8838"/>
            </w:tabs>
            <w:rPr>
              <w:rFonts w:ascii="Arial" w:cs="Arial" w:eastAsia="Arial" w:hAnsi="Arial"/>
              <w:sz w:val="20"/>
              <w:szCs w:val="20"/>
            </w:rPr>
          </w:pPr>
          <w:r w:rsidDel="00000000" w:rsidR="00000000" w:rsidRPr="00000000">
            <w:rPr>
              <w:rFonts w:ascii="Arial" w:cs="Arial" w:eastAsia="Arial" w:hAnsi="Arial"/>
              <w:sz w:val="20"/>
              <w:szCs w:val="20"/>
              <w:rtl w:val="0"/>
            </w:rPr>
            <w:t xml:space="preserve">Versión:1</w:t>
          </w:r>
        </w:p>
        <w:p w:rsidR="00000000" w:rsidDel="00000000" w:rsidP="00000000" w:rsidRDefault="00000000" w:rsidRPr="00000000" w14:paraId="000000A3">
          <w:pPr>
            <w:tabs>
              <w:tab w:val="center" w:leader="none" w:pos="4419"/>
              <w:tab w:val="right" w:leader="none" w:pos="8838"/>
            </w:tabs>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4">
          <w:pPr>
            <w:tabs>
              <w:tab w:val="center" w:leader="none" w:pos="4419"/>
              <w:tab w:val="right" w:leader="none" w:pos="8838"/>
            </w:tabs>
            <w:rPr>
              <w:b w:val="1"/>
              <w:sz w:val="22"/>
              <w:szCs w:val="22"/>
            </w:rPr>
          </w:pPr>
          <w:r w:rsidDel="00000000" w:rsidR="00000000" w:rsidRPr="00000000">
            <w:rPr>
              <w:rFonts w:ascii="Arial" w:cs="Arial" w:eastAsia="Arial" w:hAnsi="Arial"/>
              <w:sz w:val="20"/>
              <w:szCs w:val="20"/>
              <w:rtl w:val="0"/>
            </w:rPr>
            <w:t xml:space="preserve">Fecha: Enero 2025</w:t>
          </w:r>
          <w:r w:rsidDel="00000000" w:rsidR="00000000" w:rsidRPr="00000000">
            <w:rPr>
              <w:rtl w:val="0"/>
            </w:rPr>
          </w:r>
        </w:p>
      </w:tc>
    </w:tr>
  </w:tbl>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rFonts w:ascii="Arial" w:cs="Arial" w:eastAsia="Arial" w:hAnsi="Arial"/>
        <w:b w:val="1"/>
        <w:u w:val="none"/>
        <w:shd w:fill="auto" w:val="clear"/>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semiHidden w:val="1"/>
    <w:unhideWhenUsed w:val="1"/>
    <w:rsid w:val="00404FEC"/>
    <w:pPr>
      <w:spacing w:after="100" w:afterAutospacing="1" w:before="100" w:beforeAutospacing="1" w:line="240" w:lineRule="auto"/>
    </w:pPr>
    <w:rPr>
      <w:rFonts w:ascii="Times New Roman" w:cs="Times New Roman" w:eastAsia="Times New Roman" w:hAnsi="Times New Roman"/>
      <w:sz w:val="24"/>
      <w:szCs w:val="24"/>
      <w:lang w:eastAsia="es-CO"/>
    </w:rPr>
  </w:style>
  <w:style w:type="paragraph" w:styleId="Sinespaciado">
    <w:name w:val="No Spacing"/>
    <w:uiPriority w:val="1"/>
    <w:qFormat w:val="1"/>
    <w:rsid w:val="00404FEC"/>
    <w:pPr>
      <w:spacing w:after="0" w:line="240" w:lineRule="auto"/>
    </w:pPr>
  </w:style>
  <w:style w:type="paragraph" w:styleId="Prrafodelista">
    <w:name w:val="List Paragraph"/>
    <w:basedOn w:val="Normal"/>
    <w:uiPriority w:val="34"/>
    <w:qFormat w:val="1"/>
    <w:rsid w:val="009064FD"/>
    <w:pPr>
      <w:ind w:left="720"/>
      <w:contextualSpacing w:val="1"/>
    </w:pPr>
  </w:style>
  <w:style w:type="character" w:styleId="Hipervnculo">
    <w:name w:val="Hyperlink"/>
    <w:basedOn w:val="Fuentedeprrafopredeter"/>
    <w:uiPriority w:val="99"/>
    <w:unhideWhenUsed w:val="1"/>
    <w:rsid w:val="009064FD"/>
    <w:rPr>
      <w:color w:val="0563c1" w:themeColor="hyperlink"/>
      <w:u w:val="single"/>
    </w:rPr>
  </w:style>
  <w:style w:type="character" w:styleId="Refdecomentario">
    <w:name w:val="annotation reference"/>
    <w:basedOn w:val="Fuentedeprrafopredeter"/>
    <w:uiPriority w:val="99"/>
    <w:semiHidden w:val="1"/>
    <w:unhideWhenUsed w:val="1"/>
    <w:rsid w:val="009064FD"/>
    <w:rPr>
      <w:sz w:val="16"/>
      <w:szCs w:val="16"/>
    </w:rPr>
  </w:style>
  <w:style w:type="paragraph" w:styleId="Textocomentario">
    <w:name w:val="annotation text"/>
    <w:basedOn w:val="Normal"/>
    <w:link w:val="TextocomentarioCar"/>
    <w:uiPriority w:val="99"/>
    <w:semiHidden w:val="1"/>
    <w:unhideWhenUsed w:val="1"/>
    <w:rsid w:val="009064FD"/>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064FD"/>
    <w:rPr>
      <w:sz w:val="20"/>
      <w:szCs w:val="20"/>
    </w:rPr>
  </w:style>
  <w:style w:type="paragraph" w:styleId="Textodeglobo">
    <w:name w:val="Balloon Text"/>
    <w:basedOn w:val="Normal"/>
    <w:link w:val="TextodegloboCar"/>
    <w:uiPriority w:val="99"/>
    <w:semiHidden w:val="1"/>
    <w:unhideWhenUsed w:val="1"/>
    <w:rsid w:val="009064FD"/>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9064FD"/>
    <w:rPr>
      <w:rFonts w:ascii="Segoe UI" w:cs="Segoe UI" w:hAnsi="Segoe UI"/>
      <w:sz w:val="18"/>
      <w:szCs w:val="18"/>
    </w:rPr>
  </w:style>
  <w:style w:type="paragraph" w:styleId="Encabezado">
    <w:name w:val="header"/>
    <w:basedOn w:val="Normal"/>
    <w:link w:val="EncabezadoCar"/>
    <w:uiPriority w:val="99"/>
    <w:unhideWhenUsed w:val="1"/>
    <w:rsid w:val="00C86CA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86CA3"/>
  </w:style>
  <w:style w:type="paragraph" w:styleId="Piedepgina">
    <w:name w:val="footer"/>
    <w:basedOn w:val="Normal"/>
    <w:link w:val="PiedepginaCar"/>
    <w:uiPriority w:val="99"/>
    <w:unhideWhenUsed w:val="1"/>
    <w:rsid w:val="00C86CA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86CA3"/>
  </w:style>
  <w:style w:type="table" w:styleId="Tablaconcuadrcula">
    <w:name w:val="Table Grid"/>
    <w:basedOn w:val="Tablanormal"/>
    <w:uiPriority w:val="39"/>
    <w:rsid w:val="00C86CA3"/>
    <w:pPr>
      <w:spacing w:after="0" w:line="240" w:lineRule="auto"/>
    </w:pPr>
    <w:rPr>
      <w:sz w:val="24"/>
      <w:szCs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24875/j.gamo.m19000165" TargetMode="External"/><Relationship Id="rId8" Type="http://schemas.openxmlformats.org/officeDocument/2006/relationships/hyperlink" Target="https://doi.org/10.1016/j.endonu.2015.02.006"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ac+YmkACEhaHDK72eiAqJRu+TA==">CgMxLjA4AHIhMTlkd0RXTjJRSkJ3UmZNMUJZZUwwTGpZOFBtdzNha0Nm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2019-10-11T14:49:00Z</dcterms:created>
  <dc:creator>Centro Medico</dc:creator>
</cp:coreProperties>
</file>