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02">
      <w:pPr>
        <w:numPr>
          <w:ilvl w:val="0"/>
          <w:numId w:val="2"/>
        </w:numPr>
        <w:spacing w:after="0" w:line="240" w:lineRule="auto"/>
        <w:ind w:left="720" w:hanging="360"/>
        <w:jc w:val="both"/>
        <w:rPr/>
      </w:pPr>
      <w:r w:rsidDel="00000000" w:rsidR="00000000" w:rsidRPr="00000000">
        <w:rPr>
          <w:rFonts w:ascii="Arial" w:cs="Arial" w:eastAsia="Arial" w:hAnsi="Arial"/>
          <w:b w:val="1"/>
          <w:rtl w:val="0"/>
        </w:rPr>
        <w:t xml:space="preserve">INTRODUCCIÓN</w:t>
      </w:r>
      <w:r w:rsidDel="00000000" w:rsidR="00000000" w:rsidRPr="00000000">
        <w:rPr>
          <w:rtl w:val="0"/>
        </w:rPr>
      </w:r>
    </w:p>
    <w:p w:rsidR="00000000" w:rsidDel="00000000" w:rsidP="00000000" w:rsidRDefault="00000000" w:rsidRPr="00000000" w14:paraId="00000003">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04">
      <w:pPr>
        <w:spacing w:after="0" w:line="240" w:lineRule="auto"/>
        <w:jc w:val="both"/>
        <w:rPr>
          <w:rFonts w:ascii="Arial" w:cs="Arial" w:eastAsia="Arial" w:hAnsi="Arial"/>
          <w:highlight w:val="white"/>
        </w:rPr>
      </w:pPr>
      <w:r w:rsidDel="00000000" w:rsidR="00000000" w:rsidRPr="00000000">
        <w:rPr>
          <w:rFonts w:ascii="Arial" w:cs="Arial" w:eastAsia="Arial" w:hAnsi="Arial"/>
          <w:rtl w:val="0"/>
        </w:rPr>
        <w:t xml:space="preserve">En el año 2006 la Asamblea General de las Naciones Unidas aprobó una resolución histórica que reconoce la amenaza global de la epidemia de diabetes. Por primera vez los gobiernos reconocieron que una enfermedad no infecciosa impone una amenaza a la salud mundial tan seria como la de las enfermedades infecciosas como el Sida, la TBC o la malaria. En Colombia entre un 7 y un 9 % de la población adulta (20 años o más) tiene diabetes tipo 2 (DM2), aunque esta prevalencia es cinco veces más baja en la zona rural. Esto significa que existen en el país alrededor de dos millones de personas con DM2 de las cuales casi la mitad desconoce su condición. Además existe un número casi igual de personas con intolerancia a la glucosa (ITG) que es un estado de muy alto riesgo para desarrollar la enfermedad, por lo cual se llama también pre-diabetes. (</w:t>
      </w:r>
      <w:r w:rsidDel="00000000" w:rsidR="00000000" w:rsidRPr="00000000">
        <w:rPr>
          <w:rFonts w:ascii="Arial" w:cs="Arial" w:eastAsia="Arial" w:hAnsi="Arial"/>
          <w:highlight w:val="white"/>
          <w:rtl w:val="0"/>
        </w:rPr>
        <w:t xml:space="preserve">Tomado de guías clínicas del ministerio de salud).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07">
      <w:pPr>
        <w:numPr>
          <w:ilvl w:val="0"/>
          <w:numId w:val="2"/>
        </w:numPr>
        <w:spacing w:after="0" w:line="240" w:lineRule="auto"/>
        <w:ind w:left="720" w:hanging="360"/>
        <w:jc w:val="both"/>
        <w:rPr/>
      </w:pPr>
      <w:r w:rsidDel="00000000" w:rsidR="00000000" w:rsidRPr="00000000">
        <w:rPr>
          <w:rFonts w:ascii="Arial" w:cs="Arial" w:eastAsia="Arial" w:hAnsi="Arial"/>
          <w:b w:val="1"/>
          <w:rtl w:val="0"/>
        </w:rPr>
        <w:t xml:space="preserve">OBJETIVO GENERAL</w:t>
      </w:r>
      <w:r w:rsidDel="00000000" w:rsidR="00000000" w:rsidRPr="00000000">
        <w:rPr>
          <w:rtl w:val="0"/>
        </w:rPr>
      </w:r>
    </w:p>
    <w:p w:rsidR="00000000" w:rsidDel="00000000" w:rsidP="00000000" w:rsidRDefault="00000000" w:rsidRPr="00000000" w14:paraId="00000008">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highlight w:val="white"/>
        </w:rPr>
      </w:pPr>
      <w:r w:rsidDel="00000000" w:rsidR="00000000" w:rsidRPr="00000000">
        <w:rPr>
          <w:rFonts w:ascii="Arial" w:cs="Arial" w:eastAsia="Arial" w:hAnsi="Arial"/>
          <w:rtl w:val="0"/>
        </w:rPr>
        <w:t xml:space="preserve">Brindar parámetros de práctica clínica, basados en la mejor evidencia disponible para la atención en salud y utilización racional de recursos en el diagnóstico, tratamiento y seguimiento de la diabetes tipo 2 en la población mayor de 18 años. </w:t>
      </w:r>
      <w:r w:rsidDel="00000000" w:rsidR="00000000" w:rsidRPr="00000000">
        <w:rPr>
          <w:rFonts w:ascii="Arial" w:cs="Arial" w:eastAsia="Arial" w:hAnsi="Arial"/>
          <w:highlight w:val="white"/>
          <w:rtl w:val="0"/>
        </w:rPr>
        <w:t xml:space="preserve">(Tomado de guías clínicas del ministerio de salud).</w:t>
      </w:r>
    </w:p>
    <w:p w:rsidR="00000000" w:rsidDel="00000000" w:rsidP="00000000" w:rsidRDefault="00000000" w:rsidRPr="00000000" w14:paraId="0000000A">
      <w:pPr>
        <w:spacing w:after="0" w:line="240" w:lineRule="auto"/>
        <w:jc w:val="both"/>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0B">
      <w:pPr>
        <w:numPr>
          <w:ilvl w:val="0"/>
          <w:numId w:val="2"/>
        </w:numPr>
        <w:spacing w:after="0" w:line="240" w:lineRule="auto"/>
        <w:ind w:left="720" w:hanging="360"/>
        <w:jc w:val="both"/>
        <w:rPr/>
      </w:pPr>
      <w:r w:rsidDel="00000000" w:rsidR="00000000" w:rsidRPr="00000000">
        <w:rPr>
          <w:rFonts w:ascii="Arial" w:cs="Arial" w:eastAsia="Arial" w:hAnsi="Arial"/>
          <w:b w:val="1"/>
          <w:highlight w:val="white"/>
          <w:rtl w:val="0"/>
        </w:rPr>
        <w:t xml:space="preserve">OBJETIVOS ESPECÍFICOS</w:t>
      </w:r>
      <w:r w:rsidDel="00000000" w:rsidR="00000000" w:rsidRPr="00000000">
        <w:rPr>
          <w:rtl w:val="0"/>
        </w:rPr>
      </w:r>
    </w:p>
    <w:p w:rsidR="00000000" w:rsidDel="00000000" w:rsidP="00000000" w:rsidRDefault="00000000" w:rsidRPr="00000000" w14:paraId="0000000C">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0D">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Determinar la utilidad, en nuestro medio, de estrategias de tamización como herramienta  para la detección y diagnóstico temprano de la diabetes mellitus tipo 2. </w:t>
      </w:r>
    </w:p>
    <w:p w:rsidR="00000000" w:rsidDel="00000000" w:rsidP="00000000" w:rsidRDefault="00000000" w:rsidRPr="00000000" w14:paraId="0000000E">
      <w:pPr>
        <w:spacing w:after="0" w:line="240" w:lineRule="auto"/>
        <w:jc w:val="both"/>
        <w:rPr>
          <w:rFonts w:ascii="Arial" w:cs="Arial" w:eastAsia="Arial" w:hAnsi="Arial"/>
        </w:rPr>
      </w:pPr>
      <w:sdt>
        <w:sdtPr>
          <w:id w:val="-820987120"/>
          <w:tag w:val="goog_rdk_0"/>
        </w:sdtPr>
        <w:sdtContent>
          <w:r w:rsidDel="00000000" w:rsidR="00000000" w:rsidRPr="00000000">
            <w:rPr>
              <w:rFonts w:ascii="Arial Unicode MS" w:cs="Arial Unicode MS" w:eastAsia="Arial Unicode MS" w:hAnsi="Arial Unicode MS"/>
              <w:rtl w:val="0"/>
            </w:rPr>
            <w:t xml:space="preserve">∙ Indicar las intervenciones farmacológicas y dentro de un plan de manejo multifactorial,  escalonado de menor a mayor complejidad, haciendo énfasis en la efectividad y seguridad,  con miras a que sean aplicables a la mayoría de los pacientes diabéticos tipo 2 en atención  primaria. </w:t>
          </w:r>
        </w:sdtContent>
      </w:sdt>
    </w:p>
    <w:p w:rsidR="00000000" w:rsidDel="00000000" w:rsidP="00000000" w:rsidRDefault="00000000" w:rsidRPr="00000000" w14:paraId="0000000F">
      <w:pPr>
        <w:spacing w:after="0" w:line="240" w:lineRule="auto"/>
        <w:jc w:val="both"/>
        <w:rPr>
          <w:rFonts w:ascii="Arial" w:cs="Arial" w:eastAsia="Arial" w:hAnsi="Arial"/>
        </w:rPr>
      </w:pPr>
      <w:sdt>
        <w:sdtPr>
          <w:id w:val="-1827284760"/>
          <w:tag w:val="goog_rdk_1"/>
        </w:sdtPr>
        <w:sdtContent>
          <w:r w:rsidDel="00000000" w:rsidR="00000000" w:rsidRPr="00000000">
            <w:rPr>
              <w:rFonts w:ascii="Arial Unicode MS" w:cs="Arial Unicode MS" w:eastAsia="Arial Unicode MS" w:hAnsi="Arial Unicode MS"/>
              <w:rtl w:val="0"/>
            </w:rPr>
            <w:t xml:space="preserve">∙ Definir estrategias para la detección temprana de las complicaciones renales y  cardiovasculares en los pacientes con diabetes tipo 2.</w:t>
          </w:r>
        </w:sdtContent>
      </w:sdt>
    </w:p>
    <w:p w:rsidR="00000000" w:rsidDel="00000000" w:rsidP="00000000" w:rsidRDefault="00000000" w:rsidRPr="00000000" w14:paraId="0000001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240" w:lineRule="auto"/>
        <w:jc w:val="both"/>
        <w:rPr>
          <w:rFonts w:ascii="Arial" w:cs="Arial" w:eastAsia="Arial" w:hAnsi="Arial"/>
          <w:b w:val="1"/>
        </w:rPr>
      </w:pPr>
      <w:r w:rsidDel="00000000" w:rsidR="00000000" w:rsidRPr="00000000">
        <w:rPr>
          <w:rFonts w:ascii="Arial" w:cs="Arial" w:eastAsia="Arial" w:hAnsi="Arial"/>
          <w:rtl w:val="0"/>
        </w:rPr>
        <w:t xml:space="preserve">Indicar las intervenciones NO farmacológicas integrables con las medidas farmacológicas y dentro de un plan de manejo multifactorial (teniendo en cuenta el estilo de vida), escalonado de menor a mayor complejidad, haciendo énfasis en la efectividad y seguridad, con miras a que sean aplicables a la mayoría de los pacientes diabéticos tipo 2 en atención primaria.</w:t>
      </w: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b w:val="1"/>
        </w:rPr>
      </w:pPr>
      <w:r w:rsidDel="00000000" w:rsidR="00000000" w:rsidRPr="00000000">
        <w:rPr>
          <w:rFonts w:ascii="Arial" w:cs="Arial" w:eastAsia="Arial" w:hAnsi="Arial"/>
          <w:rtl w:val="0"/>
        </w:rPr>
        <w:t xml:space="preserve">Definir estrategias para la detección e intervención de las complicaciones generales en los pacientes con diabetes tipo 2.</w:t>
      </w:r>
      <w:r w:rsidDel="00000000" w:rsidR="00000000" w:rsidRPr="00000000">
        <w:rPr>
          <w:rFonts w:ascii="Arial" w:cs="Arial" w:eastAsia="Arial" w:hAnsi="Arial"/>
          <w:highlight w:val="white"/>
          <w:rtl w:val="0"/>
        </w:rPr>
        <w:t xml:space="preserve"> (Adaptado de guías clínicas ministerio de salud).</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14">
      <w:pPr>
        <w:numPr>
          <w:ilvl w:val="0"/>
          <w:numId w:val="2"/>
        </w:numPr>
        <w:spacing w:after="0" w:line="240" w:lineRule="auto"/>
        <w:ind w:left="720" w:hanging="360"/>
        <w:jc w:val="both"/>
        <w:rPr/>
      </w:pPr>
      <w:r w:rsidDel="00000000" w:rsidR="00000000" w:rsidRPr="00000000">
        <w:rPr>
          <w:rFonts w:ascii="Arial" w:cs="Arial" w:eastAsia="Arial" w:hAnsi="Arial"/>
          <w:b w:val="1"/>
          <w:rtl w:val="0"/>
        </w:rPr>
        <w:t xml:space="preserve">ALCANCE</w:t>
      </w:r>
      <w:r w:rsidDel="00000000" w:rsidR="00000000" w:rsidRPr="00000000">
        <w:rPr>
          <w:rtl w:val="0"/>
        </w:rPr>
      </w:r>
    </w:p>
    <w:p w:rsidR="00000000" w:rsidDel="00000000" w:rsidP="00000000" w:rsidRDefault="00000000" w:rsidRPr="00000000" w14:paraId="00000015">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16">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La guía está dirigida a profesionales de la salud que brindan atención médica a pacientes con diabetes en la IPS Endocrinology &amp; Health. Se basa en la mejor evidencia disponible y se han utilizado los estándares de calidad metodológica rigurosos para la selección y evaluación de la evidencia. </w:t>
      </w:r>
    </w:p>
    <w:p w:rsidR="00000000" w:rsidDel="00000000" w:rsidP="00000000" w:rsidRDefault="00000000" w:rsidRPr="00000000" w14:paraId="00000017">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vertAlign w:val="baseline"/>
        </w:rPr>
      </w:pPr>
      <w:r w:rsidDel="00000000" w:rsidR="00000000" w:rsidRPr="00000000">
        <w:rPr>
          <w:rFonts w:ascii="Arial" w:cs="Arial" w:eastAsia="Arial" w:hAnsi="Arial"/>
          <w:b w:val="1"/>
          <w:rtl w:val="0"/>
        </w:rPr>
        <w:t xml:space="preserve">EQUIPO DESARROLLADOR</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Carlos Vizcaino, médico endocrinólogo</w:t>
      </w:r>
    </w:p>
    <w:p w:rsidR="00000000" w:rsidDel="00000000" w:rsidP="00000000" w:rsidRDefault="00000000" w:rsidRPr="00000000" w14:paraId="0000001B">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1C">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Angela Monsalve, Ingeniera industrial procesos</w:t>
      </w:r>
    </w:p>
    <w:p w:rsidR="00000000" w:rsidDel="00000000" w:rsidP="00000000" w:rsidRDefault="00000000" w:rsidRPr="00000000" w14:paraId="0000001D">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Jackeline Morales, auditora en salud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POBLACIÓN</w:t>
      </w: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rPr>
      </w:pPr>
      <w:r w:rsidDel="00000000" w:rsidR="00000000" w:rsidRPr="00000000">
        <w:rPr>
          <w:rFonts w:ascii="Arial" w:cs="Arial" w:eastAsia="Arial" w:hAnsi="Arial"/>
          <w:rtl w:val="0"/>
        </w:rPr>
        <w:t xml:space="preserve">Esta Guía considerará los siguientes grupos de pacientes:</w:t>
      </w:r>
    </w:p>
    <w:p w:rsidR="00000000" w:rsidDel="00000000" w:rsidP="00000000" w:rsidRDefault="00000000" w:rsidRPr="00000000" w14:paraId="00000024">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Las recomendaciones van dirigidas a adultos mayores de 18 años en riesgo para el desarrollo de diabetes tipo 2 o con diagnóstico establecido de diabetes tipo 2</w:t>
      </w:r>
    </w:p>
    <w:p w:rsidR="00000000" w:rsidDel="00000000" w:rsidP="00000000" w:rsidRDefault="00000000" w:rsidRPr="00000000" w14:paraId="00000025">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Las recomendaciones de esta guía también van dirigidas al manejo de aquellos pacientes que resulten con alto riesgo de desarrollar diabetes en los que se sospecha el principal causante de la diabetes tipo 2 que es la </w:t>
      </w:r>
      <w:r w:rsidDel="00000000" w:rsidR="00000000" w:rsidRPr="00000000">
        <w:rPr>
          <w:rFonts w:ascii="Arial" w:cs="Arial" w:eastAsia="Arial" w:hAnsi="Arial"/>
          <w:b w:val="1"/>
          <w:rtl w:val="0"/>
        </w:rPr>
        <w:t xml:space="preserve">resistencia a la insulina.</w:t>
      </w: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El manejo específico de las complicaciones en pacientes con diagnóstico de diabetes mellitus, como por ejemplo enfermedad renal crónica estadios IV o V.</w:t>
      </w:r>
    </w:p>
    <w:p w:rsidR="00000000" w:rsidDel="00000000" w:rsidP="00000000" w:rsidRDefault="00000000" w:rsidRPr="00000000" w14:paraId="00000027">
      <w:pPr>
        <w:spacing w:after="0" w:line="240" w:lineRule="auto"/>
        <w:jc w:val="both"/>
        <w:rPr>
          <w:rFonts w:ascii="Arial" w:cs="Arial" w:eastAsia="Arial" w:hAnsi="Arial"/>
          <w:highlight w:val="white"/>
        </w:rPr>
      </w:pPr>
      <w:r w:rsidDel="00000000" w:rsidR="00000000" w:rsidRPr="00000000">
        <w:rPr>
          <w:rFonts w:ascii="Arial" w:cs="Arial" w:eastAsia="Arial" w:hAnsi="Arial"/>
          <w:rtl w:val="0"/>
        </w:rPr>
        <w:t xml:space="preserve">c. El manejo específico de la obesidad en el contexto de diabetes mellitus entendiendo que es fundamental el tratamiento de la misma también se tendrá en cuenta en esta guía ya que comparten en común todas las herramientas terapéuticas que la medicina alternativa y complementaria puede ofrecer. </w:t>
      </w:r>
      <w:r w:rsidDel="00000000" w:rsidR="00000000" w:rsidRPr="00000000">
        <w:rPr>
          <w:rFonts w:ascii="Arial" w:cs="Arial" w:eastAsia="Arial" w:hAnsi="Arial"/>
          <w:highlight w:val="white"/>
          <w:rtl w:val="0"/>
        </w:rPr>
        <w:t xml:space="preserve">(Adaptado de guías clínicas del ministerio de salud).</w:t>
      </w:r>
    </w:p>
    <w:p w:rsidR="00000000" w:rsidDel="00000000" w:rsidP="00000000" w:rsidRDefault="00000000" w:rsidRPr="00000000" w14:paraId="00000028">
      <w:pPr>
        <w:spacing w:after="0" w:line="240"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029">
      <w:pPr>
        <w:numPr>
          <w:ilvl w:val="0"/>
          <w:numId w:val="2"/>
        </w:numPr>
        <w:spacing w:after="0" w:line="240" w:lineRule="auto"/>
        <w:ind w:left="720" w:hanging="360"/>
        <w:rPr/>
      </w:pPr>
      <w:r w:rsidDel="00000000" w:rsidR="00000000" w:rsidRPr="00000000">
        <w:rPr>
          <w:rFonts w:ascii="Arial" w:cs="Arial" w:eastAsia="Arial" w:hAnsi="Arial"/>
          <w:b w:val="1"/>
          <w:highlight w:val="white"/>
          <w:rtl w:val="0"/>
        </w:rPr>
        <w:t xml:space="preserve">TALENTO HUMANO</w:t>
      </w:r>
      <w:r w:rsidDel="00000000" w:rsidR="00000000" w:rsidRPr="00000000">
        <w:rPr>
          <w:rtl w:val="0"/>
        </w:rPr>
      </w:r>
    </w:p>
    <w:p w:rsidR="00000000" w:rsidDel="00000000" w:rsidP="00000000" w:rsidRDefault="00000000" w:rsidRPr="00000000" w14:paraId="0000002A">
      <w:pPr>
        <w:spacing w:after="0" w:line="240" w:lineRule="auto"/>
        <w:ind w:left="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highlight w:val="white"/>
        </w:rPr>
      </w:pPr>
      <w:r w:rsidDel="00000000" w:rsidR="00000000" w:rsidRPr="00000000">
        <w:rPr>
          <w:rFonts w:ascii="Arial" w:cs="Arial" w:eastAsia="Arial" w:hAnsi="Arial"/>
          <w:rtl w:val="0"/>
        </w:rPr>
        <w:t xml:space="preserve">Personal asistencial de la IPS Endocrinology &amp; Health</w:t>
      </w:r>
      <w:r w:rsidDel="00000000" w:rsidR="00000000" w:rsidRPr="00000000">
        <w:rPr>
          <w:rtl w:val="0"/>
        </w:rPr>
      </w:r>
    </w:p>
    <w:p w:rsidR="00000000" w:rsidDel="00000000" w:rsidP="00000000" w:rsidRDefault="00000000" w:rsidRPr="00000000" w14:paraId="0000002C">
      <w:pPr>
        <w:spacing w:after="0"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D">
      <w:pPr>
        <w:numPr>
          <w:ilvl w:val="0"/>
          <w:numId w:val="2"/>
        </w:numPr>
        <w:spacing w:after="0" w:line="240" w:lineRule="auto"/>
        <w:ind w:left="720" w:hanging="360"/>
        <w:rPr/>
      </w:pPr>
      <w:r w:rsidDel="00000000" w:rsidR="00000000" w:rsidRPr="00000000">
        <w:rPr>
          <w:rFonts w:ascii="Arial" w:cs="Arial" w:eastAsia="Arial" w:hAnsi="Arial"/>
          <w:b w:val="1"/>
          <w:rtl w:val="0"/>
        </w:rPr>
        <w:t xml:space="preserve">DOTACIÓN</w:t>
      </w: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rPr>
      </w:pPr>
      <w:r w:rsidDel="00000000" w:rsidR="00000000" w:rsidRPr="00000000">
        <w:rPr>
          <w:rFonts w:ascii="Arial" w:cs="Arial" w:eastAsia="Arial" w:hAnsi="Arial"/>
          <w:rtl w:val="0"/>
        </w:rPr>
        <w:t xml:space="preserve">Guantes</w:t>
      </w:r>
    </w:p>
    <w:p w:rsidR="00000000" w:rsidDel="00000000" w:rsidP="00000000" w:rsidRDefault="00000000" w:rsidRPr="00000000" w14:paraId="00000030">
      <w:pPr>
        <w:spacing w:after="0" w:line="240" w:lineRule="auto"/>
        <w:rPr>
          <w:rFonts w:ascii="Arial" w:cs="Arial" w:eastAsia="Arial" w:hAnsi="Arial"/>
        </w:rPr>
      </w:pPr>
      <w:r w:rsidDel="00000000" w:rsidR="00000000" w:rsidRPr="00000000">
        <w:rPr>
          <w:rFonts w:ascii="Arial" w:cs="Arial" w:eastAsia="Arial" w:hAnsi="Arial"/>
          <w:rtl w:val="0"/>
        </w:rPr>
        <w:t xml:space="preserve">Bata</w:t>
      </w:r>
    </w:p>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Fonts w:ascii="Arial" w:cs="Arial" w:eastAsia="Arial" w:hAnsi="Arial"/>
          <w:rtl w:val="0"/>
        </w:rPr>
        <w:t xml:space="preserve">Tapabocas</w:t>
      </w:r>
    </w:p>
    <w:p w:rsidR="00000000" w:rsidDel="00000000" w:rsidP="00000000" w:rsidRDefault="00000000" w:rsidRPr="00000000" w14:paraId="0000003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3">
      <w:pPr>
        <w:numPr>
          <w:ilvl w:val="0"/>
          <w:numId w:val="2"/>
        </w:numPr>
        <w:spacing w:after="0" w:line="240" w:lineRule="auto"/>
        <w:ind w:left="720" w:hanging="360"/>
        <w:rPr/>
      </w:pPr>
      <w:r w:rsidDel="00000000" w:rsidR="00000000" w:rsidRPr="00000000">
        <w:rPr>
          <w:rFonts w:ascii="Arial" w:cs="Arial" w:eastAsia="Arial" w:hAnsi="Arial"/>
          <w:b w:val="1"/>
          <w:rtl w:val="0"/>
        </w:rPr>
        <w:t xml:space="preserve">DISPOSITIVOS MÉDICOS E INSUMOS</w:t>
      </w:r>
      <w:r w:rsidDel="00000000" w:rsidR="00000000" w:rsidRPr="00000000">
        <w:rPr>
          <w:rtl w:val="0"/>
        </w:rPr>
      </w:r>
    </w:p>
    <w:p w:rsidR="00000000" w:rsidDel="00000000" w:rsidP="00000000" w:rsidRDefault="00000000" w:rsidRPr="00000000" w14:paraId="00000034">
      <w:pPr>
        <w:spacing w:after="0" w:line="240" w:lineRule="auto"/>
        <w:rPr>
          <w:rFonts w:ascii="Arial" w:cs="Arial" w:eastAsia="Arial" w:hAnsi="Arial"/>
          <w:b w:val="1"/>
          <w:highlight w:val="yellow"/>
        </w:rPr>
      </w:pP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rPr>
      </w:pPr>
      <w:r w:rsidDel="00000000" w:rsidR="00000000" w:rsidRPr="00000000">
        <w:rPr>
          <w:rFonts w:ascii="Arial" w:cs="Arial" w:eastAsia="Arial" w:hAnsi="Arial"/>
          <w:rtl w:val="0"/>
        </w:rPr>
        <w:t xml:space="preserve">Equipo de organos</w:t>
      </w:r>
    </w:p>
    <w:p w:rsidR="00000000" w:rsidDel="00000000" w:rsidP="00000000" w:rsidRDefault="00000000" w:rsidRPr="00000000" w14:paraId="00000036">
      <w:pPr>
        <w:spacing w:after="0" w:line="240" w:lineRule="auto"/>
        <w:rPr>
          <w:rFonts w:ascii="Arial" w:cs="Arial" w:eastAsia="Arial" w:hAnsi="Arial"/>
        </w:rPr>
      </w:pPr>
      <w:r w:rsidDel="00000000" w:rsidR="00000000" w:rsidRPr="00000000">
        <w:rPr>
          <w:rFonts w:ascii="Arial" w:cs="Arial" w:eastAsia="Arial" w:hAnsi="Arial"/>
          <w:rtl w:val="0"/>
        </w:rPr>
        <w:t xml:space="preserve">Tensiometro</w:t>
      </w:r>
    </w:p>
    <w:p w:rsidR="00000000" w:rsidDel="00000000" w:rsidP="00000000" w:rsidRDefault="00000000" w:rsidRPr="00000000" w14:paraId="00000037">
      <w:pPr>
        <w:spacing w:after="0" w:line="240" w:lineRule="auto"/>
        <w:rPr>
          <w:rFonts w:ascii="Arial" w:cs="Arial" w:eastAsia="Arial" w:hAnsi="Arial"/>
        </w:rPr>
      </w:pPr>
      <w:r w:rsidDel="00000000" w:rsidR="00000000" w:rsidRPr="00000000">
        <w:rPr>
          <w:rFonts w:ascii="Arial" w:cs="Arial" w:eastAsia="Arial" w:hAnsi="Arial"/>
          <w:rtl w:val="0"/>
        </w:rPr>
        <w:t xml:space="preserve">Balanza</w:t>
      </w:r>
    </w:p>
    <w:p w:rsidR="00000000" w:rsidDel="00000000" w:rsidP="00000000" w:rsidRDefault="00000000" w:rsidRPr="00000000" w14:paraId="00000038">
      <w:pPr>
        <w:spacing w:after="0" w:line="240" w:lineRule="auto"/>
        <w:rPr>
          <w:rFonts w:ascii="Arial" w:cs="Arial" w:eastAsia="Arial" w:hAnsi="Arial"/>
        </w:rPr>
      </w:pPr>
      <w:r w:rsidDel="00000000" w:rsidR="00000000" w:rsidRPr="00000000">
        <w:rPr>
          <w:rFonts w:ascii="Arial" w:cs="Arial" w:eastAsia="Arial" w:hAnsi="Arial"/>
          <w:rtl w:val="0"/>
        </w:rPr>
        <w:t xml:space="preserve">fonendoscopio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RECOMENDACIONES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Fonts w:ascii="Arial" w:cs="Arial" w:eastAsia="Arial" w:hAnsi="Arial"/>
          <w:b w:val="1"/>
          <w:rtl w:val="0"/>
        </w:rPr>
        <w:t xml:space="preserve">TEMA 1. TAMIZACIÓN Y DIAGNÓSTICO DE LA DIABETES MELLITUS TIPO 2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El diagnóstico de la diabetes mellitus se puede hacer con cualquiera de los siguientes criterios: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sdt>
        <w:sdtPr>
          <w:id w:val="-455276229"/>
          <w:tag w:val="goog_rdk_2"/>
        </w:sdtPr>
        <w:sdtContent>
          <w:r w:rsidDel="00000000" w:rsidR="00000000" w:rsidRPr="00000000">
            <w:rPr>
              <w:rFonts w:ascii="Arial Unicode MS" w:cs="Arial Unicode MS" w:eastAsia="Arial Unicode MS" w:hAnsi="Arial Unicode MS"/>
              <w:rtl w:val="0"/>
            </w:rPr>
            <w:t xml:space="preserve">∙ Glucemia plasmática en ayunas ≥ 126 mg/dl </w:t>
          </w:r>
        </w:sdtContent>
      </w:sdt>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sdt>
        <w:sdtPr>
          <w:id w:val="773504927"/>
          <w:tag w:val="goog_rdk_3"/>
        </w:sdtPr>
        <w:sdtContent>
          <w:r w:rsidDel="00000000" w:rsidR="00000000" w:rsidRPr="00000000">
            <w:rPr>
              <w:rFonts w:ascii="Arial Unicode MS" w:cs="Arial Unicode MS" w:eastAsia="Arial Unicode MS" w:hAnsi="Arial Unicode MS"/>
              <w:rtl w:val="0"/>
            </w:rPr>
            <w:t xml:space="preserve">∙ Glucemia plasmática a las dos horas de tomar una carga de 75 g de glucosa anhidra disuelta  en agua ≥ 200 mg/dl. Esta es una prueba de tolerancia oral a la glucosa (PTOG) y se toman  dos muestras: una basal y otra a las 2 h de la carga. </w:t>
          </w:r>
        </w:sdtContent>
      </w:sdt>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sdt>
        <w:sdtPr>
          <w:id w:val="-1759247263"/>
          <w:tag w:val="goog_rdk_4"/>
        </w:sdtPr>
        <w:sdtContent>
          <w:r w:rsidDel="00000000" w:rsidR="00000000" w:rsidRPr="00000000">
            <w:rPr>
              <w:rFonts w:ascii="Arial Unicode MS" w:cs="Arial Unicode MS" w:eastAsia="Arial Unicode MS" w:hAnsi="Arial Unicode MS"/>
              <w:rtl w:val="0"/>
            </w:rPr>
            <w:t xml:space="preserve">∙ HbA1c en cualquier momento ≥ 6,5 % </w:t>
          </w:r>
        </w:sdtContent>
      </w:sdt>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sdt>
        <w:sdtPr>
          <w:id w:val="1229152835"/>
          <w:tag w:val="goog_rdk_5"/>
        </w:sdtPr>
        <w:sdtContent>
          <w:r w:rsidDel="00000000" w:rsidR="00000000" w:rsidRPr="00000000">
            <w:rPr>
              <w:rFonts w:ascii="Arial Unicode MS" w:cs="Arial Unicode MS" w:eastAsia="Arial Unicode MS" w:hAnsi="Arial Unicode MS"/>
              <w:rtl w:val="0"/>
            </w:rPr>
            <w:t xml:space="preserve">En presencia de síntomas (poliuria, polidipsia y pérdida de peso) basta con una glucemia plasmática  al azar ≥ 200 mg/dl para establecer el diagnóstico. </w:t>
          </w:r>
        </w:sdtContent>
      </w:sdt>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Fonts w:ascii="Arial" w:cs="Arial" w:eastAsia="Arial" w:hAnsi="Arial"/>
          <w:b w:val="1"/>
          <w:rtl w:val="0"/>
        </w:rPr>
        <w:t xml:space="preserve">PREGUNTA CLÍNICA 1: ¿Debería utilizarse el FINDRISC para tamización de diabetes no  diagnosticada, en población colombiana adulta? </w:t>
      </w:r>
    </w:p>
    <w:p w:rsidR="00000000" w:rsidDel="00000000" w:rsidP="00000000" w:rsidRDefault="00000000" w:rsidRPr="00000000" w14:paraId="00000045">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Fonts w:ascii="Arial" w:cs="Arial" w:eastAsia="Arial" w:hAnsi="Arial"/>
          <w:b w:val="1"/>
          <w:rtl w:val="0"/>
        </w:rPr>
        <w:t xml:space="preserve">RECOMENDACIONES: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1. Se recomienda el uso del FINDRISC (estableciendo el punto de corte en 12), como método de  tamización de DMT2 en adultos en Colombia.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Recomendación fuerte a favor.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sdt>
        <w:sdtPr>
          <w:id w:val="725330526"/>
          <w:tag w:val="goog_rdk_6"/>
        </w:sdtPr>
        <w:sdtContent>
          <w:r w:rsidDel="00000000" w:rsidR="00000000" w:rsidRPr="00000000">
            <w:rPr>
              <w:rFonts w:ascii="Arial Unicode MS" w:cs="Arial Unicode MS" w:eastAsia="Arial Unicode MS" w:hAnsi="Arial Unicode MS"/>
              <w:rtl w:val="0"/>
            </w:rPr>
            <w:t xml:space="preserve">Calidad de la evidencia Moderada ⊕⊕⊕⊝</w:t>
          </w:r>
        </w:sdtContent>
      </w:sdt>
    </w:p>
    <w:p w:rsidR="00000000" w:rsidDel="00000000" w:rsidP="00000000" w:rsidRDefault="00000000" w:rsidRPr="00000000" w14:paraId="0000004B">
      <w:pPr>
        <w:widowControl w:val="0"/>
        <w:spacing w:after="0" w:before="134.73388671875" w:line="240" w:lineRule="auto"/>
        <w:ind w:left="0" w:firstLine="0"/>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3936371" cy="4248163"/>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371" cy="424816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0"/>
        <w:spacing w:after="0" w:line="276"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069897" cy="5467363"/>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69897" cy="546736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Fonts w:ascii="Arial" w:cs="Arial" w:eastAsia="Arial" w:hAnsi="Arial"/>
          <w:b w:val="1"/>
          <w:rtl w:val="0"/>
        </w:rPr>
        <w:t xml:space="preserve">PUNTOS DE BUENA PRÁCTICA CLÍNICA: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sdt>
        <w:sdtPr>
          <w:id w:val="-656661091"/>
          <w:tag w:val="goog_rdk_7"/>
        </w:sdtPr>
        <w:sdtContent>
          <w:r w:rsidDel="00000000" w:rsidR="00000000" w:rsidRPr="00000000">
            <w:rPr>
              <w:rFonts w:ascii="Arial Unicode MS" w:cs="Arial Unicode MS" w:eastAsia="Arial Unicode MS" w:hAnsi="Arial Unicode MS"/>
              <w:rtl w:val="0"/>
            </w:rPr>
            <w:t xml:space="preserve">∙ El FINDRISC debe ser aplicado por personal familiarizado con la herramienta.  ∙ Se debe realizar una prueba diagnóstico de la diabetes mellitus tipo 2 a todas las personas  que tengan un puntaje ≥ 12 en el FINDRISC. </w:t>
          </w:r>
        </w:sdtContent>
      </w:sdt>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sdt>
        <w:sdtPr>
          <w:id w:val="-1443554718"/>
          <w:tag w:val="goog_rdk_8"/>
        </w:sdtPr>
        <w:sdtContent>
          <w:r w:rsidDel="00000000" w:rsidR="00000000" w:rsidRPr="00000000">
            <w:rPr>
              <w:rFonts w:ascii="Arial Unicode MS" w:cs="Arial Unicode MS" w:eastAsia="Arial Unicode MS" w:hAnsi="Arial Unicode MS"/>
              <w:rtl w:val="0"/>
            </w:rPr>
            <w:t xml:space="preserve">∙ La prueba diagnóstica más apropiada es la medición de una glucemia plasmática en ayunas ∙ Si es la preferencia del paciente, puede realizarse glucemia plasmática en ayuno como prueba  inicial de tamización y diagnóstico de la diabetes mellitus tipo 2. </w:t>
          </w:r>
        </w:sdtContent>
      </w:sdt>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sdt>
        <w:sdtPr>
          <w:id w:val="2093232922"/>
          <w:tag w:val="goog_rdk_9"/>
        </w:sdtPr>
        <w:sdtContent>
          <w:r w:rsidDel="00000000" w:rsidR="00000000" w:rsidRPr="00000000">
            <w:rPr>
              <w:rFonts w:ascii="Arial Unicode MS" w:cs="Arial Unicode MS" w:eastAsia="Arial Unicode MS" w:hAnsi="Arial Unicode MS"/>
              <w:rtl w:val="0"/>
            </w:rPr>
            <w:t xml:space="preserve">∙ En las personas con un puntaje ≥ 12 en el FINDRISC que no cumplan criterios diagnóstico de  la diabetes mellitus tipo 2 se recomienda establecer la presencia de categorías con riesgo  aumentado de diabetes (prediabetes)* para incluirlos en programas de prevención de DM.  </w:t>
          </w:r>
        </w:sdtContent>
      </w:sdt>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*Categorías con riesgo aumentado de diabetes: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sdt>
        <w:sdtPr>
          <w:id w:val="276883639"/>
          <w:tag w:val="goog_rdk_10"/>
        </w:sdtPr>
        <w:sdtContent>
          <w:r w:rsidDel="00000000" w:rsidR="00000000" w:rsidRPr="00000000">
            <w:rPr>
              <w:rFonts w:ascii="Arial Unicode MS" w:cs="Arial Unicode MS" w:eastAsia="Arial Unicode MS" w:hAnsi="Arial Unicode MS"/>
              <w:rtl w:val="0"/>
            </w:rPr>
            <w:t xml:space="preserve">∙ - Glucemia de ayuno alterada: Glucemia plasmática ayuno entre 100 y 125 mg/dl ∙ - Intolerancia a la glucosa: Glucemia a las 2 h entre 140 y 199 mg/dl en una PTOG </w:t>
          </w:r>
        </w:sdtContent>
      </w:sdt>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o En todos los casos debe hacerse educación sobre estilos de vida saludable,  enfatizando en el control de los factores de riesgo para DM que fueron identificados  con la escala.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o A las personas con puntaje menor a 12 en el FINDRISC, se les debe instruir sobre la  importancia de estilos de vida saludable y realizar nueva tamización a los 3 años.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Fonts w:ascii="Arial" w:cs="Arial" w:eastAsia="Arial" w:hAnsi="Arial"/>
          <w:b w:val="1"/>
          <w:rtl w:val="0"/>
        </w:rPr>
        <w:t xml:space="preserve">PREGUNTA CLÍNICA 2: ¿Debe utilizarse la hemoglobina glicosilada (HbA1c) para sustituir a la prueba de tolerancia oral a la  glucosa (PTOG), para el diagnóstico de diabetes?</w:t>
      </w:r>
    </w:p>
    <w:p w:rsidR="00000000" w:rsidDel="00000000" w:rsidP="00000000" w:rsidRDefault="00000000" w:rsidRPr="00000000" w14:paraId="00000059">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5A">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RECOMENDACIONES: </w:t>
      </w:r>
    </w:p>
    <w:p w:rsidR="00000000" w:rsidDel="00000000" w:rsidP="00000000" w:rsidRDefault="00000000" w:rsidRPr="00000000" w14:paraId="0000005B">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widowControl w:val="0"/>
        <w:spacing w:after="0" w:line="276" w:lineRule="auto"/>
        <w:jc w:val="both"/>
        <w:rPr>
          <w:rFonts w:ascii="Arial" w:cs="Arial" w:eastAsia="Arial" w:hAnsi="Arial"/>
        </w:rPr>
      </w:pPr>
      <w:sdt>
        <w:sdtPr>
          <w:id w:val="-1396439884"/>
          <w:tag w:val="goog_rdk_11"/>
        </w:sdtPr>
        <w:sdtContent>
          <w:r w:rsidDel="00000000" w:rsidR="00000000" w:rsidRPr="00000000">
            <w:rPr>
              <w:rFonts w:ascii="Arial Unicode MS" w:cs="Arial Unicode MS" w:eastAsia="Arial Unicode MS" w:hAnsi="Arial Unicode MS"/>
              <w:rtl w:val="0"/>
            </w:rPr>
            <w:t xml:space="preserve">2. Se sugiere utilizar la hemoglobina glicosilada (HbA1c) como estrategia para diagnosticar diabetes  mellitus tipo 2 en pacientes con glucemia plasmática en ayunas entre 100 y 125 mg/dl. También se  puede utilizar para corroborar el diagnóstico cuando el resultado de la glucemia plasmática en ayunas  es equívoco*. Un valor ≥ 6,5 % confirma el diagnóstico.  </w:t>
          </w:r>
        </w:sdtContent>
      </w:sdt>
    </w:p>
    <w:p w:rsidR="00000000" w:rsidDel="00000000" w:rsidP="00000000" w:rsidRDefault="00000000" w:rsidRPr="00000000" w14:paraId="0000005D">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a favor de su uso.  </w:t>
      </w:r>
    </w:p>
    <w:p w:rsidR="00000000" w:rsidDel="00000000" w:rsidP="00000000" w:rsidRDefault="00000000" w:rsidRPr="00000000" w14:paraId="0000005E">
      <w:pPr>
        <w:widowControl w:val="0"/>
        <w:spacing w:after="0" w:line="276" w:lineRule="auto"/>
        <w:jc w:val="both"/>
        <w:rPr>
          <w:rFonts w:ascii="Arial" w:cs="Arial" w:eastAsia="Arial" w:hAnsi="Arial"/>
        </w:rPr>
      </w:pPr>
      <w:sdt>
        <w:sdtPr>
          <w:id w:val="14308983"/>
          <w:tag w:val="goog_rdk_12"/>
        </w:sdtPr>
        <w:sdtContent>
          <w:r w:rsidDel="00000000" w:rsidR="00000000" w:rsidRPr="00000000">
            <w:rPr>
              <w:rFonts w:ascii="Arial Unicode MS" w:cs="Arial Unicode MS" w:eastAsia="Arial Unicode MS" w:hAnsi="Arial Unicode MS"/>
              <w:rtl w:val="0"/>
            </w:rPr>
            <w:t xml:space="preserve">Calidad de la evidencia Baja ⊕⊕⊝⊝  </w:t>
          </w:r>
        </w:sdtContent>
      </w:sdt>
    </w:p>
    <w:p w:rsidR="00000000" w:rsidDel="00000000" w:rsidP="00000000" w:rsidRDefault="00000000" w:rsidRPr="00000000" w14:paraId="0000005F">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widowControl w:val="0"/>
        <w:spacing w:after="0" w:line="276" w:lineRule="auto"/>
        <w:jc w:val="both"/>
        <w:rPr>
          <w:rFonts w:ascii="Arial" w:cs="Arial" w:eastAsia="Arial" w:hAnsi="Arial"/>
        </w:rPr>
      </w:pPr>
      <w:sdt>
        <w:sdtPr>
          <w:id w:val="809584616"/>
          <w:tag w:val="goog_rdk_13"/>
        </w:sdtPr>
        <w:sdtContent>
          <w:r w:rsidDel="00000000" w:rsidR="00000000" w:rsidRPr="00000000">
            <w:rPr>
              <w:rFonts w:ascii="Arial Unicode MS" w:cs="Arial Unicode MS" w:eastAsia="Arial Unicode MS" w:hAnsi="Arial Unicode MS"/>
              <w:rtl w:val="0"/>
            </w:rPr>
            <w:t xml:space="preserve">3. Se sugiere utilizar la prueba de tolerancia oral a la glucosa (PTOG) como estrategia para el  diagnóstico de la diabetes mellitus tipo 2 en pacientes con glucemia plasmática en ayunas entre 100  y 125 mg/dl que manifiesten su preferencia por esta estrategia. También se puede utilizar para  corroborar el diagnóstico cuando el resultado de la glucemia plasmática en ayunas es equívoco*. Un  valor ≥ 200 mg/dl a las 2 h de ingerir una carga de 75 g de glucosa confirma el diagnóstico.  </w:t>
          </w:r>
        </w:sdtContent>
      </w:sdt>
    </w:p>
    <w:p w:rsidR="00000000" w:rsidDel="00000000" w:rsidP="00000000" w:rsidRDefault="00000000" w:rsidRPr="00000000" w14:paraId="00000061">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a favor de su uso. </w:t>
      </w:r>
    </w:p>
    <w:p w:rsidR="00000000" w:rsidDel="00000000" w:rsidP="00000000" w:rsidRDefault="00000000" w:rsidRPr="00000000" w14:paraId="00000062">
      <w:pPr>
        <w:widowControl w:val="0"/>
        <w:spacing w:after="0" w:line="276" w:lineRule="auto"/>
        <w:jc w:val="both"/>
        <w:rPr>
          <w:rFonts w:ascii="Arial" w:cs="Arial" w:eastAsia="Arial" w:hAnsi="Arial"/>
        </w:rPr>
      </w:pPr>
      <w:sdt>
        <w:sdtPr>
          <w:id w:val="2029561471"/>
          <w:tag w:val="goog_rdk_14"/>
        </w:sdtPr>
        <w:sdtContent>
          <w:r w:rsidDel="00000000" w:rsidR="00000000" w:rsidRPr="00000000">
            <w:rPr>
              <w:rFonts w:ascii="Arial Unicode MS" w:cs="Arial Unicode MS" w:eastAsia="Arial Unicode MS" w:hAnsi="Arial Unicode MS"/>
              <w:rtl w:val="0"/>
            </w:rPr>
            <w:t xml:space="preserve">Calidad de la evidencia Alta ⊕⊕⊕⊕ </w:t>
          </w:r>
        </w:sdtContent>
      </w:sdt>
    </w:p>
    <w:p w:rsidR="00000000" w:rsidDel="00000000" w:rsidP="00000000" w:rsidRDefault="00000000" w:rsidRPr="00000000" w14:paraId="00000063">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*Se considera glucemia plasmática en ayunas equívoca cuando las 2 mediciones de glucemia son divergentes; es decir, una es &gt; 125, y la otra, menor.</w:t>
      </w:r>
    </w:p>
    <w:p w:rsidR="00000000" w:rsidDel="00000000" w:rsidP="00000000" w:rsidRDefault="00000000" w:rsidRPr="00000000" w14:paraId="00000064">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65">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PUNTOS DE BUENA PRÁCTICA CLÍNICA:  </w:t>
      </w:r>
    </w:p>
    <w:p w:rsidR="00000000" w:rsidDel="00000000" w:rsidP="00000000" w:rsidRDefault="00000000" w:rsidRPr="00000000" w14:paraId="00000066">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7">
      <w:pPr>
        <w:widowControl w:val="0"/>
        <w:spacing w:after="0" w:line="276" w:lineRule="auto"/>
        <w:jc w:val="both"/>
        <w:rPr>
          <w:rFonts w:ascii="Arial" w:cs="Arial" w:eastAsia="Arial" w:hAnsi="Arial"/>
        </w:rPr>
      </w:pPr>
      <w:sdt>
        <w:sdtPr>
          <w:id w:val="1380216908"/>
          <w:tag w:val="goog_rdk_15"/>
        </w:sdtPr>
        <w:sdtContent>
          <w:r w:rsidDel="00000000" w:rsidR="00000000" w:rsidRPr="00000000">
            <w:rPr>
              <w:rFonts w:ascii="Arial Unicode MS" w:cs="Arial Unicode MS" w:eastAsia="Arial Unicode MS" w:hAnsi="Arial Unicode MS"/>
              <w:rtl w:val="0"/>
            </w:rPr>
            <w:t xml:space="preserve">∙ Los centros que realizan la prueba de HbA1c deberán cumplir con las normas  internacionales, garantizando que los kits disponibles en el país y los métodos sean  certificados por la NGSP (National Glycohemoglobin Standardization Program - www.ngsp.org). </w:t>
          </w:r>
        </w:sdtContent>
      </w:sdt>
    </w:p>
    <w:p w:rsidR="00000000" w:rsidDel="00000000" w:rsidP="00000000" w:rsidRDefault="00000000" w:rsidRPr="00000000" w14:paraId="00000068">
      <w:pPr>
        <w:widowControl w:val="0"/>
        <w:spacing w:after="0" w:line="276" w:lineRule="auto"/>
        <w:jc w:val="both"/>
        <w:rPr>
          <w:rFonts w:ascii="Arial" w:cs="Arial" w:eastAsia="Arial" w:hAnsi="Arial"/>
        </w:rPr>
      </w:pPr>
      <w:sdt>
        <w:sdtPr>
          <w:id w:val="-263913367"/>
          <w:tag w:val="goog_rdk_16"/>
        </w:sdtPr>
        <w:sdtContent>
          <w:r w:rsidDel="00000000" w:rsidR="00000000" w:rsidRPr="00000000">
            <w:rPr>
              <w:rFonts w:ascii="Arial Unicode MS" w:cs="Arial Unicode MS" w:eastAsia="Arial Unicode MS" w:hAnsi="Arial Unicode MS"/>
              <w:rtl w:val="0"/>
            </w:rPr>
            <w:t xml:space="preserve">∙ En caso que la sospecha clínica de DMT2 sea alta en la prueba de tamización y la HbA1c se  encuentre por debajo de 6,5 %, se deberá realizar una prueba de tolerancia oral a la glucosa  (PTOG) para confirmar el diagnóstico o para establecer la presencia de categorías con riesgo  aumentado de diabetes (prediabetes)* para incluirlos en programas de prevención de DMT2.  </w:t>
          </w:r>
        </w:sdtContent>
      </w:sdt>
    </w:p>
    <w:p w:rsidR="00000000" w:rsidDel="00000000" w:rsidP="00000000" w:rsidRDefault="00000000" w:rsidRPr="00000000" w14:paraId="00000069">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 Categorías con riesgo aumentado de diabetes:  </w:t>
      </w:r>
    </w:p>
    <w:p w:rsidR="00000000" w:rsidDel="00000000" w:rsidP="00000000" w:rsidRDefault="00000000" w:rsidRPr="00000000" w14:paraId="0000006A">
      <w:pPr>
        <w:widowControl w:val="0"/>
        <w:spacing w:after="0" w:line="276" w:lineRule="auto"/>
        <w:jc w:val="both"/>
        <w:rPr>
          <w:rFonts w:ascii="Arial" w:cs="Arial" w:eastAsia="Arial" w:hAnsi="Arial"/>
        </w:rPr>
      </w:pPr>
      <w:sdt>
        <w:sdtPr>
          <w:id w:val="1832225188"/>
          <w:tag w:val="goog_rdk_17"/>
        </w:sdtPr>
        <w:sdtContent>
          <w:r w:rsidDel="00000000" w:rsidR="00000000" w:rsidRPr="00000000">
            <w:rPr>
              <w:rFonts w:ascii="Arial Unicode MS" w:cs="Arial Unicode MS" w:eastAsia="Arial Unicode MS" w:hAnsi="Arial Unicode MS"/>
              <w:rtl w:val="0"/>
            </w:rPr>
            <w:t xml:space="preserve">∙ - Glucemia de ayuno alterada: Glucemia plasmática ayuno entre 100 y 125 mg/dl ∙ - Intolerancia a la glucosa: Glucemia a las 2 horas entre 140 y 199 mg/dl en una PTOG  </w:t>
          </w:r>
        </w:sdtContent>
      </w:sdt>
    </w:p>
    <w:p w:rsidR="00000000" w:rsidDel="00000000" w:rsidP="00000000" w:rsidRDefault="00000000" w:rsidRPr="00000000" w14:paraId="0000006B">
      <w:pPr>
        <w:widowControl w:val="0"/>
        <w:spacing w:after="0" w:line="276" w:lineRule="auto"/>
        <w:jc w:val="both"/>
        <w:rPr>
          <w:rFonts w:ascii="Arial" w:cs="Arial" w:eastAsia="Arial" w:hAnsi="Arial"/>
        </w:rPr>
      </w:pPr>
      <w:sdt>
        <w:sdtPr>
          <w:id w:val="264673013"/>
          <w:tag w:val="goog_rdk_18"/>
        </w:sdtPr>
        <w:sdtContent>
          <w:r w:rsidDel="00000000" w:rsidR="00000000" w:rsidRPr="00000000">
            <w:rPr>
              <w:rFonts w:ascii="Arial Unicode MS" w:cs="Arial Unicode MS" w:eastAsia="Arial Unicode MS" w:hAnsi="Arial Unicode MS"/>
              <w:rtl w:val="0"/>
            </w:rPr>
            <w:t xml:space="preserve">✔ La prueba PTOG detecta más casos de diabetes que la HbA1c y por consiguiente resulta ser  más costo-efectiva. Se debe utilizar cuando se desea diagnosticar al mayor número de  personas que tienen diabetes.  </w:t>
          </w:r>
        </w:sdtContent>
      </w:sdt>
    </w:p>
    <w:p w:rsidR="00000000" w:rsidDel="00000000" w:rsidP="00000000" w:rsidRDefault="00000000" w:rsidRPr="00000000" w14:paraId="0000006C">
      <w:pPr>
        <w:widowControl w:val="0"/>
        <w:spacing w:after="0" w:line="276" w:lineRule="auto"/>
        <w:jc w:val="both"/>
        <w:rPr>
          <w:rFonts w:ascii="Arial" w:cs="Arial" w:eastAsia="Arial" w:hAnsi="Arial"/>
        </w:rPr>
      </w:pPr>
      <w:sdt>
        <w:sdtPr>
          <w:id w:val="1106976519"/>
          <w:tag w:val="goog_rdk_19"/>
        </w:sdtPr>
        <w:sdtContent>
          <w:r w:rsidDel="00000000" w:rsidR="00000000" w:rsidRPr="00000000">
            <w:rPr>
              <w:rFonts w:ascii="Arial Unicode MS" w:cs="Arial Unicode MS" w:eastAsia="Arial Unicode MS" w:hAnsi="Arial Unicode MS"/>
              <w:rtl w:val="0"/>
            </w:rPr>
            <w:t xml:space="preserve">✔ En todos los casos en que se diagnostique DMT2. se debe medir la HbA1c al comienzo para  utilizarla en la toma de decisiones sobre el tratamiento a seguir y para poder evaluar  posteriormente el efecto del tratamiento. </w:t>
          </w:r>
        </w:sdtContent>
      </w:sdt>
    </w:p>
    <w:p w:rsidR="00000000" w:rsidDel="00000000" w:rsidP="00000000" w:rsidRDefault="00000000" w:rsidRPr="00000000" w14:paraId="0000006D">
      <w:pPr>
        <w:widowControl w:val="0"/>
        <w:spacing w:after="0" w:line="276" w:lineRule="auto"/>
        <w:jc w:val="both"/>
        <w:rPr>
          <w:rFonts w:ascii="Arial" w:cs="Arial" w:eastAsia="Arial" w:hAnsi="Arial"/>
        </w:rPr>
      </w:pPr>
      <w:sdt>
        <w:sdtPr>
          <w:id w:val="-1570896174"/>
          <w:tag w:val="goog_rdk_20"/>
        </w:sdtPr>
        <w:sdtContent>
          <w:r w:rsidDel="00000000" w:rsidR="00000000" w:rsidRPr="00000000">
            <w:rPr>
              <w:rFonts w:ascii="Arial Unicode MS" w:cs="Arial Unicode MS" w:eastAsia="Arial Unicode MS" w:hAnsi="Arial Unicode MS"/>
              <w:rtl w:val="0"/>
            </w:rPr>
            <w:t xml:space="preserve">✔ En todos los casos en los que se descarte el diagnóstico de DMT2 debe hacerse educación  sobre estilos de vida saludable, enfatizando en el control de los factores de riesgo para DMT2  que fueron identificados inicialmente en tamización. </w:t>
          </w:r>
        </w:sdtContent>
      </w:sdt>
    </w:p>
    <w:p w:rsidR="00000000" w:rsidDel="00000000" w:rsidP="00000000" w:rsidRDefault="00000000" w:rsidRPr="00000000" w14:paraId="0000006E">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6F">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TEMA 2. MANEJO INICIAL DE LA DIABETES TIPO 2 </w:t>
      </w:r>
    </w:p>
    <w:p w:rsidR="00000000" w:rsidDel="00000000" w:rsidP="00000000" w:rsidRDefault="00000000" w:rsidRPr="00000000" w14:paraId="00000070">
      <w:pPr>
        <w:widowControl w:val="0"/>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71">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El objetivo fundamental del tratamiento consiste en lograr cambios intensivos en el estilo de vida que  conduzcan a un control metabólico permanente mediante la normalización y mantenimiento del peso  y el incremento persistente de la actividad física  </w:t>
      </w:r>
    </w:p>
    <w:p w:rsidR="00000000" w:rsidDel="00000000" w:rsidP="00000000" w:rsidRDefault="00000000" w:rsidRPr="00000000" w14:paraId="00000072">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La persona con DMT2 y exceso de peso debe entrar a un programa que le ayude a hacer una dieta con  la reducción de ingesta calórica necesaria para perder peso y alcanzar un índice de masa corporal  cercano a 25 kg/m². </w:t>
      </w:r>
    </w:p>
    <w:p w:rsidR="00000000" w:rsidDel="00000000" w:rsidP="00000000" w:rsidRDefault="00000000" w:rsidRPr="00000000" w14:paraId="00000073">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La dieta debe ser fraccionada y balanceada, teniendo en cuenta la edad y la actividad del sujeto.  </w:t>
      </w:r>
    </w:p>
    <w:p w:rsidR="00000000" w:rsidDel="00000000" w:rsidP="00000000" w:rsidRDefault="00000000" w:rsidRPr="00000000" w14:paraId="00000074">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Se debe reducir el consumo de alimentos fuentes de carbohidratos simples y de grasas saturadas y  trans, que se pueden sustituir por grasas provenientes de pescados y de aceites vegetales como el de  canola y de oliva. </w:t>
      </w:r>
    </w:p>
    <w:p w:rsidR="00000000" w:rsidDel="00000000" w:rsidP="00000000" w:rsidRDefault="00000000" w:rsidRPr="00000000" w14:paraId="00000075">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Se debe aumentar el consumo de frutas y verduras como fuentes de fibra y antioxidantes. También el  de leguminosas como fuente de proteína y fibra, teniendo en cuenta su contenido calórico. El manejo de los pacientes con DMT2 debe ser multifactorial para lograr un control adecuado de todos  los factores de riesgo cardiovasculares como la hiperglucemia, la dislipidemia, la hipertensión arterial  y el tabaquismo.  </w:t>
      </w:r>
    </w:p>
    <w:p w:rsidR="00000000" w:rsidDel="00000000" w:rsidP="00000000" w:rsidRDefault="00000000" w:rsidRPr="00000000" w14:paraId="00000076">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Todo paciente con DMT2 debe ingresar a un programa educativo que lo apoye para que modifique su  estilo de vida, alcance los objetivos terapéuticos y prevenga las complicaciones de la diabetes. El programa educativo debe ser continuo y debe estar liderado por un profesional de la salud  certificado en educación diabetológica, con el apoyo de profesionales en otras áreas de la salud como  nutrición, enfermería, educación física, psicología, podología y odontología.  </w:t>
      </w:r>
    </w:p>
    <w:p w:rsidR="00000000" w:rsidDel="00000000" w:rsidP="00000000" w:rsidRDefault="00000000" w:rsidRPr="00000000" w14:paraId="00000077">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El tratamiento farmacológico se comienza usualmente con antidiabéticos orales cuando el paciente  está clínicamente estable, aunque tenga una HbA1c muy elevada. El descenso de la HbA1c es  directamente proporcional al grado de elevación inicial de la misma.  </w:t>
      </w:r>
    </w:p>
    <w:p w:rsidR="00000000" w:rsidDel="00000000" w:rsidP="00000000" w:rsidRDefault="00000000" w:rsidRPr="00000000" w14:paraId="00000078">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Cuando el paciente se encuentra muy sintomático y clínicamente inestable, con pérdida aguda de  peso, signos de deshidratación, evidencia de cetosis y glucemias muy elevadas, se recomienda iniciar  insulina aunque luego se pueda retirar gradualmente. </w:t>
      </w:r>
    </w:p>
    <w:p w:rsidR="00000000" w:rsidDel="00000000" w:rsidP="00000000" w:rsidRDefault="00000000" w:rsidRPr="00000000" w14:paraId="00000079">
      <w:pPr>
        <w:widowControl w:val="0"/>
        <w:spacing w:after="0" w:line="276" w:lineRule="auto"/>
        <w:jc w:val="both"/>
        <w:rPr>
          <w:rFonts w:ascii="Arial" w:cs="Arial" w:eastAsia="Arial" w:hAnsi="Arial"/>
        </w:rPr>
      </w:pPr>
      <w:sdt>
        <w:sdtPr>
          <w:id w:val="-1652601501"/>
          <w:tag w:val="goog_rdk_21"/>
        </w:sdtPr>
        <w:sdtContent>
          <w:r w:rsidDel="00000000" w:rsidR="00000000" w:rsidRPr="00000000">
            <w:rPr>
              <w:rFonts w:ascii="Arial Unicode MS" w:cs="Arial Unicode MS" w:eastAsia="Arial Unicode MS" w:hAnsi="Arial Unicode MS"/>
              <w:rtl w:val="0"/>
            </w:rPr>
            <w:t xml:space="preserve">Cuando el paciente con DMT2 tiene una obesidad mórbida, con un IMC ≥ 35 kg/m², se puede  beneficiar si ingresa a un programa dirigido a practicarle una cirugía bariátrica en caso de que reúna  los criterios a favor, no tenga contraindicaciones y demuestre estar dispuesto a cambiar  intensivamente su estilo de vida.</w:t>
          </w:r>
        </w:sdtContent>
      </w:sdt>
    </w:p>
    <w:p w:rsidR="00000000" w:rsidDel="00000000" w:rsidP="00000000" w:rsidRDefault="00000000" w:rsidRPr="00000000" w14:paraId="0000007A">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7B">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PREGUNTA CLÍNICA 3: ¿En personas adultas con diabetes mellitus tipo 2 (DMT2) recién diagnosticada, se puede iniciar  manejo solamente con cambios intensivos de estilo de vida? </w:t>
      </w:r>
    </w:p>
    <w:p w:rsidR="00000000" w:rsidDel="00000000" w:rsidP="00000000" w:rsidRDefault="00000000" w:rsidRPr="00000000" w14:paraId="0000007C">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7D">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RECOMENDACIONES:  </w:t>
      </w:r>
    </w:p>
    <w:p w:rsidR="00000000" w:rsidDel="00000000" w:rsidP="00000000" w:rsidRDefault="00000000" w:rsidRPr="00000000" w14:paraId="0000007E">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7F">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4. En los pacientes con DMT2 recién diagnosticada, no se recomienda como tratamiento inicial el  manejo únicamente con cambios en el estilo de vida.  </w:t>
      </w:r>
    </w:p>
    <w:p w:rsidR="00000000" w:rsidDel="00000000" w:rsidP="00000000" w:rsidRDefault="00000000" w:rsidRPr="00000000" w14:paraId="00000080">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fuerte en contra de la intervención.  </w:t>
      </w:r>
    </w:p>
    <w:p w:rsidR="00000000" w:rsidDel="00000000" w:rsidP="00000000" w:rsidRDefault="00000000" w:rsidRPr="00000000" w14:paraId="00000081">
      <w:pPr>
        <w:widowControl w:val="0"/>
        <w:spacing w:after="0" w:line="276" w:lineRule="auto"/>
        <w:jc w:val="both"/>
        <w:rPr>
          <w:rFonts w:ascii="Arial" w:cs="Arial" w:eastAsia="Arial" w:hAnsi="Arial"/>
        </w:rPr>
      </w:pPr>
      <w:sdt>
        <w:sdtPr>
          <w:id w:val="579084256"/>
          <w:tag w:val="goog_rdk_22"/>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82">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3">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5. En los pacientes con DMT2 recién diagnosticada, se recomienda iniciar el tratamiento  farmacológico con metformina de forma simultánea con los cambios en el estilo de vida, aunque el  valor inicial de HbA1c esté cercano a la meta.  </w:t>
      </w:r>
    </w:p>
    <w:p w:rsidR="00000000" w:rsidDel="00000000" w:rsidP="00000000" w:rsidRDefault="00000000" w:rsidRPr="00000000" w14:paraId="00000084">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fuerte a favor de la intervención.  </w:t>
      </w:r>
    </w:p>
    <w:p w:rsidR="00000000" w:rsidDel="00000000" w:rsidP="00000000" w:rsidRDefault="00000000" w:rsidRPr="00000000" w14:paraId="00000085">
      <w:pPr>
        <w:widowControl w:val="0"/>
        <w:spacing w:after="0" w:line="276" w:lineRule="auto"/>
        <w:jc w:val="both"/>
        <w:rPr>
          <w:rFonts w:ascii="Arial" w:cs="Arial" w:eastAsia="Arial" w:hAnsi="Arial"/>
        </w:rPr>
      </w:pPr>
      <w:sdt>
        <w:sdtPr>
          <w:id w:val="-213102691"/>
          <w:tag w:val="goog_rdk_23"/>
        </w:sdtPr>
        <w:sdtContent>
          <w:r w:rsidDel="00000000" w:rsidR="00000000" w:rsidRPr="00000000">
            <w:rPr>
              <w:rFonts w:ascii="Arial Unicode MS" w:cs="Arial Unicode MS" w:eastAsia="Arial Unicode MS" w:hAnsi="Arial Unicode MS"/>
              <w:rtl w:val="0"/>
            </w:rPr>
            <w:t xml:space="preserve">Calidad de la evidencia Moderada ⊕⊕⊕⊝</w:t>
          </w:r>
        </w:sdtContent>
      </w:sdt>
    </w:p>
    <w:p w:rsidR="00000000" w:rsidDel="00000000" w:rsidP="00000000" w:rsidRDefault="00000000" w:rsidRPr="00000000" w14:paraId="00000086">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7">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6. En los pacientes con DMT2 recién diagnosticada, se sugiere que los cambios en el estilo de vida  incluyan los componentes de la dieta mediterránea.  </w:t>
      </w:r>
    </w:p>
    <w:p w:rsidR="00000000" w:rsidDel="00000000" w:rsidP="00000000" w:rsidRDefault="00000000" w:rsidRPr="00000000" w14:paraId="00000088">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a favor.  </w:t>
      </w:r>
    </w:p>
    <w:p w:rsidR="00000000" w:rsidDel="00000000" w:rsidP="00000000" w:rsidRDefault="00000000" w:rsidRPr="00000000" w14:paraId="00000089">
      <w:pPr>
        <w:widowControl w:val="0"/>
        <w:spacing w:after="0" w:line="276" w:lineRule="auto"/>
        <w:jc w:val="both"/>
        <w:rPr>
          <w:rFonts w:ascii="Arial" w:cs="Arial" w:eastAsia="Arial" w:hAnsi="Arial"/>
        </w:rPr>
      </w:pPr>
      <w:sdt>
        <w:sdtPr>
          <w:id w:val="-1315992525"/>
          <w:tag w:val="goog_rdk_24"/>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8A">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B">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7. En los pacientes con DMT2 recién diagnosticada, se sugiere que los cambios en el estilo de vida  incluyan ejercicio aeróbico de moderada intensidad.  </w:t>
      </w:r>
    </w:p>
    <w:p w:rsidR="00000000" w:rsidDel="00000000" w:rsidP="00000000" w:rsidRDefault="00000000" w:rsidRPr="00000000" w14:paraId="0000008C">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a favor.  </w:t>
      </w:r>
    </w:p>
    <w:p w:rsidR="00000000" w:rsidDel="00000000" w:rsidP="00000000" w:rsidRDefault="00000000" w:rsidRPr="00000000" w14:paraId="0000008D">
      <w:pPr>
        <w:widowControl w:val="0"/>
        <w:spacing w:after="0" w:line="276" w:lineRule="auto"/>
        <w:jc w:val="both"/>
        <w:rPr>
          <w:rFonts w:ascii="Arial" w:cs="Arial" w:eastAsia="Arial" w:hAnsi="Arial"/>
        </w:rPr>
      </w:pPr>
      <w:sdt>
        <w:sdtPr>
          <w:id w:val="1026760877"/>
          <w:tag w:val="goog_rdk_25"/>
        </w:sdtPr>
        <w:sdtContent>
          <w:r w:rsidDel="00000000" w:rsidR="00000000" w:rsidRPr="00000000">
            <w:rPr>
              <w:rFonts w:ascii="Arial Unicode MS" w:cs="Arial Unicode MS" w:eastAsia="Arial Unicode MS" w:hAnsi="Arial Unicode MS"/>
              <w:rtl w:val="0"/>
            </w:rPr>
            <w:t xml:space="preserve">Calidad de la evidencia Baja ⊕⊕⊝⊝  </w:t>
          </w:r>
        </w:sdtContent>
      </w:sdt>
    </w:p>
    <w:p w:rsidR="00000000" w:rsidDel="00000000" w:rsidP="00000000" w:rsidRDefault="00000000" w:rsidRPr="00000000" w14:paraId="0000008E">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F">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8. En los pacientes con DMT2 recién diagnosticada, se sugiere que los cambios en el estilo de vida  incluyan ejercicio de resistencia, en los casos en los que se haga manifiesta dicha preferencia. Recomendación débil a favor.  </w:t>
      </w:r>
    </w:p>
    <w:p w:rsidR="00000000" w:rsidDel="00000000" w:rsidP="00000000" w:rsidRDefault="00000000" w:rsidRPr="00000000" w14:paraId="00000090">
      <w:pPr>
        <w:widowControl w:val="0"/>
        <w:spacing w:after="0" w:line="276" w:lineRule="auto"/>
        <w:jc w:val="both"/>
        <w:rPr>
          <w:rFonts w:ascii="Arial" w:cs="Arial" w:eastAsia="Arial" w:hAnsi="Arial"/>
        </w:rPr>
      </w:pPr>
      <w:sdt>
        <w:sdtPr>
          <w:id w:val="1019743560"/>
          <w:tag w:val="goog_rdk_26"/>
        </w:sdtPr>
        <w:sdtContent>
          <w:r w:rsidDel="00000000" w:rsidR="00000000" w:rsidRPr="00000000">
            <w:rPr>
              <w:rFonts w:ascii="Arial Unicode MS" w:cs="Arial Unicode MS" w:eastAsia="Arial Unicode MS" w:hAnsi="Arial Unicode MS"/>
              <w:rtl w:val="0"/>
            </w:rPr>
            <w:t xml:space="preserve">Calidad de la evidencia muy Baja ⊕⊝⊝⊝ </w:t>
          </w:r>
        </w:sdtContent>
      </w:sdt>
    </w:p>
    <w:p w:rsidR="00000000" w:rsidDel="00000000" w:rsidP="00000000" w:rsidRDefault="00000000" w:rsidRPr="00000000" w14:paraId="00000091">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92">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93">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PUNTOS DE BUENA PRÁCTICA CLÍNICA:  </w:t>
      </w:r>
    </w:p>
    <w:p w:rsidR="00000000" w:rsidDel="00000000" w:rsidP="00000000" w:rsidRDefault="00000000" w:rsidRPr="00000000" w14:paraId="00000094">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95">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Cuando se inicie el cambio de estilo de vida se debe tener en cuenta los siguientes elementos:  </w:t>
      </w:r>
    </w:p>
    <w:p w:rsidR="00000000" w:rsidDel="00000000" w:rsidP="00000000" w:rsidRDefault="00000000" w:rsidRPr="00000000" w14:paraId="00000096">
      <w:pPr>
        <w:widowControl w:val="0"/>
        <w:spacing w:after="0" w:line="276" w:lineRule="auto"/>
        <w:jc w:val="both"/>
        <w:rPr>
          <w:rFonts w:ascii="Arial" w:cs="Arial" w:eastAsia="Arial" w:hAnsi="Arial"/>
        </w:rPr>
      </w:pPr>
      <w:sdt>
        <w:sdtPr>
          <w:id w:val="-469500178"/>
          <w:tag w:val="goog_rdk_27"/>
        </w:sdtPr>
        <w:sdtContent>
          <w:r w:rsidDel="00000000" w:rsidR="00000000" w:rsidRPr="00000000">
            <w:rPr>
              <w:rFonts w:ascii="Arial Unicode MS" w:cs="Arial Unicode MS" w:eastAsia="Arial Unicode MS" w:hAnsi="Arial Unicode MS"/>
              <w:rtl w:val="0"/>
            </w:rPr>
            <w:t xml:space="preserve">∙ Se recomienda adaptar la dieta mediterránea a las características del medio, pero  conservando el predominio del consumo de vegetales, hortalizas, legumbres, cereales  integrales, frutas enteras, frutos secos y aceite de oliva o nueces. Incluye consumo moderado  de pescado, aves, productos lácteos bajos en grasa y vino con las comidas si forma parte del  hábito del paciente. El consumo de carnes rojas, huevos y granos refinados debe ser  esporádico.  </w:t>
          </w:r>
        </w:sdtContent>
      </w:sdt>
    </w:p>
    <w:p w:rsidR="00000000" w:rsidDel="00000000" w:rsidP="00000000" w:rsidRDefault="00000000" w:rsidRPr="00000000" w14:paraId="00000097">
      <w:pPr>
        <w:widowControl w:val="0"/>
        <w:spacing w:after="0" w:line="276" w:lineRule="auto"/>
        <w:jc w:val="both"/>
        <w:rPr>
          <w:rFonts w:ascii="Arial" w:cs="Arial" w:eastAsia="Arial" w:hAnsi="Arial"/>
        </w:rPr>
      </w:pPr>
      <w:sdt>
        <w:sdtPr>
          <w:id w:val="96812610"/>
          <w:tag w:val="goog_rdk_28"/>
        </w:sdtPr>
        <w:sdtContent>
          <w:r w:rsidDel="00000000" w:rsidR="00000000" w:rsidRPr="00000000">
            <w:rPr>
              <w:rFonts w:ascii="Arial Unicode MS" w:cs="Arial Unicode MS" w:eastAsia="Arial Unicode MS" w:hAnsi="Arial Unicode MS"/>
              <w:rtl w:val="0"/>
            </w:rPr>
            <w:t xml:space="preserve">∙ El consumo habitual de alcohol no se debe estimular.  </w:t>
          </w:r>
        </w:sdtContent>
      </w:sdt>
    </w:p>
    <w:p w:rsidR="00000000" w:rsidDel="00000000" w:rsidP="00000000" w:rsidRDefault="00000000" w:rsidRPr="00000000" w14:paraId="00000098">
      <w:pPr>
        <w:widowControl w:val="0"/>
        <w:spacing w:after="0" w:line="276" w:lineRule="auto"/>
        <w:jc w:val="both"/>
        <w:rPr>
          <w:rFonts w:ascii="Arial" w:cs="Arial" w:eastAsia="Arial" w:hAnsi="Arial"/>
        </w:rPr>
      </w:pPr>
      <w:sdt>
        <w:sdtPr>
          <w:id w:val="227142204"/>
          <w:tag w:val="goog_rdk_29"/>
        </w:sdtPr>
        <w:sdtContent>
          <w:r w:rsidDel="00000000" w:rsidR="00000000" w:rsidRPr="00000000">
            <w:rPr>
              <w:rFonts w:ascii="Arial Unicode MS" w:cs="Arial Unicode MS" w:eastAsia="Arial Unicode MS" w:hAnsi="Arial Unicode MS"/>
              <w:rtl w:val="0"/>
            </w:rPr>
            <w:t xml:space="preserve">∙ El ejercicio aeróbico incluye actividades como montar en bicicleta, caminar, nadar, bailar y  movimientos rítmicos repetidos (≥ 10) de un mismo grupo muscular. La frecuencia debe ser  igual o mayor a 150 minutos por semana y la intensidad no debe exceder una frecuencia  cardíaca equivalente a (220 - edad) x 0,7. </w:t>
          </w:r>
        </w:sdtContent>
      </w:sdt>
    </w:p>
    <w:p w:rsidR="00000000" w:rsidDel="00000000" w:rsidP="00000000" w:rsidRDefault="00000000" w:rsidRPr="00000000" w14:paraId="00000099">
      <w:pPr>
        <w:widowControl w:val="0"/>
        <w:spacing w:after="0" w:line="276" w:lineRule="auto"/>
        <w:jc w:val="both"/>
        <w:rPr>
          <w:rFonts w:ascii="Arial" w:cs="Arial" w:eastAsia="Arial" w:hAnsi="Arial"/>
        </w:rPr>
      </w:pPr>
      <w:sdt>
        <w:sdtPr>
          <w:id w:val="-922610900"/>
          <w:tag w:val="goog_rdk_30"/>
        </w:sdtPr>
        <w:sdtContent>
          <w:r w:rsidDel="00000000" w:rsidR="00000000" w:rsidRPr="00000000">
            <w:rPr>
              <w:rFonts w:ascii="Arial Unicode MS" w:cs="Arial Unicode MS" w:eastAsia="Arial Unicode MS" w:hAnsi="Arial Unicode MS"/>
              <w:rtl w:val="0"/>
            </w:rPr>
            <w:t xml:space="preserve">∙ El ejercicio de resistencia incluye rutina con pesas que debe ser gradual en la cantidad de  peso y la frecuencia.</w:t>
          </w:r>
        </w:sdtContent>
      </w:sdt>
    </w:p>
    <w:p w:rsidR="00000000" w:rsidDel="00000000" w:rsidP="00000000" w:rsidRDefault="00000000" w:rsidRPr="00000000" w14:paraId="0000009A">
      <w:pPr>
        <w:widowControl w:val="0"/>
        <w:spacing w:after="0" w:line="276" w:lineRule="auto"/>
        <w:jc w:val="both"/>
        <w:rPr>
          <w:rFonts w:ascii="Arial" w:cs="Arial" w:eastAsia="Arial" w:hAnsi="Arial"/>
        </w:rPr>
      </w:pPr>
      <w:sdt>
        <w:sdtPr>
          <w:id w:val="360148902"/>
          <w:tag w:val="goog_rdk_31"/>
        </w:sdtPr>
        <w:sdtContent>
          <w:r w:rsidDel="00000000" w:rsidR="00000000" w:rsidRPr="00000000">
            <w:rPr>
              <w:rFonts w:ascii="Arial Unicode MS" w:cs="Arial Unicode MS" w:eastAsia="Arial Unicode MS" w:hAnsi="Arial Unicode MS"/>
              <w:rtl w:val="0"/>
            </w:rPr>
            <w:t xml:space="preserve">∙ Se sugiere, en pacientes con DMT2 recién diagnosticada que tengan limitaciones físicas que  le impidan la movilidad, individualizar la prescripción de ejercicio y que sea valorado por un  fisiatra o un médico del deporte.  </w:t>
          </w:r>
        </w:sdtContent>
      </w:sdt>
    </w:p>
    <w:p w:rsidR="00000000" w:rsidDel="00000000" w:rsidP="00000000" w:rsidRDefault="00000000" w:rsidRPr="00000000" w14:paraId="0000009B">
      <w:pPr>
        <w:widowControl w:val="0"/>
        <w:spacing w:after="0" w:line="276" w:lineRule="auto"/>
        <w:jc w:val="both"/>
        <w:rPr>
          <w:rFonts w:ascii="Arial" w:cs="Arial" w:eastAsia="Arial" w:hAnsi="Arial"/>
        </w:rPr>
      </w:pPr>
      <w:sdt>
        <w:sdtPr>
          <w:id w:val="-429030351"/>
          <w:tag w:val="goog_rdk_32"/>
        </w:sdtPr>
        <w:sdtContent>
          <w:r w:rsidDel="00000000" w:rsidR="00000000" w:rsidRPr="00000000">
            <w:rPr>
              <w:rFonts w:ascii="Arial Unicode MS" w:cs="Arial Unicode MS" w:eastAsia="Arial Unicode MS" w:hAnsi="Arial Unicode MS"/>
              <w:rtl w:val="0"/>
            </w:rPr>
            <w:t xml:space="preserve">∙ Si el paciente está clínicamente inestable es preferible aplazar el comienzo del ejercicio hasta  que esté compensado clínicamente. </w:t>
          </w:r>
        </w:sdtContent>
      </w:sdt>
    </w:p>
    <w:p w:rsidR="00000000" w:rsidDel="00000000" w:rsidP="00000000" w:rsidRDefault="00000000" w:rsidRPr="00000000" w14:paraId="0000009C">
      <w:pPr>
        <w:widowControl w:val="0"/>
        <w:spacing w:after="0" w:line="276" w:lineRule="auto"/>
        <w:jc w:val="both"/>
        <w:rPr>
          <w:rFonts w:ascii="Arial" w:cs="Arial" w:eastAsia="Arial" w:hAnsi="Arial"/>
        </w:rPr>
      </w:pPr>
      <w:sdt>
        <w:sdtPr>
          <w:id w:val="1929664028"/>
          <w:tag w:val="goog_rdk_33"/>
        </w:sdtPr>
        <w:sdtContent>
          <w:r w:rsidDel="00000000" w:rsidR="00000000" w:rsidRPr="00000000">
            <w:rPr>
              <w:rFonts w:ascii="Arial Unicode MS" w:cs="Arial Unicode MS" w:eastAsia="Arial Unicode MS" w:hAnsi="Arial Unicode MS"/>
              <w:rtl w:val="0"/>
            </w:rPr>
            <w:t xml:space="preserve">∙ La metformina debe dosificarse en forma gradual partiendo de 500 mg al día hasta llegar a  1000 mg dos veces al día para evitar intolerancia gastrointestinal (náuseas, dolor abdominal,  diarrea).  </w:t>
          </w:r>
        </w:sdtContent>
      </w:sdt>
    </w:p>
    <w:p w:rsidR="00000000" w:rsidDel="00000000" w:rsidP="00000000" w:rsidRDefault="00000000" w:rsidRPr="00000000" w14:paraId="0000009D">
      <w:pPr>
        <w:widowControl w:val="0"/>
        <w:spacing w:after="0" w:line="276" w:lineRule="auto"/>
        <w:jc w:val="both"/>
        <w:rPr>
          <w:rFonts w:ascii="Arial" w:cs="Arial" w:eastAsia="Arial" w:hAnsi="Arial"/>
        </w:rPr>
      </w:pPr>
      <w:sdt>
        <w:sdtPr>
          <w:id w:val="2136219747"/>
          <w:tag w:val="goog_rdk_34"/>
        </w:sdtPr>
        <w:sdtContent>
          <w:r w:rsidDel="00000000" w:rsidR="00000000" w:rsidRPr="00000000">
            <w:rPr>
              <w:rFonts w:ascii="Arial Unicode MS" w:cs="Arial Unicode MS" w:eastAsia="Arial Unicode MS" w:hAnsi="Arial Unicode MS"/>
              <w:rtl w:val="0"/>
            </w:rPr>
            <w:t xml:space="preserve">∙ Se debe reducir la dosis de metformina a un máximo de 1000 mg al día cuando la tasa de  filtración glomerular esté por debajo de 50 ml/min y se debe suspender cuando esté por  debajo de 30 ml/min. Está contraindicada también cuando hay un riesgo alto de acidosis  láctica, como en estados de hipoxemia severa, falla hepática y alcoholismo.  </w:t>
          </w:r>
        </w:sdtContent>
      </w:sdt>
    </w:p>
    <w:p w:rsidR="00000000" w:rsidDel="00000000" w:rsidP="00000000" w:rsidRDefault="00000000" w:rsidRPr="00000000" w14:paraId="0000009E">
      <w:pPr>
        <w:widowControl w:val="0"/>
        <w:spacing w:after="0" w:line="276" w:lineRule="auto"/>
        <w:jc w:val="both"/>
        <w:rPr>
          <w:rFonts w:ascii="Arial" w:cs="Arial" w:eastAsia="Arial" w:hAnsi="Arial"/>
        </w:rPr>
      </w:pPr>
      <w:sdt>
        <w:sdtPr>
          <w:id w:val="-253689834"/>
          <w:tag w:val="goog_rdk_35"/>
        </w:sdtPr>
        <w:sdtContent>
          <w:r w:rsidDel="00000000" w:rsidR="00000000" w:rsidRPr="00000000">
            <w:rPr>
              <w:rFonts w:ascii="Arial Unicode MS" w:cs="Arial Unicode MS" w:eastAsia="Arial Unicode MS" w:hAnsi="Arial Unicode MS"/>
              <w:rtl w:val="0"/>
            </w:rPr>
            <w:t xml:space="preserve">∙ Cuando la metformina está contraindicada o no se tolera, se puede reemplazar como  tratamiento inicial por cualquiera de los otros antidiabéticos orales que esté aprobado para  monoterapia.  </w:t>
          </w:r>
        </w:sdtContent>
      </w:sdt>
    </w:p>
    <w:p w:rsidR="00000000" w:rsidDel="00000000" w:rsidP="00000000" w:rsidRDefault="00000000" w:rsidRPr="00000000" w14:paraId="0000009F">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0">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PREGUNTA CLÍNICA 4: ¿En personas adultas con diabetes mellitus tipo 2 recién diagnosticada, cuándo se debe iniciar un  manejo con más de un medicamento para obtener un control glucémico adecuado?</w:t>
      </w:r>
    </w:p>
    <w:p w:rsidR="00000000" w:rsidDel="00000000" w:rsidP="00000000" w:rsidRDefault="00000000" w:rsidRPr="00000000" w14:paraId="000000A1">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2">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3">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RECOMENDACIONES:  </w:t>
      </w:r>
    </w:p>
    <w:p w:rsidR="00000000" w:rsidDel="00000000" w:rsidP="00000000" w:rsidRDefault="00000000" w:rsidRPr="00000000" w14:paraId="000000A4">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5">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9. En los pacientes con DMT2 recién diagnosticada y niveles de HbA1c &gt; 8  %, se recomienda utilizar  terapia combinada desde el inicio con metformina y otro antidiabético oral.  Recomendación fuerte a favor.  </w:t>
      </w:r>
    </w:p>
    <w:p w:rsidR="00000000" w:rsidDel="00000000" w:rsidP="00000000" w:rsidRDefault="00000000" w:rsidRPr="00000000" w14:paraId="000000A6">
      <w:pPr>
        <w:widowControl w:val="0"/>
        <w:spacing w:after="0" w:line="276" w:lineRule="auto"/>
        <w:jc w:val="both"/>
        <w:rPr>
          <w:rFonts w:ascii="Arial" w:cs="Arial" w:eastAsia="Arial" w:hAnsi="Arial"/>
        </w:rPr>
      </w:pPr>
      <w:sdt>
        <w:sdtPr>
          <w:id w:val="-1434094390"/>
          <w:tag w:val="goog_rdk_36"/>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A7">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8">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10. En los pacientes con DMT2 recién diagnosticada en quienes se decida implementar terapia  combinada desde el inicio, se recomienda la asociación de metformina a un inhibidor de DPP-4  Recomendación fuerte a favor.  </w:t>
      </w:r>
    </w:p>
    <w:p w:rsidR="00000000" w:rsidDel="00000000" w:rsidP="00000000" w:rsidRDefault="00000000" w:rsidRPr="00000000" w14:paraId="000000A9">
      <w:pPr>
        <w:widowControl w:val="0"/>
        <w:spacing w:after="0" w:line="276" w:lineRule="auto"/>
        <w:jc w:val="both"/>
        <w:rPr>
          <w:rFonts w:ascii="Arial" w:cs="Arial" w:eastAsia="Arial" w:hAnsi="Arial"/>
        </w:rPr>
      </w:pPr>
      <w:sdt>
        <w:sdtPr>
          <w:id w:val="303929014"/>
          <w:tag w:val="goog_rdk_37"/>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AA">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B">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11. En los pacientes con DMT2 recién diagnosticada en quienes se decida terapia combinada desde el  inicio, se sugiere la combinación de metformina con un inhibidor SGLT-2, como una alternativa a la  combinación de metformina con inhibidor DPP-4  </w:t>
      </w:r>
    </w:p>
    <w:p w:rsidR="00000000" w:rsidDel="00000000" w:rsidP="00000000" w:rsidRDefault="00000000" w:rsidRPr="00000000" w14:paraId="000000AC">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a favor.  </w:t>
      </w:r>
    </w:p>
    <w:p w:rsidR="00000000" w:rsidDel="00000000" w:rsidP="00000000" w:rsidRDefault="00000000" w:rsidRPr="00000000" w14:paraId="000000AD">
      <w:pPr>
        <w:widowControl w:val="0"/>
        <w:spacing w:after="0" w:line="276" w:lineRule="auto"/>
        <w:jc w:val="both"/>
        <w:rPr>
          <w:rFonts w:ascii="Arial" w:cs="Arial" w:eastAsia="Arial" w:hAnsi="Arial"/>
        </w:rPr>
      </w:pPr>
      <w:sdt>
        <w:sdtPr>
          <w:id w:val="374571147"/>
          <w:tag w:val="goog_rdk_38"/>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AE">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F">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12. En los pacientes con DMT2 recién diagnosticada y HbA1c &gt; 9  % que no puedan utilizar la  combinación de metformina con iDPP4 o iSGLT2. se sugiere la combinación de metformina con una  sulfonilurea que tenga bajo riesgo de hipoglucemia (glimepirida o glicazida).  Recomendación débil a favor.  </w:t>
      </w:r>
    </w:p>
    <w:p w:rsidR="00000000" w:rsidDel="00000000" w:rsidP="00000000" w:rsidRDefault="00000000" w:rsidRPr="00000000" w14:paraId="000000B0">
      <w:pPr>
        <w:widowControl w:val="0"/>
        <w:spacing w:after="0" w:line="276" w:lineRule="auto"/>
        <w:jc w:val="both"/>
        <w:rPr>
          <w:rFonts w:ascii="Arial" w:cs="Arial" w:eastAsia="Arial" w:hAnsi="Arial"/>
        </w:rPr>
      </w:pPr>
      <w:sdt>
        <w:sdtPr>
          <w:id w:val="1106268504"/>
          <w:tag w:val="goog_rdk_39"/>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B1">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2">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13. En los pacientes con DMT2 recién diagnosticada, se sugiere no usar la combinación de metformina  con glibenclamida, por el alto riesgo de hipoglucemia. </w:t>
      </w:r>
    </w:p>
    <w:p w:rsidR="00000000" w:rsidDel="00000000" w:rsidP="00000000" w:rsidRDefault="00000000" w:rsidRPr="00000000" w14:paraId="000000B3">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en contra.  </w:t>
      </w:r>
    </w:p>
    <w:p w:rsidR="00000000" w:rsidDel="00000000" w:rsidP="00000000" w:rsidRDefault="00000000" w:rsidRPr="00000000" w14:paraId="000000B4">
      <w:pPr>
        <w:widowControl w:val="0"/>
        <w:spacing w:after="0" w:line="276" w:lineRule="auto"/>
        <w:jc w:val="both"/>
        <w:rPr>
          <w:rFonts w:ascii="Arial" w:cs="Arial" w:eastAsia="Arial" w:hAnsi="Arial"/>
        </w:rPr>
      </w:pPr>
      <w:sdt>
        <w:sdtPr>
          <w:id w:val="-1892047464"/>
          <w:tag w:val="goog_rdk_40"/>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B5">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6">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14. En los pacientes con DMT2 recién diagnosticada, se sugiere no usar la combinación de metformina  con tiazolidinediona, por el riesgo aumentado de desarrollar edemas, falla cardiaca o fracturas.  Recomendación fuerte en contra.  </w:t>
      </w:r>
    </w:p>
    <w:p w:rsidR="00000000" w:rsidDel="00000000" w:rsidP="00000000" w:rsidRDefault="00000000" w:rsidRPr="00000000" w14:paraId="000000B7">
      <w:pPr>
        <w:widowControl w:val="0"/>
        <w:spacing w:after="0" w:line="276" w:lineRule="auto"/>
        <w:jc w:val="both"/>
        <w:rPr>
          <w:rFonts w:ascii="Arial" w:cs="Arial" w:eastAsia="Arial" w:hAnsi="Arial"/>
        </w:rPr>
      </w:pPr>
      <w:sdt>
        <w:sdtPr>
          <w:id w:val="254243027"/>
          <w:tag w:val="goog_rdk_41"/>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B8">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9">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PUNTOS DE BUENA PRÁCTICA CLÍNICA: </w:t>
      </w:r>
    </w:p>
    <w:p w:rsidR="00000000" w:rsidDel="00000000" w:rsidP="00000000" w:rsidRDefault="00000000" w:rsidRPr="00000000" w14:paraId="000000BA">
      <w:pPr>
        <w:widowControl w:val="0"/>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B">
      <w:pPr>
        <w:widowControl w:val="0"/>
        <w:spacing w:after="0" w:line="276" w:lineRule="auto"/>
        <w:jc w:val="both"/>
        <w:rPr>
          <w:rFonts w:ascii="Arial" w:cs="Arial" w:eastAsia="Arial" w:hAnsi="Arial"/>
        </w:rPr>
      </w:pPr>
      <w:sdt>
        <w:sdtPr>
          <w:id w:val="2094780331"/>
          <w:tag w:val="goog_rdk_42"/>
        </w:sdtPr>
        <w:sdtContent>
          <w:r w:rsidDel="00000000" w:rsidR="00000000" w:rsidRPr="00000000">
            <w:rPr>
              <w:rFonts w:ascii="Arial Unicode MS" w:cs="Arial Unicode MS" w:eastAsia="Arial Unicode MS" w:hAnsi="Arial Unicode MS"/>
              <w:rtl w:val="0"/>
            </w:rPr>
            <w:t xml:space="preserve">∙ Se deben preferir las combinaciones fijas de metformina con otro antidiabético oral siempre  que estén disponibles porque mejoran la adherencia.  </w:t>
          </w:r>
        </w:sdtContent>
      </w:sdt>
    </w:p>
    <w:p w:rsidR="00000000" w:rsidDel="00000000" w:rsidP="00000000" w:rsidRDefault="00000000" w:rsidRPr="00000000" w14:paraId="000000BC">
      <w:pPr>
        <w:widowControl w:val="0"/>
        <w:spacing w:after="0" w:line="276" w:lineRule="auto"/>
        <w:jc w:val="both"/>
        <w:rPr>
          <w:rFonts w:ascii="Arial" w:cs="Arial" w:eastAsia="Arial" w:hAnsi="Arial"/>
        </w:rPr>
      </w:pPr>
      <w:sdt>
        <w:sdtPr>
          <w:id w:val="466140409"/>
          <w:tag w:val="goog_rdk_43"/>
        </w:sdtPr>
        <w:sdtContent>
          <w:r w:rsidDel="00000000" w:rsidR="00000000" w:rsidRPr="00000000">
            <w:rPr>
              <w:rFonts w:ascii="Arial Unicode MS" w:cs="Arial Unicode MS" w:eastAsia="Arial Unicode MS" w:hAnsi="Arial Unicode MS"/>
              <w:rtl w:val="0"/>
            </w:rPr>
            <w:t xml:space="preserve">∙ La dosis de los inhibidores DPP4 debe ajustarse cuando la tasa de filtración glomerular  desciende por debajo de 50 ml/min, con excepción de linagliptina.  </w:t>
          </w:r>
        </w:sdtContent>
      </w:sdt>
    </w:p>
    <w:p w:rsidR="00000000" w:rsidDel="00000000" w:rsidP="00000000" w:rsidRDefault="00000000" w:rsidRPr="00000000" w14:paraId="000000BD">
      <w:pPr>
        <w:widowControl w:val="0"/>
        <w:spacing w:after="0" w:line="276" w:lineRule="auto"/>
        <w:jc w:val="both"/>
        <w:rPr>
          <w:rFonts w:ascii="Arial" w:cs="Arial" w:eastAsia="Arial" w:hAnsi="Arial"/>
        </w:rPr>
      </w:pPr>
      <w:sdt>
        <w:sdtPr>
          <w:id w:val="82166109"/>
          <w:tag w:val="goog_rdk_44"/>
        </w:sdtPr>
        <w:sdtContent>
          <w:r w:rsidDel="00000000" w:rsidR="00000000" w:rsidRPr="00000000">
            <w:rPr>
              <w:rFonts w:ascii="Arial Unicode MS" w:cs="Arial Unicode MS" w:eastAsia="Arial Unicode MS" w:hAnsi="Arial Unicode MS"/>
              <w:rtl w:val="0"/>
            </w:rPr>
            <w:t xml:space="preserve">∙ Se recomienda en pacientes con DMT2 en quienes se decida el uso de sulfonilureas, hacer  énfasis en la educación y realizar automonitoreo de glucosa para detectar y tratar  apropiadamente los episodios de hipoglucemia. </w:t>
          </w:r>
        </w:sdtContent>
      </w:sdt>
    </w:p>
    <w:p w:rsidR="00000000" w:rsidDel="00000000" w:rsidP="00000000" w:rsidRDefault="00000000" w:rsidRPr="00000000" w14:paraId="000000BE">
      <w:pPr>
        <w:widowControl w:val="0"/>
        <w:spacing w:after="0" w:line="276" w:lineRule="auto"/>
        <w:jc w:val="both"/>
        <w:rPr>
          <w:rFonts w:ascii="Arial" w:cs="Arial" w:eastAsia="Arial" w:hAnsi="Arial"/>
        </w:rPr>
      </w:pPr>
      <w:sdt>
        <w:sdtPr>
          <w:id w:val="-1893098412"/>
          <w:tag w:val="goog_rdk_45"/>
        </w:sdtPr>
        <w:sdtContent>
          <w:r w:rsidDel="00000000" w:rsidR="00000000" w:rsidRPr="00000000">
            <w:rPr>
              <w:rFonts w:ascii="Arial Unicode MS" w:cs="Arial Unicode MS" w:eastAsia="Arial Unicode MS" w:hAnsi="Arial Unicode MS"/>
              <w:rtl w:val="0"/>
            </w:rPr>
            <w:t xml:space="preserve">∙ No se recomienda usar sulfonilureas cuando la tasa de filtración glomerular descienda por  debajo de 30 ml/min, con excepción de glipizida. </w:t>
          </w:r>
        </w:sdtContent>
      </w:sdt>
    </w:p>
    <w:p w:rsidR="00000000" w:rsidDel="00000000" w:rsidP="00000000" w:rsidRDefault="00000000" w:rsidRPr="00000000" w14:paraId="000000BF">
      <w:pPr>
        <w:widowControl w:val="0"/>
        <w:spacing w:after="0" w:line="276" w:lineRule="auto"/>
        <w:jc w:val="both"/>
        <w:rPr>
          <w:rFonts w:ascii="Arial" w:cs="Arial" w:eastAsia="Arial" w:hAnsi="Arial"/>
        </w:rPr>
      </w:pPr>
      <w:sdt>
        <w:sdtPr>
          <w:id w:val="-547505267"/>
          <w:tag w:val="goog_rdk_46"/>
        </w:sdtPr>
        <w:sdtContent>
          <w:r w:rsidDel="00000000" w:rsidR="00000000" w:rsidRPr="00000000">
            <w:rPr>
              <w:rFonts w:ascii="Arial Unicode MS" w:cs="Arial Unicode MS" w:eastAsia="Arial Unicode MS" w:hAnsi="Arial Unicode MS"/>
              <w:rtl w:val="0"/>
            </w:rPr>
            <w:t xml:space="preserve">∙ Se recomienda vigilar y tratar oportunamente las infecciones genitourinarias cuando se usan  los inhibidores SGLT2. Su eficacia tiende a disminuir a medida que la función renal se  deteriora significativamente.  </w:t>
          </w:r>
        </w:sdtContent>
      </w:sdt>
    </w:p>
    <w:p w:rsidR="00000000" w:rsidDel="00000000" w:rsidP="00000000" w:rsidRDefault="00000000" w:rsidRPr="00000000" w14:paraId="000000C0">
      <w:pPr>
        <w:widowControl w:val="0"/>
        <w:spacing w:after="0" w:line="276" w:lineRule="auto"/>
        <w:jc w:val="both"/>
        <w:rPr>
          <w:rFonts w:ascii="Arial" w:cs="Arial" w:eastAsia="Arial" w:hAnsi="Arial"/>
        </w:rPr>
      </w:pPr>
      <w:sdt>
        <w:sdtPr>
          <w:id w:val="166206318"/>
          <w:tag w:val="goog_rdk_47"/>
        </w:sdtPr>
        <w:sdtContent>
          <w:r w:rsidDel="00000000" w:rsidR="00000000" w:rsidRPr="00000000">
            <w:rPr>
              <w:rFonts w:ascii="Arial Unicode MS" w:cs="Arial Unicode MS" w:eastAsia="Arial Unicode MS" w:hAnsi="Arial Unicode MS"/>
              <w:rtl w:val="0"/>
            </w:rPr>
            <w:t xml:space="preserve">∙ Si se presentan hipoglucemias con el uso de sulfonilureas, se debe considerar el cambio a  medicamentos que no causen hipoglucemia. </w:t>
          </w:r>
        </w:sdtContent>
      </w:sdt>
    </w:p>
    <w:p w:rsidR="00000000" w:rsidDel="00000000" w:rsidP="00000000" w:rsidRDefault="00000000" w:rsidRPr="00000000" w14:paraId="000000C1">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2">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TEMA 3. FALLA AL TRATAMIENTO INICIAL </w:t>
      </w:r>
    </w:p>
    <w:p w:rsidR="00000000" w:rsidDel="00000000" w:rsidP="00000000" w:rsidRDefault="00000000" w:rsidRPr="00000000" w14:paraId="000000C3">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4">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El objetivo fundamental de la terapia farmacológica es lograr un adecuado control metabólico,  manteniendo la HbA1c en la meta deseada sin causar efectos adversos y sin interferir negativamente  en los cambios del estilo de vida </w:t>
      </w:r>
    </w:p>
    <w:p w:rsidR="00000000" w:rsidDel="00000000" w:rsidP="00000000" w:rsidRDefault="00000000" w:rsidRPr="00000000" w14:paraId="000000C5">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Si no se logra llevar la HbA1c a la meta en un lapso de 3 a 6 meses con el manejo inicial o si después  de haberlo logrado ésta se eleva de nuevo, se debe intensificar el tratamiento y agregar otro  antidiabético. </w:t>
      </w:r>
    </w:p>
    <w:p w:rsidR="00000000" w:rsidDel="00000000" w:rsidP="00000000" w:rsidRDefault="00000000" w:rsidRPr="00000000" w14:paraId="000000C6">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7">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PREGUNTA CLÍNICA 5: ¿En pacientes con diabetes mellitustipo 2 que ya iniciaron tratamiento farmacológico con metformina  y no han alcanzado metas de control, cuál de los siguientes antidiabéticos se considera indicado como  adición al tratamiento (segundo antidiabético), Sulfonilureas, Inhibidores DPP4, tiazolidinedionas,  Análogos GPL1, inhibidores SGLT2, o Insulina basal?</w:t>
      </w:r>
    </w:p>
    <w:p w:rsidR="00000000" w:rsidDel="00000000" w:rsidP="00000000" w:rsidRDefault="00000000" w:rsidRPr="00000000" w14:paraId="000000C8">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9">
      <w:pPr>
        <w:widowControl w:val="0"/>
        <w:spacing w:after="0" w:line="276" w:lineRule="auto"/>
        <w:jc w:val="both"/>
        <w:rPr>
          <w:rFonts w:ascii="Arial" w:cs="Arial" w:eastAsia="Arial" w:hAnsi="Arial"/>
        </w:rPr>
      </w:pPr>
      <w:r w:rsidDel="00000000" w:rsidR="00000000" w:rsidRPr="00000000">
        <w:rPr>
          <w:rFonts w:ascii="Arial" w:cs="Arial" w:eastAsia="Arial" w:hAnsi="Arial"/>
          <w:b w:val="1"/>
          <w:rtl w:val="0"/>
        </w:rPr>
        <w:t xml:space="preserve">RECOMENDACIONES:</w:t>
      </w:r>
      <w:r w:rsidDel="00000000" w:rsidR="00000000" w:rsidRPr="00000000">
        <w:rPr>
          <w:rFonts w:ascii="Arial" w:cs="Arial" w:eastAsia="Arial" w:hAnsi="Arial"/>
          <w:rtl w:val="0"/>
        </w:rPr>
        <w:t xml:space="preserve">  </w:t>
      </w:r>
    </w:p>
    <w:p w:rsidR="00000000" w:rsidDel="00000000" w:rsidP="00000000" w:rsidRDefault="00000000" w:rsidRPr="00000000" w14:paraId="000000CA">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B">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15. En los pacientes con DMT2 que no han alcanzado la meta terapéutica con metformina como  monoterapia (HbA1c &gt; 7  %), se recomienda adicionar un segundo antidiabético oral  Recomendación fuerte a favor. </w:t>
      </w:r>
    </w:p>
    <w:p w:rsidR="00000000" w:rsidDel="00000000" w:rsidP="00000000" w:rsidRDefault="00000000" w:rsidRPr="00000000" w14:paraId="000000CC">
      <w:pPr>
        <w:widowControl w:val="0"/>
        <w:spacing w:after="0" w:line="276" w:lineRule="auto"/>
        <w:jc w:val="both"/>
        <w:rPr>
          <w:rFonts w:ascii="Arial" w:cs="Arial" w:eastAsia="Arial" w:hAnsi="Arial"/>
        </w:rPr>
      </w:pPr>
      <w:sdt>
        <w:sdtPr>
          <w:id w:val="830272886"/>
          <w:tag w:val="goog_rdk_48"/>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CD">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E">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16. En los pacientes con DMT2 que no han alcanzado la meta terapéutica con metformina como  monoterapia (HbA1c &gt; 7  %), se recomienda, como primera opción, adicionar un inhibidor DPP-4  Recomendación fuerte a favor.  </w:t>
      </w:r>
    </w:p>
    <w:p w:rsidR="00000000" w:rsidDel="00000000" w:rsidP="00000000" w:rsidRDefault="00000000" w:rsidRPr="00000000" w14:paraId="000000CF">
      <w:pPr>
        <w:widowControl w:val="0"/>
        <w:spacing w:after="0" w:line="276" w:lineRule="auto"/>
        <w:jc w:val="both"/>
        <w:rPr>
          <w:rFonts w:ascii="Arial" w:cs="Arial" w:eastAsia="Arial" w:hAnsi="Arial"/>
        </w:rPr>
      </w:pPr>
      <w:sdt>
        <w:sdtPr>
          <w:id w:val="954102039"/>
          <w:tag w:val="goog_rdk_49"/>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D0">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1">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17. En los pacientes con DMT2 que no han alcanzado la meta terapéutica con metformina como  monoterapia (HbA1c &gt; 7  %), se sugiere adicionar inhibidor SGLT2 como alternativa al iDPP-4  Recomendación débil a favor.  </w:t>
      </w:r>
    </w:p>
    <w:p w:rsidR="00000000" w:rsidDel="00000000" w:rsidP="00000000" w:rsidRDefault="00000000" w:rsidRPr="00000000" w14:paraId="000000D2">
      <w:pPr>
        <w:widowControl w:val="0"/>
        <w:spacing w:after="0" w:line="276" w:lineRule="auto"/>
        <w:jc w:val="both"/>
        <w:rPr>
          <w:rFonts w:ascii="Arial" w:cs="Arial" w:eastAsia="Arial" w:hAnsi="Arial"/>
        </w:rPr>
      </w:pPr>
      <w:sdt>
        <w:sdtPr>
          <w:id w:val="-564947273"/>
          <w:tag w:val="goog_rdk_50"/>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D3">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4">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18. En los pacientes con DMT2 que no han alcanzado la meta terapéutica con metformina como  monoterapia (HbA1c &gt; 7  %), se sugiere agregar una sulfonilureas que tenga bajo riesgo de  hipoglucemia (glimepirida, glicazida) cuando no se hallen disponibles o estén contraindicados los  iDPP-4 y los iSGLT2.  </w:t>
      </w:r>
    </w:p>
    <w:p w:rsidR="00000000" w:rsidDel="00000000" w:rsidP="00000000" w:rsidRDefault="00000000" w:rsidRPr="00000000" w14:paraId="000000D5">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a favor.  </w:t>
      </w:r>
    </w:p>
    <w:p w:rsidR="00000000" w:rsidDel="00000000" w:rsidP="00000000" w:rsidRDefault="00000000" w:rsidRPr="00000000" w14:paraId="000000D6">
      <w:pPr>
        <w:widowControl w:val="0"/>
        <w:spacing w:after="0" w:line="276" w:lineRule="auto"/>
        <w:jc w:val="both"/>
        <w:rPr>
          <w:rFonts w:ascii="Arial" w:cs="Arial" w:eastAsia="Arial" w:hAnsi="Arial"/>
        </w:rPr>
      </w:pPr>
      <w:sdt>
        <w:sdtPr>
          <w:id w:val="-475014173"/>
          <w:tag w:val="goog_rdk_51"/>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D7">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8">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19. Se sugiere NO adicionar glibenclamida al manejo de los pacientes con DMT2 que no han alcanzado  la meta terapéutica con metformina por el alto riesgo de hipoglucemia.  </w:t>
      </w:r>
    </w:p>
    <w:p w:rsidR="00000000" w:rsidDel="00000000" w:rsidP="00000000" w:rsidRDefault="00000000" w:rsidRPr="00000000" w14:paraId="000000D9">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en contra.  </w:t>
      </w:r>
    </w:p>
    <w:p w:rsidR="00000000" w:rsidDel="00000000" w:rsidP="00000000" w:rsidRDefault="00000000" w:rsidRPr="00000000" w14:paraId="000000DA">
      <w:pPr>
        <w:widowControl w:val="0"/>
        <w:spacing w:after="0" w:line="276" w:lineRule="auto"/>
        <w:jc w:val="both"/>
        <w:rPr>
          <w:rFonts w:ascii="Arial" w:cs="Arial" w:eastAsia="Arial" w:hAnsi="Arial"/>
        </w:rPr>
      </w:pPr>
      <w:sdt>
        <w:sdtPr>
          <w:id w:val="2124753420"/>
          <w:tag w:val="goog_rdk_52"/>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DB">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C">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20. Se sugiere no adicionar tiazolidinedionas al manejo de los pacientes con DMT2 que no han  alcanzado la meta terapéutica con metformina por el mayor riesgo de edema, falla cardiaca y fracturas  con esta terapia. </w:t>
      </w:r>
    </w:p>
    <w:p w:rsidR="00000000" w:rsidDel="00000000" w:rsidP="00000000" w:rsidRDefault="00000000" w:rsidRPr="00000000" w14:paraId="000000DD">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en contra.  </w:t>
      </w:r>
    </w:p>
    <w:p w:rsidR="00000000" w:rsidDel="00000000" w:rsidP="00000000" w:rsidRDefault="00000000" w:rsidRPr="00000000" w14:paraId="000000DE">
      <w:pPr>
        <w:widowControl w:val="0"/>
        <w:spacing w:after="0" w:line="276" w:lineRule="auto"/>
        <w:jc w:val="both"/>
        <w:rPr>
          <w:rFonts w:ascii="Arial" w:cs="Arial" w:eastAsia="Arial" w:hAnsi="Arial"/>
        </w:rPr>
      </w:pPr>
      <w:sdt>
        <w:sdtPr>
          <w:id w:val="2116478482"/>
          <w:tag w:val="goog_rdk_53"/>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DF">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0">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21. Se sugiere la adición de un agonista de GLP-1 al manejo de los pacientes con DMT2 que no han  alcanzado la meta terapéutica con metformina por el potencial beneficio sobre la reducción de  peso.  </w:t>
      </w:r>
    </w:p>
    <w:p w:rsidR="00000000" w:rsidDel="00000000" w:rsidP="00000000" w:rsidRDefault="00000000" w:rsidRPr="00000000" w14:paraId="000000E1">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fuerte a favor.  </w:t>
      </w:r>
    </w:p>
    <w:p w:rsidR="00000000" w:rsidDel="00000000" w:rsidP="00000000" w:rsidRDefault="00000000" w:rsidRPr="00000000" w14:paraId="000000E2">
      <w:pPr>
        <w:widowControl w:val="0"/>
        <w:spacing w:after="0" w:line="276" w:lineRule="auto"/>
        <w:jc w:val="both"/>
        <w:rPr>
          <w:rFonts w:ascii="Arial" w:cs="Arial" w:eastAsia="Arial" w:hAnsi="Arial"/>
        </w:rPr>
      </w:pPr>
      <w:sdt>
        <w:sdtPr>
          <w:id w:val="-1496991040"/>
          <w:tag w:val="goog_rdk_54"/>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E3">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4">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5">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PUNTOS DE BUENA PRÁCTICA CLÍNICA:  </w:t>
      </w:r>
    </w:p>
    <w:p w:rsidR="00000000" w:rsidDel="00000000" w:rsidP="00000000" w:rsidRDefault="00000000" w:rsidRPr="00000000" w14:paraId="000000E6">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7">
      <w:pPr>
        <w:widowControl w:val="0"/>
        <w:spacing w:after="0" w:line="276" w:lineRule="auto"/>
        <w:jc w:val="both"/>
        <w:rPr>
          <w:rFonts w:ascii="Arial" w:cs="Arial" w:eastAsia="Arial" w:hAnsi="Arial"/>
        </w:rPr>
      </w:pPr>
      <w:sdt>
        <w:sdtPr>
          <w:id w:val="-158701200"/>
          <w:tag w:val="goog_rdk_55"/>
        </w:sdtPr>
        <w:sdtContent>
          <w:r w:rsidDel="00000000" w:rsidR="00000000" w:rsidRPr="00000000">
            <w:rPr>
              <w:rFonts w:ascii="Arial Unicode MS" w:cs="Arial Unicode MS" w:eastAsia="Arial Unicode MS" w:hAnsi="Arial Unicode MS"/>
              <w:rtl w:val="0"/>
            </w:rPr>
            <w:t xml:space="preserve">∙ Siempre que se detecte una falla en el logro de las metas terapéuticas con los fármacos, se  deben revisar e intensificar también los cambios del estilo de vida hasta donde sea posible. ∙ La intensificación de los cambios en el estilo de vida debe incluir una pérdida de significativa  de peso. Al respecto, se debe tener en cuenta que las sulfonilureas y las tiazolidinedionas lo  incrementan, los inhibidores DPP4 no lo modifican, la metformina puede bajarlo y los  inhibidores SGLT2 lo reducen al igual que los agonistas del receptor de GLP1. ∙ Se debe brindar educación desde el inicio a los pacientes que requieran sulfonilureas con el  fin de prevenir, detectar y tratar oportunamente los episodios de hipoglucemia. ∙ Si se presentan hipoglucemias con la adición de sulfonilureas, se debe considerar el cambio  a medicamentos que no causen hipoglucemia. </w:t>
          </w:r>
        </w:sdtContent>
      </w:sdt>
    </w:p>
    <w:p w:rsidR="00000000" w:rsidDel="00000000" w:rsidP="00000000" w:rsidRDefault="00000000" w:rsidRPr="00000000" w14:paraId="000000E8">
      <w:pPr>
        <w:widowControl w:val="0"/>
        <w:spacing w:after="0" w:line="276" w:lineRule="auto"/>
        <w:jc w:val="both"/>
        <w:rPr>
          <w:rFonts w:ascii="Arial" w:cs="Arial" w:eastAsia="Arial" w:hAnsi="Arial"/>
        </w:rPr>
      </w:pPr>
      <w:sdt>
        <w:sdtPr>
          <w:id w:val="-921759974"/>
          <w:tag w:val="goog_rdk_56"/>
        </w:sdtPr>
        <w:sdtContent>
          <w:r w:rsidDel="00000000" w:rsidR="00000000" w:rsidRPr="00000000">
            <w:rPr>
              <w:rFonts w:ascii="Arial Unicode MS" w:cs="Arial Unicode MS" w:eastAsia="Arial Unicode MS" w:hAnsi="Arial Unicode MS"/>
              <w:rtl w:val="0"/>
            </w:rPr>
            <w:t xml:space="preserve">∙ La adición de un agonista del receptor de GLP-1 requiere educar al paciente en el uso de la  inyección subcutánea y la titulación de la dosis que debe incrementarse gradualmente para  minimizar los efectos gastrointestinales como la náusea y el vómito. </w:t>
          </w:r>
        </w:sdtContent>
      </w:sdt>
    </w:p>
    <w:p w:rsidR="00000000" w:rsidDel="00000000" w:rsidP="00000000" w:rsidRDefault="00000000" w:rsidRPr="00000000" w14:paraId="000000E9">
      <w:pPr>
        <w:widowControl w:val="0"/>
        <w:spacing w:after="0" w:line="276" w:lineRule="auto"/>
        <w:jc w:val="both"/>
        <w:rPr>
          <w:rFonts w:ascii="Arial" w:cs="Arial" w:eastAsia="Arial" w:hAnsi="Arial"/>
        </w:rPr>
      </w:pPr>
      <w:sdt>
        <w:sdtPr>
          <w:id w:val="1737482354"/>
          <w:tag w:val="goog_rdk_57"/>
        </w:sdtPr>
        <w:sdtContent>
          <w:r w:rsidDel="00000000" w:rsidR="00000000" w:rsidRPr="00000000">
            <w:rPr>
              <w:rFonts w:ascii="Arial Unicode MS" w:cs="Arial Unicode MS" w:eastAsia="Arial Unicode MS" w:hAnsi="Arial Unicode MS"/>
              <w:rtl w:val="0"/>
            </w:rPr>
            <w:t xml:space="preserve">∙ Cuando el paciente se encuentra muy sintomático y clínicamente inestable, con pérdida  aguda de peso, signos de deshidratación, evidencia de cetosis y glucemias muy elevadas, se  recomienda agregar insulina </w:t>
          </w:r>
        </w:sdtContent>
      </w:sdt>
    </w:p>
    <w:p w:rsidR="00000000" w:rsidDel="00000000" w:rsidP="00000000" w:rsidRDefault="00000000" w:rsidRPr="00000000" w14:paraId="000000EA">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B">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PREGUNTA CLÍNICA 6: ¿En pacientes con diabetes mellitus tipo 2 que ya iniciaron tratamiento farmacológico con metformina  y un segundo medicamento antidiabético y no han alcanzado metas de control, cuál antidiabético se  considera indicado como adición al tratamiento (tercer antidiabético)?</w:t>
      </w:r>
    </w:p>
    <w:p w:rsidR="00000000" w:rsidDel="00000000" w:rsidP="00000000" w:rsidRDefault="00000000" w:rsidRPr="00000000" w14:paraId="000000EC">
      <w:pPr>
        <w:widowControl w:val="0"/>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ED">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RECOMENDACIONES:  </w:t>
      </w:r>
    </w:p>
    <w:p w:rsidR="00000000" w:rsidDel="00000000" w:rsidP="00000000" w:rsidRDefault="00000000" w:rsidRPr="00000000" w14:paraId="000000EE">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F">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22. Se sugiere como tercera medicación antidiabética agregar insulina basal a los pacientes que con la  combinación de dos fármacos fallen en alcanzar su meta de HbA1c y no estén obesos (IMC &lt; 30).  Recomendación débil a favor.  </w:t>
      </w:r>
    </w:p>
    <w:p w:rsidR="00000000" w:rsidDel="00000000" w:rsidP="00000000" w:rsidRDefault="00000000" w:rsidRPr="00000000" w14:paraId="000000F0">
      <w:pPr>
        <w:widowControl w:val="0"/>
        <w:spacing w:after="0" w:line="276" w:lineRule="auto"/>
        <w:jc w:val="both"/>
        <w:rPr>
          <w:rFonts w:ascii="Arial" w:cs="Arial" w:eastAsia="Arial" w:hAnsi="Arial"/>
        </w:rPr>
      </w:pPr>
      <w:sdt>
        <w:sdtPr>
          <w:id w:val="285784872"/>
          <w:tag w:val="goog_rdk_58"/>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F1">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2">
      <w:pPr>
        <w:widowControl w:val="0"/>
        <w:spacing w:after="0" w:line="276" w:lineRule="auto"/>
        <w:jc w:val="both"/>
        <w:rPr>
          <w:rFonts w:ascii="Arial" w:cs="Arial" w:eastAsia="Arial" w:hAnsi="Arial"/>
        </w:rPr>
      </w:pPr>
      <w:sdt>
        <w:sdtPr>
          <w:id w:val="-1646183"/>
          <w:tag w:val="goog_rdk_59"/>
        </w:sdtPr>
        <w:sdtContent>
          <w:r w:rsidDel="00000000" w:rsidR="00000000" w:rsidRPr="00000000">
            <w:rPr>
              <w:rFonts w:ascii="Arial Unicode MS" w:cs="Arial Unicode MS" w:eastAsia="Arial Unicode MS" w:hAnsi="Arial Unicode MS"/>
              <w:rtl w:val="0"/>
            </w:rPr>
            <w:t xml:space="preserve">23. Se sugiere la adición de agonista de GLP-1 como tercera medicación antidiabética a los pacientes  que fallen a la terapia oral combinada y persistan obesos (IMC ≥ 30). En este caso los dos  medicamentos orales a utilizar serán metformina e inhibidores SGLT2.  </w:t>
          </w:r>
        </w:sdtContent>
      </w:sdt>
    </w:p>
    <w:p w:rsidR="00000000" w:rsidDel="00000000" w:rsidP="00000000" w:rsidRDefault="00000000" w:rsidRPr="00000000" w14:paraId="000000F3">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a favor.  </w:t>
      </w:r>
    </w:p>
    <w:p w:rsidR="00000000" w:rsidDel="00000000" w:rsidP="00000000" w:rsidRDefault="00000000" w:rsidRPr="00000000" w14:paraId="000000F4">
      <w:pPr>
        <w:widowControl w:val="0"/>
        <w:spacing w:after="0" w:line="276" w:lineRule="auto"/>
        <w:jc w:val="both"/>
        <w:rPr>
          <w:rFonts w:ascii="Arial" w:cs="Arial" w:eastAsia="Arial" w:hAnsi="Arial"/>
        </w:rPr>
      </w:pPr>
      <w:sdt>
        <w:sdtPr>
          <w:id w:val="768931047"/>
          <w:tag w:val="goog_rdk_60"/>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0F5">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6">
      <w:pPr>
        <w:widowControl w:val="0"/>
        <w:spacing w:after="0" w:line="276" w:lineRule="auto"/>
        <w:jc w:val="both"/>
        <w:rPr>
          <w:rFonts w:ascii="Arial" w:cs="Arial" w:eastAsia="Arial" w:hAnsi="Arial"/>
        </w:rPr>
      </w:pPr>
      <w:sdt>
        <w:sdtPr>
          <w:id w:val="1958924378"/>
          <w:tag w:val="goog_rdk_61"/>
        </w:sdtPr>
        <w:sdtContent>
          <w:r w:rsidDel="00000000" w:rsidR="00000000" w:rsidRPr="00000000">
            <w:rPr>
              <w:rFonts w:ascii="Arial Unicode MS" w:cs="Arial Unicode MS" w:eastAsia="Arial Unicode MS" w:hAnsi="Arial Unicode MS"/>
              <w:rtl w:val="0"/>
            </w:rPr>
            <w:t xml:space="preserve">24. Se sugiere considerar la asociación de metformina, inhibidores de SGLT-2 y agonista de GLP-1  únicamente en los pacientes que no han alcanzado la meta terapéutica con metformina con terapia  dual y que persistan obesos (IMC ≥ 30).  </w:t>
          </w:r>
        </w:sdtContent>
      </w:sdt>
    </w:p>
    <w:p w:rsidR="00000000" w:rsidDel="00000000" w:rsidP="00000000" w:rsidRDefault="00000000" w:rsidRPr="00000000" w14:paraId="000000F7">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a favor.  </w:t>
      </w:r>
    </w:p>
    <w:p w:rsidR="00000000" w:rsidDel="00000000" w:rsidP="00000000" w:rsidRDefault="00000000" w:rsidRPr="00000000" w14:paraId="000000F8">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Consenso de expertos </w:t>
      </w:r>
    </w:p>
    <w:p w:rsidR="00000000" w:rsidDel="00000000" w:rsidP="00000000" w:rsidRDefault="00000000" w:rsidRPr="00000000" w14:paraId="000000F9">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A">
      <w:pPr>
        <w:widowControl w:val="0"/>
        <w:spacing w:after="0" w:line="276" w:lineRule="auto"/>
        <w:jc w:val="both"/>
        <w:rPr>
          <w:rFonts w:ascii="Arial" w:cs="Arial" w:eastAsia="Arial" w:hAnsi="Arial"/>
        </w:rPr>
      </w:pPr>
      <w:r w:rsidDel="00000000" w:rsidR="00000000" w:rsidRPr="00000000">
        <w:rPr>
          <w:rFonts w:ascii="Arial" w:cs="Arial" w:eastAsia="Arial" w:hAnsi="Arial"/>
          <w:b w:val="1"/>
          <w:rtl w:val="0"/>
        </w:rPr>
        <w:t xml:space="preserve">PUNTOS DE BUENA PRÁCTICA CLÍNICA:</w:t>
      </w:r>
      <w:r w:rsidDel="00000000" w:rsidR="00000000" w:rsidRPr="00000000">
        <w:rPr>
          <w:rFonts w:ascii="Arial" w:cs="Arial" w:eastAsia="Arial" w:hAnsi="Arial"/>
          <w:rtl w:val="0"/>
        </w:rPr>
        <w:t xml:space="preserve"> </w:t>
      </w:r>
    </w:p>
    <w:p w:rsidR="00000000" w:rsidDel="00000000" w:rsidP="00000000" w:rsidRDefault="00000000" w:rsidRPr="00000000" w14:paraId="000000FB">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C">
      <w:pPr>
        <w:widowControl w:val="0"/>
        <w:spacing w:after="0" w:line="276" w:lineRule="auto"/>
        <w:jc w:val="both"/>
        <w:rPr>
          <w:rFonts w:ascii="Arial" w:cs="Arial" w:eastAsia="Arial" w:hAnsi="Arial"/>
        </w:rPr>
      </w:pPr>
      <w:sdt>
        <w:sdtPr>
          <w:id w:val="-2061539383"/>
          <w:tag w:val="goog_rdk_62"/>
        </w:sdtPr>
        <w:sdtContent>
          <w:r w:rsidDel="00000000" w:rsidR="00000000" w:rsidRPr="00000000">
            <w:rPr>
              <w:rFonts w:ascii="Arial Unicode MS" w:cs="Arial Unicode MS" w:eastAsia="Arial Unicode MS" w:hAnsi="Arial Unicode MS"/>
              <w:rtl w:val="0"/>
            </w:rPr>
            <w:t xml:space="preserve">∙ La insulina NPH se puede utilizar como insulina basal cuando se inyecta a la hora de  acostarse, hacia las 10-11 p. m.  </w:t>
          </w:r>
        </w:sdtContent>
      </w:sdt>
    </w:p>
    <w:p w:rsidR="00000000" w:rsidDel="00000000" w:rsidP="00000000" w:rsidRDefault="00000000" w:rsidRPr="00000000" w14:paraId="000000FD">
      <w:pPr>
        <w:widowControl w:val="0"/>
        <w:spacing w:after="0" w:line="276" w:lineRule="auto"/>
        <w:jc w:val="both"/>
        <w:rPr>
          <w:rFonts w:ascii="Arial" w:cs="Arial" w:eastAsia="Arial" w:hAnsi="Arial"/>
        </w:rPr>
      </w:pPr>
      <w:sdt>
        <w:sdtPr>
          <w:id w:val="-1652220912"/>
          <w:tag w:val="goog_rdk_63"/>
        </w:sdtPr>
        <w:sdtContent>
          <w:r w:rsidDel="00000000" w:rsidR="00000000" w:rsidRPr="00000000">
            <w:rPr>
              <w:rFonts w:ascii="Arial Unicode MS" w:cs="Arial Unicode MS" w:eastAsia="Arial Unicode MS" w:hAnsi="Arial Unicode MS"/>
              <w:rtl w:val="0"/>
            </w:rPr>
            <w:t xml:space="preserve">∙ Las insulinas análogas de acción prolongada (glargina, detemir, degludec) tienen menor  riesgo de hipoglucemia cuando se comparan con la insulina NPH, por lo cual se prefieren  cuando se desea que el paciente se mantenga en un control óptimo evitando hipoglucemias,  o cuando estas se presentan al intentar alcanzar la meta de control glucémico. Estas insulinas  se inyectan una vez al día a una hora fija, excepto el detemir que puede administrarse dos  veces al día si es necesario. </w:t>
          </w:r>
        </w:sdtContent>
      </w:sdt>
    </w:p>
    <w:p w:rsidR="00000000" w:rsidDel="00000000" w:rsidP="00000000" w:rsidRDefault="00000000" w:rsidRPr="00000000" w14:paraId="000000FE">
      <w:pPr>
        <w:widowControl w:val="0"/>
        <w:spacing w:after="0" w:line="276" w:lineRule="auto"/>
        <w:jc w:val="both"/>
        <w:rPr>
          <w:rFonts w:ascii="Arial" w:cs="Arial" w:eastAsia="Arial" w:hAnsi="Arial"/>
        </w:rPr>
      </w:pPr>
      <w:sdt>
        <w:sdtPr>
          <w:id w:val="-2115340626"/>
          <w:tag w:val="goog_rdk_64"/>
        </w:sdtPr>
        <w:sdtContent>
          <w:r w:rsidDel="00000000" w:rsidR="00000000" w:rsidRPr="00000000">
            <w:rPr>
              <w:rFonts w:ascii="Arial Unicode MS" w:cs="Arial Unicode MS" w:eastAsia="Arial Unicode MS" w:hAnsi="Arial Unicode MS"/>
              <w:rtl w:val="0"/>
            </w:rPr>
            <w:t xml:space="preserve">∙ La dosis inicial de insulina basal es de 10 unidades/día o de 0,2 unidades/kg de peso/día.  Existen varios algoritmos para titularla, y todos se basan en incrementar la dosis en 2 a 4  unidades a la vez si la glucemia en ayunas está por encima del valor prefijado por dos a tres  días seguidos o en el promedio de ese mismo intervalo. </w:t>
          </w:r>
        </w:sdtContent>
      </w:sdt>
    </w:p>
    <w:p w:rsidR="00000000" w:rsidDel="00000000" w:rsidP="00000000" w:rsidRDefault="00000000" w:rsidRPr="00000000" w14:paraId="000000FF">
      <w:pPr>
        <w:widowControl w:val="0"/>
        <w:spacing w:after="0" w:line="276" w:lineRule="auto"/>
        <w:jc w:val="both"/>
        <w:rPr>
          <w:rFonts w:ascii="Arial" w:cs="Arial" w:eastAsia="Arial" w:hAnsi="Arial"/>
        </w:rPr>
      </w:pPr>
      <w:sdt>
        <w:sdtPr>
          <w:id w:val="-436493971"/>
          <w:tag w:val="goog_rdk_65"/>
        </w:sdtPr>
        <w:sdtContent>
          <w:r w:rsidDel="00000000" w:rsidR="00000000" w:rsidRPr="00000000">
            <w:rPr>
              <w:rFonts w:ascii="Arial Unicode MS" w:cs="Arial Unicode MS" w:eastAsia="Arial Unicode MS" w:hAnsi="Arial Unicode MS"/>
              <w:rtl w:val="0"/>
            </w:rPr>
            <w:t xml:space="preserve">∙ Los agonistas del receptor de GLP-1 requieren una titulación progresiva para minimizar los  efectos secundarios gastrointestinales y cada uno tiene sus instrucciones al respecto. Así  mismo cada uno tiene su propia forma de administración que puede ser una o dos veces al  día o inclusive semanal. </w:t>
          </w:r>
        </w:sdtContent>
      </w:sdt>
    </w:p>
    <w:p w:rsidR="00000000" w:rsidDel="00000000" w:rsidP="00000000" w:rsidRDefault="00000000" w:rsidRPr="00000000" w14:paraId="00000100">
      <w:pPr>
        <w:widowControl w:val="0"/>
        <w:spacing w:after="0" w:line="276" w:lineRule="auto"/>
        <w:jc w:val="both"/>
        <w:rPr>
          <w:rFonts w:ascii="Arial" w:cs="Arial" w:eastAsia="Arial" w:hAnsi="Arial"/>
        </w:rPr>
      </w:pPr>
      <w:sdt>
        <w:sdtPr>
          <w:id w:val="661298891"/>
          <w:tag w:val="goog_rdk_66"/>
        </w:sdtPr>
        <w:sdtContent>
          <w:r w:rsidDel="00000000" w:rsidR="00000000" w:rsidRPr="00000000">
            <w:rPr>
              <w:rFonts w:ascii="Arial Unicode MS" w:cs="Arial Unicode MS" w:eastAsia="Arial Unicode MS" w:hAnsi="Arial Unicode MS"/>
              <w:rtl w:val="0"/>
            </w:rPr>
            <w:t xml:space="preserve">∙ Cuando no se logra la respuesta esperada con la insulina basal o con los agonistas del  receptor GLP-1, se pueden combinar o utilizar esquemas de insulinoterapia intensiva. Sin  embargo en estos casos se recomienda que un equipo especializado reevalúe la meta y la  necesidad de intensificar el tratamiento en cada paciente. </w:t>
          </w:r>
        </w:sdtContent>
      </w:sdt>
    </w:p>
    <w:p w:rsidR="00000000" w:rsidDel="00000000" w:rsidP="00000000" w:rsidRDefault="00000000" w:rsidRPr="00000000" w14:paraId="00000101">
      <w:pPr>
        <w:widowControl w:val="0"/>
        <w:spacing w:after="0" w:line="276" w:lineRule="auto"/>
        <w:jc w:val="both"/>
        <w:rPr>
          <w:rFonts w:ascii="Arial" w:cs="Arial" w:eastAsia="Arial" w:hAnsi="Arial"/>
        </w:rPr>
      </w:pPr>
      <w:sdt>
        <w:sdtPr>
          <w:id w:val="1875640239"/>
          <w:tag w:val="goog_rdk_67"/>
        </w:sdtPr>
        <w:sdtContent>
          <w:r w:rsidDel="00000000" w:rsidR="00000000" w:rsidRPr="00000000">
            <w:rPr>
              <w:rFonts w:ascii="Arial Unicode MS" w:cs="Arial Unicode MS" w:eastAsia="Arial Unicode MS" w:hAnsi="Arial Unicode MS"/>
              <w:rtl w:val="0"/>
            </w:rPr>
            <w:t xml:space="preserve">∙ Durante la terapia con antidiabéticos orales que puedan causar hipoglucemia y con insulina,  se debe educar al paciente en la detección temprana de los síntomas de hipoglucemia, así  como en las acciones correctivas en caso de que se presente. Se debe poner especial cuidado  en este sentido a la combinación de insulina con tratamientos que incluyan sulfonilureas. Si se presentan hipoglucemias y la insulina sigue siendo necesaria, se debe cambiar la  sulfonilurea por otro medicamento que no cause hipoglucemia. </w:t>
          </w:r>
        </w:sdtContent>
      </w:sdt>
    </w:p>
    <w:p w:rsidR="00000000" w:rsidDel="00000000" w:rsidP="00000000" w:rsidRDefault="00000000" w:rsidRPr="00000000" w14:paraId="00000102">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3">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TEMA 4. METAS DEL CONTROL GLUCÉMICO </w:t>
      </w:r>
    </w:p>
    <w:p w:rsidR="00000000" w:rsidDel="00000000" w:rsidP="00000000" w:rsidRDefault="00000000" w:rsidRPr="00000000" w14:paraId="00000104">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5">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En los estudios clínicos controlados a largo plazo y su posterior seguimiento se ha demostrado que  alcanzar y mantener una HbA1c promedio de 7 % reduce la incidencia de complicaciones micro y  macrovasculares de la DMT2. </w:t>
      </w:r>
    </w:p>
    <w:p w:rsidR="00000000" w:rsidDel="00000000" w:rsidP="00000000" w:rsidRDefault="00000000" w:rsidRPr="00000000" w14:paraId="00000106">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El límite superior normal analítico de la HbA1c está alrededor de 6 % pero los estudios clínicos  controlados no han mostrado que la intensificación del tratamiento para alcanzar una HbA1c normal  (&lt; 6,5 %) produzca beneficios que superen los riesgos en la mayoría de los pacientes con DMT2. </w:t>
      </w:r>
    </w:p>
    <w:p w:rsidR="00000000" w:rsidDel="00000000" w:rsidP="00000000" w:rsidRDefault="00000000" w:rsidRPr="00000000" w14:paraId="00000107">
      <w:pPr>
        <w:widowControl w:val="0"/>
        <w:spacing w:after="0" w:line="276" w:lineRule="auto"/>
        <w:jc w:val="both"/>
        <w:rPr>
          <w:rFonts w:ascii="Arial" w:cs="Arial" w:eastAsia="Arial" w:hAnsi="Arial"/>
        </w:rPr>
      </w:pPr>
      <w:sdt>
        <w:sdtPr>
          <w:id w:val="921105946"/>
          <w:tag w:val="goog_rdk_68"/>
        </w:sdtPr>
        <w:sdtContent>
          <w:r w:rsidDel="00000000" w:rsidR="00000000" w:rsidRPr="00000000">
            <w:rPr>
              <w:rFonts w:ascii="Arial Unicode MS" w:cs="Arial Unicode MS" w:eastAsia="Arial Unicode MS" w:hAnsi="Arial Unicode MS"/>
              <w:rtl w:val="0"/>
            </w:rPr>
            <w:t xml:space="preserve">El control metabólico de los pacientes con DMT2 debe estar dirigido a alcanzar y mantener una meta  de HbA1c ≤ 7 % sin que esto produzca riesgos que superen los beneficios y evitando hasta donde sea  posible los efectos adversos y el deterioro de la calidad de vida.  </w:t>
          </w:r>
        </w:sdtContent>
      </w:sdt>
    </w:p>
    <w:p w:rsidR="00000000" w:rsidDel="00000000" w:rsidP="00000000" w:rsidRDefault="00000000" w:rsidRPr="00000000" w14:paraId="00000108">
      <w:pPr>
        <w:widowControl w:val="0"/>
        <w:spacing w:after="0" w:line="276" w:lineRule="auto"/>
        <w:jc w:val="both"/>
        <w:rPr>
          <w:rFonts w:ascii="Arial" w:cs="Arial" w:eastAsia="Arial" w:hAnsi="Arial"/>
        </w:rPr>
      </w:pPr>
      <w:sdt>
        <w:sdtPr>
          <w:id w:val="1809709064"/>
          <w:tag w:val="goog_rdk_69"/>
        </w:sdtPr>
        <w:sdtContent>
          <w:r w:rsidDel="00000000" w:rsidR="00000000" w:rsidRPr="00000000">
            <w:rPr>
              <w:rFonts w:ascii="Arial Unicode MS" w:cs="Arial Unicode MS" w:eastAsia="Arial Unicode MS" w:hAnsi="Arial Unicode MS"/>
              <w:rtl w:val="0"/>
            </w:rPr>
            <w:t xml:space="preserve">En pacientes con DMT2 sin comorbilidades serias y con edad ≤ 65 años se puede disminuir los niveles  de HbA1c hasta 6,5 %, especialmente si ya tienen indicios de microangiopatía. Lo anterior siempre y  cuando no produzca riesgos que superen los beneficios y evitando hasta donde sea posible los efectos  adversos y el deterioro de la calidad de vida. </w:t>
          </w:r>
        </w:sdtContent>
      </w:sdt>
    </w:p>
    <w:p w:rsidR="00000000" w:rsidDel="00000000" w:rsidP="00000000" w:rsidRDefault="00000000" w:rsidRPr="00000000" w14:paraId="00000109">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A">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PREGUNTA CLÍNICA 7: ¿En personas adultas mayores de 65 años con diabetes mellitus tipo 2 se requiere una  individualización de la meta de control glucémico diferente a la meta de hemoglobina glicosilada igual  o menor a 7 %? </w:t>
      </w:r>
    </w:p>
    <w:p w:rsidR="00000000" w:rsidDel="00000000" w:rsidP="00000000" w:rsidRDefault="00000000" w:rsidRPr="00000000" w14:paraId="0000010B">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C">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RECOMENDACIONES:  </w:t>
      </w:r>
    </w:p>
    <w:p w:rsidR="00000000" w:rsidDel="00000000" w:rsidP="00000000" w:rsidRDefault="00000000" w:rsidRPr="00000000" w14:paraId="0000010D">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E">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25. En los pacientes con DMT2 mayores de 65 años, se recomienda no intensificar manejo para  alcanzar valores de HbA1c cercanos a lo normal (&lt; 6,5  % HbA1c).  </w:t>
      </w:r>
    </w:p>
    <w:p w:rsidR="00000000" w:rsidDel="00000000" w:rsidP="00000000" w:rsidRDefault="00000000" w:rsidRPr="00000000" w14:paraId="0000010F">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fuerte en contra.  </w:t>
      </w:r>
    </w:p>
    <w:p w:rsidR="00000000" w:rsidDel="00000000" w:rsidP="00000000" w:rsidRDefault="00000000" w:rsidRPr="00000000" w14:paraId="00000110">
      <w:pPr>
        <w:widowControl w:val="0"/>
        <w:spacing w:after="0" w:line="276" w:lineRule="auto"/>
        <w:jc w:val="both"/>
        <w:rPr>
          <w:rFonts w:ascii="Arial" w:cs="Arial" w:eastAsia="Arial" w:hAnsi="Arial"/>
        </w:rPr>
      </w:pPr>
      <w:sdt>
        <w:sdtPr>
          <w:id w:val="-1148129255"/>
          <w:tag w:val="goog_rdk_70"/>
        </w:sdtPr>
        <w:sdtContent>
          <w:r w:rsidDel="00000000" w:rsidR="00000000" w:rsidRPr="00000000">
            <w:rPr>
              <w:rFonts w:ascii="Arial Unicode MS" w:cs="Arial Unicode MS" w:eastAsia="Arial Unicode MS" w:hAnsi="Arial Unicode MS"/>
              <w:rtl w:val="0"/>
            </w:rPr>
            <w:t xml:space="preserve">Calidad de la evidencia Alta ⊕⊕⊕⊕  </w:t>
          </w:r>
        </w:sdtContent>
      </w:sdt>
    </w:p>
    <w:p w:rsidR="00000000" w:rsidDel="00000000" w:rsidP="00000000" w:rsidRDefault="00000000" w:rsidRPr="00000000" w14:paraId="00000111">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2">
      <w:pPr>
        <w:widowControl w:val="0"/>
        <w:spacing w:after="0" w:line="276" w:lineRule="auto"/>
        <w:jc w:val="both"/>
        <w:rPr>
          <w:rFonts w:ascii="Arial" w:cs="Arial" w:eastAsia="Arial" w:hAnsi="Arial"/>
        </w:rPr>
      </w:pPr>
      <w:sdt>
        <w:sdtPr>
          <w:id w:val="656681446"/>
          <w:tag w:val="goog_rdk_71"/>
        </w:sdtPr>
        <w:sdtContent>
          <w:r w:rsidDel="00000000" w:rsidR="00000000" w:rsidRPr="00000000">
            <w:rPr>
              <w:rFonts w:ascii="Arial Unicode MS" w:cs="Arial Unicode MS" w:eastAsia="Arial Unicode MS" w:hAnsi="Arial Unicode MS"/>
              <w:rtl w:val="0"/>
            </w:rPr>
            <w:t xml:space="preserve">26. En los pacientes con DMT2 mayores de 65 años funcionalmente independientes y libres de otras  comorbilidades mayores, se recomienda dar manejo dirigido a alcanzar los mismos niveles de HbA1c  recomendados para la población menor de 65 años (≤ 7  %).  </w:t>
          </w:r>
        </w:sdtContent>
      </w:sdt>
    </w:p>
    <w:p w:rsidR="00000000" w:rsidDel="00000000" w:rsidP="00000000" w:rsidRDefault="00000000" w:rsidRPr="00000000" w14:paraId="00000113">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fuerte a favor.  </w:t>
      </w:r>
    </w:p>
    <w:p w:rsidR="00000000" w:rsidDel="00000000" w:rsidP="00000000" w:rsidRDefault="00000000" w:rsidRPr="00000000" w14:paraId="00000114">
      <w:pPr>
        <w:widowControl w:val="0"/>
        <w:spacing w:after="0" w:line="276" w:lineRule="auto"/>
        <w:jc w:val="both"/>
        <w:rPr>
          <w:rFonts w:ascii="Arial" w:cs="Arial" w:eastAsia="Arial" w:hAnsi="Arial"/>
        </w:rPr>
      </w:pPr>
      <w:sdt>
        <w:sdtPr>
          <w:id w:val="-810228334"/>
          <w:tag w:val="goog_rdk_72"/>
        </w:sdtPr>
        <w:sdtContent>
          <w:r w:rsidDel="00000000" w:rsidR="00000000" w:rsidRPr="00000000">
            <w:rPr>
              <w:rFonts w:ascii="Arial Unicode MS" w:cs="Arial Unicode MS" w:eastAsia="Arial Unicode MS" w:hAnsi="Arial Unicode MS"/>
              <w:rtl w:val="0"/>
            </w:rPr>
            <w:t xml:space="preserve">Calidad de la evidencia Alta ⊕⊕⊕⊕ </w:t>
          </w:r>
        </w:sdtContent>
      </w:sdt>
    </w:p>
    <w:p w:rsidR="00000000" w:rsidDel="00000000" w:rsidP="00000000" w:rsidRDefault="00000000" w:rsidRPr="00000000" w14:paraId="00000115">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6">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27. En los pacientes con DMT2 mayores de 65 años que presenten fragilidad*o demencia**, o en  quienes se anticipe riesgo aumentado de hipoglucemia***, se sugiere un manejo menos intensivo con  valores de HbA1c entre el 7  %y el 8  %.  </w:t>
      </w:r>
    </w:p>
    <w:p w:rsidR="00000000" w:rsidDel="00000000" w:rsidP="00000000" w:rsidRDefault="00000000" w:rsidRPr="00000000" w14:paraId="00000117">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a favor.  </w:t>
      </w:r>
    </w:p>
    <w:p w:rsidR="00000000" w:rsidDel="00000000" w:rsidP="00000000" w:rsidRDefault="00000000" w:rsidRPr="00000000" w14:paraId="00000118">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Consenso de expertos </w:t>
      </w:r>
    </w:p>
    <w:p w:rsidR="00000000" w:rsidDel="00000000" w:rsidP="00000000" w:rsidRDefault="00000000" w:rsidRPr="00000000" w14:paraId="00000119">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 Pacientes con fatiga significativa, restricción severa en movilidad y fuerza, con riesgo incrementado  de caídas y de institucionalización. </w:t>
      </w:r>
    </w:p>
    <w:p w:rsidR="00000000" w:rsidDel="00000000" w:rsidP="00000000" w:rsidRDefault="00000000" w:rsidRPr="00000000" w14:paraId="0000011A">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 Pacientes con déficit cognitivo que condiciona problemas significativos de memoria,  desorientación, cambios de personalidad, o que tengan dificultades para autocuidado. *** Pacientes en tratamiento con drogas que causan hipoglucemia (sulfonilureas, metiglinidas o  insulina) y tienen otros factores que puedan incrementar este riesgo (depresión, pobre soporte social,  inapetencia o intolerancia a la ingesta).  </w:t>
      </w:r>
    </w:p>
    <w:p w:rsidR="00000000" w:rsidDel="00000000" w:rsidP="00000000" w:rsidRDefault="00000000" w:rsidRPr="00000000" w14:paraId="0000011B">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C">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28. En los pacientes con DMT2 que se encuentren en cuidados de fin de vida +, se sugiere limitar el  objetivo del tratamiento a evitar la hiperglucemia sintomática.  </w:t>
      </w:r>
    </w:p>
    <w:p w:rsidR="00000000" w:rsidDel="00000000" w:rsidP="00000000" w:rsidRDefault="00000000" w:rsidRPr="00000000" w14:paraId="0000011D">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a favor.  </w:t>
      </w:r>
    </w:p>
    <w:p w:rsidR="00000000" w:rsidDel="00000000" w:rsidP="00000000" w:rsidRDefault="00000000" w:rsidRPr="00000000" w14:paraId="0000011E">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Consenso de expertos </w:t>
      </w:r>
    </w:p>
    <w:p w:rsidR="00000000" w:rsidDel="00000000" w:rsidP="00000000" w:rsidRDefault="00000000" w:rsidRPr="00000000" w14:paraId="0000011F">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 Pacientes que cumplan con los criterios de enfermo en fase terminal definidos en la ley 1733 de 2014  o la resolución 1216 de 2015 (Referente a derecho a morir con dignidad). Se define enfermo en fase  terminal a todo aquel que es portador de una enfermedad o condición patológica grave, que haya sido  diagnosticada en forma precisa por un profesional de la salud experto, que demuestre un carácter  progresivo e irreversible, con pronóstico fatal próximo o en plazo relativamente breve, que no sea  susceptible de un tratamiento curativo y de eficacia comprobada, que permita modificar el pronóstico  de muerte próxima; o cuando los recursos terapéuticos utilizados con fines curativos han dejado de  ser eficaces.</w:t>
      </w:r>
    </w:p>
    <w:p w:rsidR="00000000" w:rsidDel="00000000" w:rsidP="00000000" w:rsidRDefault="00000000" w:rsidRPr="00000000" w14:paraId="00000120">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1">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PUNTOS DE BUENA PRÁCTICA CLÍNICA: </w:t>
      </w:r>
    </w:p>
    <w:p w:rsidR="00000000" w:rsidDel="00000000" w:rsidP="00000000" w:rsidRDefault="00000000" w:rsidRPr="00000000" w14:paraId="00000122">
      <w:pPr>
        <w:widowControl w:val="0"/>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23">
      <w:pPr>
        <w:widowControl w:val="0"/>
        <w:spacing w:after="0" w:line="276" w:lineRule="auto"/>
        <w:jc w:val="both"/>
        <w:rPr>
          <w:rFonts w:ascii="Arial" w:cs="Arial" w:eastAsia="Arial" w:hAnsi="Arial"/>
        </w:rPr>
      </w:pPr>
      <w:sdt>
        <w:sdtPr>
          <w:id w:val="-867975142"/>
          <w:tag w:val="goog_rdk_73"/>
        </w:sdtPr>
        <w:sdtContent>
          <w:r w:rsidDel="00000000" w:rsidR="00000000" w:rsidRPr="00000000">
            <w:rPr>
              <w:rFonts w:ascii="Arial Unicode MS" w:cs="Arial Unicode MS" w:eastAsia="Arial Unicode MS" w:hAnsi="Arial Unicode MS"/>
              <w:rtl w:val="0"/>
            </w:rPr>
            <w:t xml:space="preserve">∙ Se sugiere, en pacientes con DMT2 que se encuentren en cuidados de fin de vida +, limitar el  objetivo del tratamiento a evitar hiperglucemia sintomática. </w:t>
          </w:r>
        </w:sdtContent>
      </w:sdt>
    </w:p>
    <w:p w:rsidR="00000000" w:rsidDel="00000000" w:rsidP="00000000" w:rsidRDefault="00000000" w:rsidRPr="00000000" w14:paraId="00000124">
      <w:pPr>
        <w:widowControl w:val="0"/>
        <w:spacing w:after="0" w:line="276" w:lineRule="auto"/>
        <w:jc w:val="both"/>
        <w:rPr>
          <w:rFonts w:ascii="Arial" w:cs="Arial" w:eastAsia="Arial" w:hAnsi="Arial"/>
        </w:rPr>
      </w:pPr>
      <w:sdt>
        <w:sdtPr>
          <w:id w:val="-1094185286"/>
          <w:tag w:val="goog_rdk_74"/>
        </w:sdtPr>
        <w:sdtContent>
          <w:r w:rsidDel="00000000" w:rsidR="00000000" w:rsidRPr="00000000">
            <w:rPr>
              <w:rFonts w:ascii="Arial Unicode MS" w:cs="Arial Unicode MS" w:eastAsia="Arial Unicode MS" w:hAnsi="Arial Unicode MS"/>
              <w:rtl w:val="0"/>
            </w:rPr>
            <w:t xml:space="preserve">∙ Considerando que la población mayor de 65 años es muy heterogénea, es necesario realizar  una valoración funcional integral del paciente para establecer los objetivos terapéuticos. </w:t>
          </w:r>
        </w:sdtContent>
      </w:sdt>
    </w:p>
    <w:p w:rsidR="00000000" w:rsidDel="00000000" w:rsidP="00000000" w:rsidRDefault="00000000" w:rsidRPr="00000000" w14:paraId="00000125">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6">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PREGUNTA CLÍNICA 8: ¿En personas adultas con diabetes mellitus tipo 2 y enfermedad cardiovascular, se requiere una  individualización de la meta de control glucémico diferente a la meta de hemoglobina glicosilada igual  o menor de 7 %? </w:t>
      </w:r>
    </w:p>
    <w:p w:rsidR="00000000" w:rsidDel="00000000" w:rsidP="00000000" w:rsidRDefault="00000000" w:rsidRPr="00000000" w14:paraId="00000127">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8">
      <w:pPr>
        <w:widowControl w:val="0"/>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29">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RECOMENDACIONES:  </w:t>
      </w:r>
    </w:p>
    <w:p w:rsidR="00000000" w:rsidDel="00000000" w:rsidP="00000000" w:rsidRDefault="00000000" w:rsidRPr="00000000" w14:paraId="0000012A">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B">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29. En los pacientes con DMT2 y antecedente de enfermedad cardiovascular, no se recomienda la  intensificación del tratamiento para alcanzar un valor de HbA1c cercano al normal (HbA1c &lt; 6,5  %).  </w:t>
      </w:r>
    </w:p>
    <w:p w:rsidR="00000000" w:rsidDel="00000000" w:rsidP="00000000" w:rsidRDefault="00000000" w:rsidRPr="00000000" w14:paraId="0000012C">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fuerte en contra.  </w:t>
      </w:r>
    </w:p>
    <w:p w:rsidR="00000000" w:rsidDel="00000000" w:rsidP="00000000" w:rsidRDefault="00000000" w:rsidRPr="00000000" w14:paraId="0000012D">
      <w:pPr>
        <w:widowControl w:val="0"/>
        <w:spacing w:after="0" w:line="276" w:lineRule="auto"/>
        <w:jc w:val="both"/>
        <w:rPr>
          <w:rFonts w:ascii="Arial" w:cs="Arial" w:eastAsia="Arial" w:hAnsi="Arial"/>
        </w:rPr>
      </w:pPr>
      <w:sdt>
        <w:sdtPr>
          <w:id w:val="445703399"/>
          <w:tag w:val="goog_rdk_75"/>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12E">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F">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TEMA 5. DETECCIÓN DE COMPLICACIONES </w:t>
      </w:r>
    </w:p>
    <w:p w:rsidR="00000000" w:rsidDel="00000000" w:rsidP="00000000" w:rsidRDefault="00000000" w:rsidRPr="00000000" w14:paraId="00000130">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1">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Las personas con DMT2 tienen un riesgo 2 a 4 veces mayor de sufrir un evento coronario en  comparación con las personas sin diabetes, y en estudios epidemiológicos se ha demostrado que este  riesgo es equivalente al de personas sin diabetes con enfermedad coronaria.  </w:t>
      </w:r>
    </w:p>
    <w:p w:rsidR="00000000" w:rsidDel="00000000" w:rsidP="00000000" w:rsidRDefault="00000000" w:rsidRPr="00000000" w14:paraId="00000132">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Por ser un equivalente coronario, las personas que tienen DMT2 deben controlar estrictamente los  factores de riesgo cardiovasculares, aplicando el mismo manejo estricto que se recomienda en  prevención secundaria de enfermedad coronaria para el control de lípidos y presión arterial. Al  aplicar este manejo se cuestiona la tamización de enfermedad coronaria mientras no sea sintomática.  Las pruebas de tamización para enfermedad coronaria incluyen la prueba de esfuerzo convencional,  prueba de estrés farmacológico con ecocardiografía o con imágenes de perfusión por medicina  nuclear y la cuantificación del puntaje de calcio coronario por tomografía computarizada. El  electrocardiograma suele hacerse de rutina en personas mayores de 40 años pero no se considera  una prueba adecuada para tamización de enfermedad coronaria por su baja sensibilidad y  especificidad. </w:t>
      </w:r>
    </w:p>
    <w:p w:rsidR="00000000" w:rsidDel="00000000" w:rsidP="00000000" w:rsidRDefault="00000000" w:rsidRPr="00000000" w14:paraId="00000133">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El daño vascular producido por la hiperglucemia sostenida en el paciente con DMT2 también se  manifiesta en los capilares como micro angiopatía. Las principales manifestaciones clínicas se ven en  la retina (retinopatía), el glomérulo (nefropatía) y los nervios periféricos (neuropatía) </w:t>
      </w:r>
    </w:p>
    <w:p w:rsidR="00000000" w:rsidDel="00000000" w:rsidP="00000000" w:rsidRDefault="00000000" w:rsidRPr="00000000" w14:paraId="00000134">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Como la DMT2 suele comenzar en forma silenciosa, puede transcurrir un tiempo largo desde el inicio  de la enfermedad hasta el diagnóstico y no es infrecuente encontrar manifestaciones clínicas de micro  angiopatía en el paciente con DMT2 recién diagnosticada. Esto obliga a la búsqueda sistemática  (tamización) de estas complicaciones desde el inicio, y luego anualmente con el fin de evitar su  progresión. La tamización de retinopatía se hace mediante la fotografía no midriática de la retina o  por oftalmoscopia hecha por un profesional especializado. La tamización de nefropatía se hace midiendo la presencia de albúmina en la orina y la tasa de filtración glomerular. La tamización de  neuropatía se hace evaluando la sensibilidad vibratoria y táctil en tobillos y pies.  </w:t>
      </w:r>
    </w:p>
    <w:p w:rsidR="00000000" w:rsidDel="00000000" w:rsidP="00000000" w:rsidRDefault="00000000" w:rsidRPr="00000000" w14:paraId="00000135">
      <w:pPr>
        <w:widowControl w:val="0"/>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36">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PREGUNTA CLÍNICA 9 </w:t>
      </w:r>
    </w:p>
    <w:p w:rsidR="00000000" w:rsidDel="00000000" w:rsidP="00000000" w:rsidRDefault="00000000" w:rsidRPr="00000000" w14:paraId="00000137">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¿En personas adultas con diabetes mellitus tipo 2 y sin síntomas de insuficiencia coronaria se debe  hacer tamización para enfermedad arterial coronaria?</w:t>
      </w:r>
    </w:p>
    <w:p w:rsidR="00000000" w:rsidDel="00000000" w:rsidP="00000000" w:rsidRDefault="00000000" w:rsidRPr="00000000" w14:paraId="00000138">
      <w:pPr>
        <w:widowControl w:val="0"/>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39">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RECOMENDACIONES:  </w:t>
      </w:r>
    </w:p>
    <w:p w:rsidR="00000000" w:rsidDel="00000000" w:rsidP="00000000" w:rsidRDefault="00000000" w:rsidRPr="00000000" w14:paraId="0000013A">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B">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30. En los pacientes con DMT2 sin síntomas de insuficiencia coronaria, se sugiere no hacer tamización  para enfermedad arterial coronaria  </w:t>
      </w:r>
    </w:p>
    <w:p w:rsidR="00000000" w:rsidDel="00000000" w:rsidP="00000000" w:rsidRDefault="00000000" w:rsidRPr="00000000" w14:paraId="0000013C">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en contra.  </w:t>
      </w:r>
    </w:p>
    <w:p w:rsidR="00000000" w:rsidDel="00000000" w:rsidP="00000000" w:rsidRDefault="00000000" w:rsidRPr="00000000" w14:paraId="0000013D">
      <w:pPr>
        <w:widowControl w:val="0"/>
        <w:spacing w:after="0" w:line="276" w:lineRule="auto"/>
        <w:jc w:val="both"/>
        <w:rPr>
          <w:rFonts w:ascii="Arial" w:cs="Arial" w:eastAsia="Arial" w:hAnsi="Arial"/>
        </w:rPr>
      </w:pPr>
      <w:sdt>
        <w:sdtPr>
          <w:id w:val="250602066"/>
          <w:tag w:val="goog_rdk_76"/>
        </w:sdtPr>
        <w:sdtContent>
          <w:r w:rsidDel="00000000" w:rsidR="00000000" w:rsidRPr="00000000">
            <w:rPr>
              <w:rFonts w:ascii="Arial Unicode MS" w:cs="Arial Unicode MS" w:eastAsia="Arial Unicode MS" w:hAnsi="Arial Unicode MS"/>
              <w:rtl w:val="0"/>
            </w:rPr>
            <w:t xml:space="preserve">Calidad de la evidencia Baja ⊕⊝⊝⊝</w:t>
          </w:r>
        </w:sdtContent>
      </w:sdt>
    </w:p>
    <w:p w:rsidR="00000000" w:rsidDel="00000000" w:rsidP="00000000" w:rsidRDefault="00000000" w:rsidRPr="00000000" w14:paraId="0000013E">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F">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PUNTOS DE BUENA PRÁCTICA CLÍNICA:  </w:t>
      </w:r>
    </w:p>
    <w:p w:rsidR="00000000" w:rsidDel="00000000" w:rsidP="00000000" w:rsidRDefault="00000000" w:rsidRPr="00000000" w14:paraId="00000140">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1">
      <w:pPr>
        <w:widowControl w:val="0"/>
        <w:spacing w:after="0" w:line="276" w:lineRule="auto"/>
        <w:jc w:val="both"/>
        <w:rPr>
          <w:rFonts w:ascii="Arial" w:cs="Arial" w:eastAsia="Arial" w:hAnsi="Arial"/>
        </w:rPr>
      </w:pPr>
      <w:sdt>
        <w:sdtPr>
          <w:id w:val="-2082534424"/>
          <w:tag w:val="goog_rdk_77"/>
        </w:sdtPr>
        <w:sdtContent>
          <w:r w:rsidDel="00000000" w:rsidR="00000000" w:rsidRPr="00000000">
            <w:rPr>
              <w:rFonts w:ascii="Arial Unicode MS" w:cs="Arial Unicode MS" w:eastAsia="Arial Unicode MS" w:hAnsi="Arial Unicode MS"/>
              <w:rtl w:val="0"/>
            </w:rPr>
            <w:t xml:space="preserve">∙ En todo paciente con DMT2 se deben manejar los factores de riesgo cardiovascular como si  se tratara de una persona con enfermedad coronaria establecida, con excepción de la aspirina  en bajas dosis que todavía no se recomienda en todas las personas con DMT2 sin enfermedad  cardiovascular establecida. </w:t>
          </w:r>
        </w:sdtContent>
      </w:sdt>
    </w:p>
    <w:p w:rsidR="00000000" w:rsidDel="00000000" w:rsidP="00000000" w:rsidRDefault="00000000" w:rsidRPr="00000000" w14:paraId="00000142">
      <w:pPr>
        <w:widowControl w:val="0"/>
        <w:spacing w:after="0" w:line="276" w:lineRule="auto"/>
        <w:jc w:val="both"/>
        <w:rPr>
          <w:rFonts w:ascii="Arial" w:cs="Arial" w:eastAsia="Arial" w:hAnsi="Arial"/>
        </w:rPr>
      </w:pPr>
      <w:sdt>
        <w:sdtPr>
          <w:id w:val="1978274878"/>
          <w:tag w:val="goog_rdk_78"/>
        </w:sdtPr>
        <w:sdtContent>
          <w:r w:rsidDel="00000000" w:rsidR="00000000" w:rsidRPr="00000000">
            <w:rPr>
              <w:rFonts w:ascii="Arial Unicode MS" w:cs="Arial Unicode MS" w:eastAsia="Arial Unicode MS" w:hAnsi="Arial Unicode MS"/>
              <w:rtl w:val="0"/>
            </w:rPr>
            <w:t xml:space="preserve">∙ El proceso diagnóstico de enfermedad coronaria se debe iniciar cuando el paciente presenta síntomas sugestivos de enfermedad coronaria, y según los hallazgos se procederá al  tratamiento oportuno y apropiado. </w:t>
          </w:r>
        </w:sdtContent>
      </w:sdt>
    </w:p>
    <w:p w:rsidR="00000000" w:rsidDel="00000000" w:rsidP="00000000" w:rsidRDefault="00000000" w:rsidRPr="00000000" w14:paraId="00000143">
      <w:pPr>
        <w:widowControl w:val="0"/>
        <w:spacing w:after="0" w:line="276" w:lineRule="auto"/>
        <w:jc w:val="both"/>
        <w:rPr>
          <w:rFonts w:ascii="Arial" w:cs="Arial" w:eastAsia="Arial" w:hAnsi="Arial"/>
        </w:rPr>
      </w:pPr>
      <w:sdt>
        <w:sdtPr>
          <w:id w:val="-754880962"/>
          <w:tag w:val="goog_rdk_79"/>
        </w:sdtPr>
        <w:sdtContent>
          <w:r w:rsidDel="00000000" w:rsidR="00000000" w:rsidRPr="00000000">
            <w:rPr>
              <w:rFonts w:ascii="Arial Unicode MS" w:cs="Arial Unicode MS" w:eastAsia="Arial Unicode MS" w:hAnsi="Arial Unicode MS"/>
              <w:rtl w:val="0"/>
            </w:rPr>
            <w:t xml:space="preserve">∙ La persona con DMT2 debe conocer cuáles son los síntomas clásicos de isquemia coronaria y  los no clásicos como disnea de aparición repentina, para que los pueda identificar  oportunamente.  </w:t>
          </w:r>
        </w:sdtContent>
      </w:sdt>
    </w:p>
    <w:p w:rsidR="00000000" w:rsidDel="00000000" w:rsidP="00000000" w:rsidRDefault="00000000" w:rsidRPr="00000000" w14:paraId="00000144">
      <w:pPr>
        <w:widowControl w:val="0"/>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45">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PREGUNTA CLÍNICA 10 </w:t>
      </w:r>
    </w:p>
    <w:p w:rsidR="00000000" w:rsidDel="00000000" w:rsidP="00000000" w:rsidRDefault="00000000" w:rsidRPr="00000000" w14:paraId="00000146">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¿En personas adultas con DMT2 cómo debe hacerse el manejo según los resultados de la tamización  para albuminuria? </w:t>
      </w:r>
    </w:p>
    <w:p w:rsidR="00000000" w:rsidDel="00000000" w:rsidP="00000000" w:rsidRDefault="00000000" w:rsidRPr="00000000" w14:paraId="00000147">
      <w:pPr>
        <w:widowControl w:val="0"/>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48">
      <w:pPr>
        <w:widowControl w:val="0"/>
        <w:spacing w:after="0" w:line="276" w:lineRule="auto"/>
        <w:jc w:val="both"/>
        <w:rPr>
          <w:rFonts w:ascii="Arial" w:cs="Arial" w:eastAsia="Arial" w:hAnsi="Arial"/>
        </w:rPr>
      </w:pPr>
      <w:r w:rsidDel="00000000" w:rsidR="00000000" w:rsidRPr="00000000">
        <w:rPr>
          <w:rFonts w:ascii="Arial" w:cs="Arial" w:eastAsia="Arial" w:hAnsi="Arial"/>
          <w:b w:val="1"/>
          <w:rtl w:val="0"/>
        </w:rPr>
        <w:t xml:space="preserve">RECOMENDACIONES: </w:t>
      </w:r>
      <w:r w:rsidDel="00000000" w:rsidR="00000000" w:rsidRPr="00000000">
        <w:rPr>
          <w:rFonts w:ascii="Arial" w:cs="Arial" w:eastAsia="Arial" w:hAnsi="Arial"/>
          <w:rtl w:val="0"/>
        </w:rPr>
        <w:t xml:space="preserve"> </w:t>
      </w:r>
    </w:p>
    <w:p w:rsidR="00000000" w:rsidDel="00000000" w:rsidP="00000000" w:rsidRDefault="00000000" w:rsidRPr="00000000" w14:paraId="00000149">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A">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31. En los pacientes con DMT2. se sugiere iniciar tratamiento con un inhibidor de la enzima  convertidora de angiotensina (IECA) o un antagonista del receptor de angiotensina 2 (ARA2) cuando  se detecte microalbuminuria persistente*, y aunque todavía no tengan hipertensión arterial  </w:t>
      </w:r>
    </w:p>
    <w:p w:rsidR="00000000" w:rsidDel="00000000" w:rsidP="00000000" w:rsidRDefault="00000000" w:rsidRPr="00000000" w14:paraId="0000014B">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a favor de la intervención.  </w:t>
      </w:r>
    </w:p>
    <w:p w:rsidR="00000000" w:rsidDel="00000000" w:rsidP="00000000" w:rsidRDefault="00000000" w:rsidRPr="00000000" w14:paraId="0000014C">
      <w:pPr>
        <w:widowControl w:val="0"/>
        <w:spacing w:after="0" w:line="276" w:lineRule="auto"/>
        <w:jc w:val="both"/>
        <w:rPr>
          <w:rFonts w:ascii="Arial" w:cs="Arial" w:eastAsia="Arial" w:hAnsi="Arial"/>
        </w:rPr>
      </w:pPr>
      <w:sdt>
        <w:sdtPr>
          <w:id w:val="-1208246661"/>
          <w:tag w:val="goog_rdk_80"/>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14D">
      <w:pPr>
        <w:widowControl w:val="0"/>
        <w:spacing w:after="0" w:line="276" w:lineRule="auto"/>
        <w:jc w:val="both"/>
        <w:rPr>
          <w:rFonts w:ascii="Arial" w:cs="Arial" w:eastAsia="Arial" w:hAnsi="Arial"/>
        </w:rPr>
      </w:pPr>
      <w:sdt>
        <w:sdtPr>
          <w:id w:val="-842448437"/>
          <w:tag w:val="goog_rdk_81"/>
        </w:sdtPr>
        <w:sdtContent>
          <w:r w:rsidDel="00000000" w:rsidR="00000000" w:rsidRPr="00000000">
            <w:rPr>
              <w:rFonts w:ascii="Arial Unicode MS" w:cs="Arial Unicode MS" w:eastAsia="Arial Unicode MS" w:hAnsi="Arial Unicode MS"/>
              <w:rtl w:val="0"/>
            </w:rPr>
            <w:t xml:space="preserve">*≥ 30 mg de albuminuria/g de creatinuria en una muestra aislada de la primera orina de la mañana  o ≥ 30 mg de albumina en la orina recolectada durante 24 horas. </w:t>
          </w:r>
        </w:sdtContent>
      </w:sdt>
    </w:p>
    <w:p w:rsidR="00000000" w:rsidDel="00000000" w:rsidP="00000000" w:rsidRDefault="00000000" w:rsidRPr="00000000" w14:paraId="0000014E">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F">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32. Se sugiere no dar tratamiento con IECA o ARA2 a los pacientes con DMT2 que no presenten  hipertensión arterial ni microalbuminuria*.  </w:t>
      </w:r>
    </w:p>
    <w:p w:rsidR="00000000" w:rsidDel="00000000" w:rsidP="00000000" w:rsidRDefault="00000000" w:rsidRPr="00000000" w14:paraId="00000150">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Recomendación débil en contra de la intervención.  </w:t>
      </w:r>
    </w:p>
    <w:p w:rsidR="00000000" w:rsidDel="00000000" w:rsidP="00000000" w:rsidRDefault="00000000" w:rsidRPr="00000000" w14:paraId="00000151">
      <w:pPr>
        <w:widowControl w:val="0"/>
        <w:spacing w:after="0" w:line="276" w:lineRule="auto"/>
        <w:jc w:val="both"/>
        <w:rPr>
          <w:rFonts w:ascii="Arial" w:cs="Arial" w:eastAsia="Arial" w:hAnsi="Arial"/>
        </w:rPr>
      </w:pPr>
      <w:sdt>
        <w:sdtPr>
          <w:id w:val="251695687"/>
          <w:tag w:val="goog_rdk_82"/>
        </w:sdtPr>
        <w:sdtContent>
          <w:r w:rsidDel="00000000" w:rsidR="00000000" w:rsidRPr="00000000">
            <w:rPr>
              <w:rFonts w:ascii="Arial Unicode MS" w:cs="Arial Unicode MS" w:eastAsia="Arial Unicode MS" w:hAnsi="Arial Unicode MS"/>
              <w:rtl w:val="0"/>
            </w:rPr>
            <w:t xml:space="preserve">Calidad de la evidencia Moderada ⊕⊝⊝⊝. </w:t>
          </w:r>
        </w:sdtContent>
      </w:sdt>
    </w:p>
    <w:p w:rsidR="00000000" w:rsidDel="00000000" w:rsidP="00000000" w:rsidRDefault="00000000" w:rsidRPr="00000000" w14:paraId="00000152">
      <w:pPr>
        <w:widowControl w:val="0"/>
        <w:spacing w:after="0" w:line="276" w:lineRule="auto"/>
        <w:jc w:val="both"/>
        <w:rPr>
          <w:rFonts w:ascii="Arial" w:cs="Arial" w:eastAsia="Arial" w:hAnsi="Arial"/>
        </w:rPr>
      </w:pPr>
      <w:sdt>
        <w:sdtPr>
          <w:id w:val="739544361"/>
          <w:tag w:val="goog_rdk_83"/>
        </w:sdtPr>
        <w:sdtContent>
          <w:r w:rsidDel="00000000" w:rsidR="00000000" w:rsidRPr="00000000">
            <w:rPr>
              <w:rFonts w:ascii="Arial Unicode MS" w:cs="Arial Unicode MS" w:eastAsia="Arial Unicode MS" w:hAnsi="Arial Unicode MS"/>
              <w:rtl w:val="0"/>
            </w:rPr>
            <w:t xml:space="preserve">*≥ 30 mg de albuminuria/g de creatinuria en una muestra aislada de la primera orina de la mañana  o ≥ 30 mg de albúmina en la orina recolectada durante 24 horas. </w:t>
          </w:r>
        </w:sdtContent>
      </w:sdt>
    </w:p>
    <w:p w:rsidR="00000000" w:rsidDel="00000000" w:rsidP="00000000" w:rsidRDefault="00000000" w:rsidRPr="00000000" w14:paraId="00000153">
      <w:pPr>
        <w:widowControl w:val="0"/>
        <w:spacing w:after="0"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54">
      <w:pPr>
        <w:widowControl w:val="0"/>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PUNTOS DE BUENA PRÁCTICA CLÍNICA: </w:t>
      </w:r>
    </w:p>
    <w:p w:rsidR="00000000" w:rsidDel="00000000" w:rsidP="00000000" w:rsidRDefault="00000000" w:rsidRPr="00000000" w14:paraId="00000155">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6">
      <w:pPr>
        <w:widowControl w:val="0"/>
        <w:spacing w:after="0" w:line="276" w:lineRule="auto"/>
        <w:jc w:val="both"/>
        <w:rPr>
          <w:rFonts w:ascii="Arial" w:cs="Arial" w:eastAsia="Arial" w:hAnsi="Arial"/>
        </w:rPr>
      </w:pPr>
      <w:sdt>
        <w:sdtPr>
          <w:id w:val="320707736"/>
          <w:tag w:val="goog_rdk_84"/>
        </w:sdtPr>
        <w:sdtContent>
          <w:r w:rsidDel="00000000" w:rsidR="00000000" w:rsidRPr="00000000">
            <w:rPr>
              <w:rFonts w:ascii="Arial Unicode MS" w:cs="Arial Unicode MS" w:eastAsia="Arial Unicode MS" w:hAnsi="Arial Unicode MS"/>
              <w:rtl w:val="0"/>
            </w:rPr>
            <w:t xml:space="preserve">∙ La prueba de tamización para microalbuminuria se debe hacer anualmente desde el  momento del diagnóstico. Debido a que existen múltiples factores que pueden aumentar la  excreción de albúmina de manera transitoria, se debe confirmar su persistencia en al menos  2 de 3 mediciones, en muestras tomadas con intervalos de 4 a 6 semanas </w:t>
          </w:r>
        </w:sdtContent>
      </w:sdt>
    </w:p>
    <w:p w:rsidR="00000000" w:rsidDel="00000000" w:rsidP="00000000" w:rsidRDefault="00000000" w:rsidRPr="00000000" w14:paraId="00000157">
      <w:pPr>
        <w:widowControl w:val="0"/>
        <w:spacing w:after="0" w:line="276" w:lineRule="auto"/>
        <w:jc w:val="both"/>
        <w:rPr>
          <w:rFonts w:ascii="Arial" w:cs="Arial" w:eastAsia="Arial" w:hAnsi="Arial"/>
        </w:rPr>
      </w:pPr>
      <w:sdt>
        <w:sdtPr>
          <w:id w:val="-1017537567"/>
          <w:tag w:val="goog_rdk_85"/>
        </w:sdtPr>
        <w:sdtContent>
          <w:r w:rsidDel="00000000" w:rsidR="00000000" w:rsidRPr="00000000">
            <w:rPr>
              <w:rFonts w:ascii="Arial Unicode MS" w:cs="Arial Unicode MS" w:eastAsia="Arial Unicode MS" w:hAnsi="Arial Unicode MS"/>
              <w:rtl w:val="0"/>
            </w:rPr>
            <w:t xml:space="preserve">∙ La nefropatía diabética se diagnostica cuando, además de la presencia de microalbuminuria,  la tasa de filtración glomerular (TFG) está por debajo de 60 ml/min. La TFG se calcula  utilizando fórmulas como MDRD, Cockroft o CKD-Epi que tienen en cuenta la creatinina  sérica, la edad y en algunas el peso. Además ajustan por sexo femenino y por raza negra.  </w:t>
          </w:r>
        </w:sdtContent>
      </w:sdt>
    </w:p>
    <w:p w:rsidR="00000000" w:rsidDel="00000000" w:rsidP="00000000" w:rsidRDefault="00000000" w:rsidRPr="00000000" w14:paraId="00000158">
      <w:pPr>
        <w:widowControl w:val="0"/>
        <w:spacing w:after="0" w:line="276" w:lineRule="auto"/>
        <w:jc w:val="both"/>
        <w:rPr>
          <w:rFonts w:ascii="Arial" w:cs="Arial" w:eastAsia="Arial" w:hAnsi="Arial"/>
        </w:rPr>
      </w:pPr>
      <w:sdt>
        <w:sdtPr>
          <w:id w:val="-2127595754"/>
          <w:tag w:val="goog_rdk_86"/>
        </w:sdtPr>
        <w:sdtContent>
          <w:r w:rsidDel="00000000" w:rsidR="00000000" w:rsidRPr="00000000">
            <w:rPr>
              <w:rFonts w:ascii="Arial Unicode MS" w:cs="Arial Unicode MS" w:eastAsia="Arial Unicode MS" w:hAnsi="Arial Unicode MS"/>
              <w:rtl w:val="0"/>
            </w:rPr>
            <w:t xml:space="preserve">∙ En el paciente con DMT2. El control estricto de la hipertensión arterial previene y reduce la  progresión de la nefropatía diabética. Se comienza el manejo con IECA o ARA2 pero se pueden  agregar otros antihipertensivos si es necesario para lograr una meta de presión arterial  sistólica (PAS) entre 130 y 139 mm Hg y de presión arterial diastólica (PAD) ≤ 80 m mg/Hg. </w:t>
          </w:r>
        </w:sdtContent>
      </w:sdt>
    </w:p>
    <w:p w:rsidR="00000000" w:rsidDel="00000000" w:rsidP="00000000" w:rsidRDefault="00000000" w:rsidRPr="00000000" w14:paraId="00000159">
      <w:pPr>
        <w:widowControl w:val="0"/>
        <w:spacing w:after="0" w:line="276" w:lineRule="auto"/>
        <w:jc w:val="both"/>
        <w:rPr>
          <w:rFonts w:ascii="Arial" w:cs="Arial" w:eastAsia="Arial" w:hAnsi="Arial"/>
        </w:rPr>
      </w:pPr>
      <w:sdt>
        <w:sdtPr>
          <w:id w:val="1212709184"/>
          <w:tag w:val="goog_rdk_87"/>
        </w:sdtPr>
        <w:sdtContent>
          <w:r w:rsidDel="00000000" w:rsidR="00000000" w:rsidRPr="00000000">
            <w:rPr>
              <w:rFonts w:ascii="Arial Unicode MS" w:cs="Arial Unicode MS" w:eastAsia="Arial Unicode MS" w:hAnsi="Arial Unicode MS"/>
              <w:rtl w:val="0"/>
            </w:rPr>
            <w:t xml:space="preserve">∙ Cuando la albuminuria es &gt; 300 mg/g de creatinina (&gt; 300 mg en 24 horas) se clasifica como  macroalbuminuria y se considera equivalente a la presencia de proteinuria. Su persistencia  indica un mayor riesgo de mortalidad y de progresión a estadios avanzados de falla renal por  lo cual requiere un manejo aún más estricto.</w:t>
          </w:r>
        </w:sdtContent>
      </w:sdt>
    </w:p>
    <w:p w:rsidR="00000000" w:rsidDel="00000000" w:rsidP="00000000" w:rsidRDefault="00000000" w:rsidRPr="00000000" w14:paraId="0000015A">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15B">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15C">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15D">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15E">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15F">
      <w:pPr>
        <w:widowControl w:val="0"/>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BIBLIOGRAFÍA</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183">
      <w:pPr>
        <w:numPr>
          <w:ilvl w:val="0"/>
          <w:numId w:val="1"/>
        </w:numPr>
        <w:spacing w:after="0" w:line="24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Casal Domínguez, María; Pinal-Fernandez, Iago, Guía de práctica clínica de diabetes mellitus tipo 2, iMedPub Journals, Vol. 10 No. 2:2, doi: 10.3823/1212,  Under License of Creative Commons Attribution 3.0 License 1, 2014</w:t>
      </w:r>
    </w:p>
    <w:p w:rsidR="00000000" w:rsidDel="00000000" w:rsidP="00000000" w:rsidRDefault="00000000" w:rsidRPr="00000000" w14:paraId="00000184">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85">
      <w:pPr>
        <w:numPr>
          <w:ilvl w:val="0"/>
          <w:numId w:val="1"/>
        </w:numPr>
        <w:spacing w:after="0" w:line="24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Ministerio de Salud y Protección Social Departamento Administrativo de Ciencia, Tecnología e Innovación - Colciencias, Guía de práctica clínica para el diagnóstico, tratamiento y seguimiento de la diabetes mellitus tipo 2 en la población mayor de 18 años, Sistema General de Seguridad Social en Salud – Colombia, Guía No. GPC-2015-51, ISBN: 978-958-8903-82-8, Bogotá, Colombia, Marzo de 2016</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highlight w:val="white"/>
          <w:u w:val="none"/>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Ministerio de Salud, Dirección general de Promoción y Prevención, Viceministerio de Salud, República de Colombia, GUÍA DE ATENCIÓN DE LA DIABETES TIPO II</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Reyes Sanamé, F. A., Pérez Álvarez, M. L., Alfonso Figueredo, E., Ramírez Estupiñan, M., &amp; Jiménez Rizo, Y. (2016). Tratamiento actual de la diabetes mellitus tipo 2. </w:t>
      </w:r>
      <w:r w:rsidDel="00000000" w:rsidR="00000000" w:rsidRPr="00000000">
        <w:rPr>
          <w:rFonts w:ascii="Arial" w:cs="Arial" w:eastAsia="Arial" w:hAnsi="Arial"/>
          <w:i w:val="1"/>
          <w:highlight w:val="white"/>
          <w:rtl w:val="0"/>
        </w:rPr>
        <w:t xml:space="preserve">Correo científico médico</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1"/>
          <w:highlight w:val="white"/>
          <w:rtl w:val="0"/>
        </w:rPr>
        <w:t xml:space="preserve">20</w:t>
      </w:r>
      <w:r w:rsidDel="00000000" w:rsidR="00000000" w:rsidRPr="00000000">
        <w:rPr>
          <w:rFonts w:ascii="Arial" w:cs="Arial" w:eastAsia="Arial" w:hAnsi="Arial"/>
          <w:highlight w:val="white"/>
          <w:rtl w:val="0"/>
        </w:rPr>
        <w:t xml:space="preserve">(1), 98-121.</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Conget, I. (2002). Diagnóstico, clasificación y patogenia de la diabetes mellitus. </w:t>
      </w:r>
      <w:r w:rsidDel="00000000" w:rsidR="00000000" w:rsidRPr="00000000">
        <w:rPr>
          <w:rFonts w:ascii="Arial" w:cs="Arial" w:eastAsia="Arial" w:hAnsi="Arial"/>
          <w:i w:val="1"/>
          <w:highlight w:val="white"/>
          <w:rtl w:val="0"/>
        </w:rPr>
        <w:t xml:space="preserve">Revista española de cardiología</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1"/>
          <w:highlight w:val="white"/>
          <w:rtl w:val="0"/>
        </w:rPr>
        <w:t xml:space="preserve">55</w:t>
      </w:r>
      <w:r w:rsidDel="00000000" w:rsidR="00000000" w:rsidRPr="00000000">
        <w:rPr>
          <w:rFonts w:ascii="Arial" w:cs="Arial" w:eastAsia="Arial" w:hAnsi="Arial"/>
          <w:highlight w:val="white"/>
          <w:rtl w:val="0"/>
        </w:rPr>
        <w:t xml:space="preserve">(5), 528-535.</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Jiménez-Corona, A., Aguilar-Salinas, C. A., Rojas-Martínez, R., &amp; Hernández-Ávila, M. (2013). Diabetes mellitus tipo 2 y frecuencia de acciones para su prevención y control. </w:t>
      </w:r>
      <w:r w:rsidDel="00000000" w:rsidR="00000000" w:rsidRPr="00000000">
        <w:rPr>
          <w:rFonts w:ascii="Arial" w:cs="Arial" w:eastAsia="Arial" w:hAnsi="Arial"/>
          <w:i w:val="1"/>
          <w:highlight w:val="white"/>
          <w:rtl w:val="0"/>
        </w:rPr>
        <w:t xml:space="preserve">Salud pública de México</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1"/>
          <w:highlight w:val="white"/>
          <w:rtl w:val="0"/>
        </w:rPr>
        <w:t xml:space="preserve">55</w:t>
      </w:r>
      <w:r w:rsidDel="00000000" w:rsidR="00000000" w:rsidRPr="00000000">
        <w:rPr>
          <w:rFonts w:ascii="Arial" w:cs="Arial" w:eastAsia="Arial" w:hAnsi="Arial"/>
          <w:highlight w:val="white"/>
          <w:rtl w:val="0"/>
        </w:rPr>
        <w:t xml:space="preserve">(suppl 2), S137-S143.</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highlight w:val="white"/>
        </w:rPr>
      </w:pPr>
      <w:r w:rsidDel="00000000" w:rsidR="00000000" w:rsidRPr="00000000">
        <w:rPr>
          <w:rFonts w:ascii="Arial" w:cs="Arial" w:eastAsia="Arial" w:hAnsi="Arial"/>
          <w:color w:val="222222"/>
          <w:highlight w:val="white"/>
          <w:rtl w:val="0"/>
        </w:rPr>
        <w:t xml:space="preserve">Lupinacci Costa Oliveira, N. (2015). Efectos de la acupuntura sobre la calidad de vida en diabéticos tipo II (Doctoral dissertation).</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Subia, S. B., Segale, Á., &amp; Chica, M. E. (2012). Oxigenoterapia hiperbárica y su relación con la efectividad en el tratamiento y control del pie diabético. </w:t>
      </w:r>
      <w:r w:rsidDel="00000000" w:rsidR="00000000" w:rsidRPr="00000000">
        <w:rPr>
          <w:rFonts w:ascii="Arial" w:cs="Arial" w:eastAsia="Arial" w:hAnsi="Arial"/>
          <w:i w:val="1"/>
          <w:color w:val="222222"/>
          <w:highlight w:val="white"/>
          <w:rtl w:val="0"/>
        </w:rPr>
        <w:t xml:space="preserve">Medicina</w:t>
      </w:r>
      <w:r w:rsidDel="00000000" w:rsidR="00000000" w:rsidRPr="00000000">
        <w:rPr>
          <w:rFonts w:ascii="Arial" w:cs="Arial" w:eastAsia="Arial" w:hAnsi="Arial"/>
          <w:color w:val="222222"/>
          <w:highlight w:val="white"/>
          <w:rtl w:val="0"/>
        </w:rPr>
        <w:t xml:space="preserve">, </w:t>
      </w:r>
      <w:r w:rsidDel="00000000" w:rsidR="00000000" w:rsidRPr="00000000">
        <w:rPr>
          <w:rFonts w:ascii="Arial" w:cs="Arial" w:eastAsia="Arial" w:hAnsi="Arial"/>
          <w:i w:val="1"/>
          <w:color w:val="222222"/>
          <w:highlight w:val="white"/>
          <w:rtl w:val="0"/>
        </w:rPr>
        <w:t xml:space="preserve">17</w:t>
      </w:r>
      <w:r w:rsidDel="00000000" w:rsidR="00000000" w:rsidRPr="00000000">
        <w:rPr>
          <w:rFonts w:ascii="Arial" w:cs="Arial" w:eastAsia="Arial" w:hAnsi="Arial"/>
          <w:color w:val="222222"/>
          <w:highlight w:val="white"/>
          <w:rtl w:val="0"/>
        </w:rPr>
        <w:t xml:space="preserve">(1), 38-44.</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Pizarro, S. M. (2020). Oxigenoterapia hiperbárica para tratar úlceras de pie diabético. </w:t>
      </w:r>
      <w:r w:rsidDel="00000000" w:rsidR="00000000" w:rsidRPr="00000000">
        <w:rPr>
          <w:rFonts w:ascii="Arial" w:cs="Arial" w:eastAsia="Arial" w:hAnsi="Arial"/>
          <w:i w:val="1"/>
          <w:color w:val="222222"/>
          <w:highlight w:val="white"/>
          <w:rtl w:val="0"/>
        </w:rPr>
        <w:t xml:space="preserve">Nuberos Científica</w:t>
      </w:r>
      <w:r w:rsidDel="00000000" w:rsidR="00000000" w:rsidRPr="00000000">
        <w:rPr>
          <w:rFonts w:ascii="Arial" w:cs="Arial" w:eastAsia="Arial" w:hAnsi="Arial"/>
          <w:color w:val="222222"/>
          <w:highlight w:val="white"/>
          <w:rtl w:val="0"/>
        </w:rPr>
        <w:t xml:space="preserve">, 45-45.</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highlight w:val="whit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tl w:val="0"/>
      </w:rPr>
    </w:r>
  </w:p>
  <w:tbl>
    <w:tblPr>
      <w:tblStyle w:val="Table1"/>
      <w:tblW w:w="8895.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4590"/>
      <w:gridCol w:w="1740"/>
      <w:tblGridChange w:id="0">
        <w:tblGrid>
          <w:gridCol w:w="2565"/>
          <w:gridCol w:w="4590"/>
          <w:gridCol w:w="1740"/>
        </w:tblGrid>
      </w:tblGridChange>
    </w:tblGrid>
    <w:tr>
      <w:trPr>
        <w:cantSplit w:val="0"/>
        <w:tblHeader w:val="0"/>
      </w:trPr>
      <w:tc>
        <w:tcPr/>
        <w:p w:rsidR="00000000" w:rsidDel="00000000" w:rsidP="00000000" w:rsidRDefault="00000000" w:rsidRPr="00000000" w14:paraId="00000197">
          <w:pPr>
            <w:tabs>
              <w:tab w:val="center" w:leader="none" w:pos="4419"/>
              <w:tab w:val="right" w:leader="none" w:pos="8838"/>
            </w:tabs>
            <w:rPr>
              <w:b w:val="1"/>
              <w:sz w:val="22"/>
              <w:szCs w:val="22"/>
            </w:rPr>
          </w:pPr>
          <w:r w:rsidDel="00000000" w:rsidR="00000000" w:rsidRPr="00000000">
            <w:rPr/>
            <w:drawing>
              <wp:inline distB="114300" distT="114300" distL="114300" distR="114300">
                <wp:extent cx="2409825" cy="838200"/>
                <wp:effectExtent b="0" l="0" r="0" t="0"/>
                <wp:docPr id="10" name="image3.png"/>
                <a:graphic>
                  <a:graphicData uri="http://schemas.openxmlformats.org/drawingml/2006/picture">
                    <pic:pic>
                      <pic:nvPicPr>
                        <pic:cNvPr id="0" name="image3.png"/>
                        <pic:cNvPicPr preferRelativeResize="0"/>
                      </pic:nvPicPr>
                      <pic:blipFill>
                        <a:blip r:embed="rId1"/>
                        <a:srcRect b="-17603" l="0" r="-59019" t="-36571"/>
                        <a:stretch>
                          <a:fillRect/>
                        </a:stretch>
                      </pic:blipFill>
                      <pic:spPr>
                        <a:xfrm>
                          <a:off x="0" y="0"/>
                          <a:ext cx="2409825" cy="838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sz w:val="22"/>
              <w:szCs w:val="22"/>
              <w:rtl w:val="0"/>
            </w:rPr>
            <w:t xml:space="preserve">GUÍA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DE PRÁCTICA CLÍNICA DIABETES</w:t>
          </w:r>
          <w:r w:rsidDel="00000000" w:rsidR="00000000" w:rsidRPr="00000000">
            <w:rPr>
              <w:b w:val="1"/>
              <w:sz w:val="22"/>
              <w:szCs w:val="22"/>
              <w:rtl w:val="0"/>
            </w:rPr>
            <w:t xml:space="preserve"> MELLITUS TIPO 2</w:t>
          </w:r>
          <w:r w:rsidDel="00000000" w:rsidR="00000000" w:rsidRPr="00000000">
            <w:rPr>
              <w:rtl w:val="0"/>
            </w:rPr>
          </w:r>
        </w:p>
      </w:tc>
      <w:tc>
        <w:tcPr/>
        <w:p w:rsidR="00000000" w:rsidDel="00000000" w:rsidP="00000000" w:rsidRDefault="00000000" w:rsidRPr="00000000" w14:paraId="0000019A">
          <w:pPr>
            <w:tabs>
              <w:tab w:val="center" w:leader="none" w:pos="4419"/>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Código:EH-D-041</w:t>
          </w:r>
        </w:p>
        <w:p w:rsidR="00000000" w:rsidDel="00000000" w:rsidP="00000000" w:rsidRDefault="00000000" w:rsidRPr="00000000" w14:paraId="0000019B">
          <w:pPr>
            <w:tabs>
              <w:tab w:val="center" w:leader="none" w:pos="4419"/>
              <w:tab w:val="right" w:leader="none" w:pos="8838"/>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C">
          <w:pPr>
            <w:tabs>
              <w:tab w:val="center" w:leader="none" w:pos="4419"/>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Versión:1</w:t>
          </w:r>
        </w:p>
        <w:p w:rsidR="00000000" w:rsidDel="00000000" w:rsidP="00000000" w:rsidRDefault="00000000" w:rsidRPr="00000000" w14:paraId="0000019D">
          <w:pPr>
            <w:tabs>
              <w:tab w:val="center" w:leader="none" w:pos="4419"/>
              <w:tab w:val="right" w:leader="none" w:pos="8838"/>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E">
          <w:pPr>
            <w:tabs>
              <w:tab w:val="center" w:leader="none" w:pos="4419"/>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Fecha: enero 2025</w:t>
          </w:r>
        </w:p>
      </w:tc>
    </w:tr>
  </w:tbl>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404FEC"/>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inespaciado">
    <w:name w:val="No Spacing"/>
    <w:uiPriority w:val="1"/>
    <w:qFormat w:val="1"/>
    <w:rsid w:val="00404FEC"/>
    <w:pPr>
      <w:spacing w:after="0" w:line="240" w:lineRule="auto"/>
    </w:pPr>
  </w:style>
  <w:style w:type="paragraph" w:styleId="Prrafodelista">
    <w:name w:val="List Paragraph"/>
    <w:basedOn w:val="Normal"/>
    <w:uiPriority w:val="34"/>
    <w:qFormat w:val="1"/>
    <w:rsid w:val="009064FD"/>
    <w:pPr>
      <w:ind w:left="720"/>
      <w:contextualSpacing w:val="1"/>
    </w:pPr>
  </w:style>
  <w:style w:type="character" w:styleId="Hipervnculo">
    <w:name w:val="Hyperlink"/>
    <w:basedOn w:val="Fuentedeprrafopredeter"/>
    <w:uiPriority w:val="99"/>
    <w:unhideWhenUsed w:val="1"/>
    <w:rsid w:val="009064FD"/>
    <w:rPr>
      <w:color w:val="0563c1" w:themeColor="hyperlink"/>
      <w:u w:val="single"/>
    </w:rPr>
  </w:style>
  <w:style w:type="character" w:styleId="Refdecomentario">
    <w:name w:val="annotation reference"/>
    <w:basedOn w:val="Fuentedeprrafopredeter"/>
    <w:uiPriority w:val="99"/>
    <w:semiHidden w:val="1"/>
    <w:unhideWhenUsed w:val="1"/>
    <w:rsid w:val="009064FD"/>
    <w:rPr>
      <w:sz w:val="16"/>
      <w:szCs w:val="16"/>
    </w:rPr>
  </w:style>
  <w:style w:type="paragraph" w:styleId="Textocomentario">
    <w:name w:val="annotation text"/>
    <w:basedOn w:val="Normal"/>
    <w:link w:val="TextocomentarioCar"/>
    <w:uiPriority w:val="99"/>
    <w:semiHidden w:val="1"/>
    <w:unhideWhenUsed w:val="1"/>
    <w:rsid w:val="009064FD"/>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064FD"/>
    <w:rPr>
      <w:sz w:val="20"/>
      <w:szCs w:val="20"/>
    </w:rPr>
  </w:style>
  <w:style w:type="paragraph" w:styleId="Textodeglobo">
    <w:name w:val="Balloon Text"/>
    <w:basedOn w:val="Normal"/>
    <w:link w:val="TextodegloboCar"/>
    <w:uiPriority w:val="99"/>
    <w:semiHidden w:val="1"/>
    <w:unhideWhenUsed w:val="1"/>
    <w:rsid w:val="009064FD"/>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9064FD"/>
    <w:rPr>
      <w:rFonts w:ascii="Segoe UI" w:cs="Segoe UI" w:hAnsi="Segoe UI"/>
      <w:sz w:val="18"/>
      <w:szCs w:val="18"/>
    </w:rPr>
  </w:style>
  <w:style w:type="paragraph" w:styleId="Encabezado">
    <w:name w:val="header"/>
    <w:basedOn w:val="Normal"/>
    <w:link w:val="EncabezadoCar"/>
    <w:uiPriority w:val="99"/>
    <w:unhideWhenUsed w:val="1"/>
    <w:rsid w:val="00C86CA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86CA3"/>
  </w:style>
  <w:style w:type="paragraph" w:styleId="Piedepgina">
    <w:name w:val="footer"/>
    <w:basedOn w:val="Normal"/>
    <w:link w:val="PiedepginaCar"/>
    <w:uiPriority w:val="99"/>
    <w:unhideWhenUsed w:val="1"/>
    <w:rsid w:val="00C86CA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86CA3"/>
  </w:style>
  <w:style w:type="table" w:styleId="Tablaconcuadrcula">
    <w:name w:val="Table Grid"/>
    <w:basedOn w:val="Tablanormal"/>
    <w:uiPriority w:val="39"/>
    <w:rsid w:val="00C86CA3"/>
    <w:pPr>
      <w:spacing w:after="0" w:line="240" w:lineRule="auto"/>
    </w:pPr>
    <w:rPr>
      <w:sz w:val="24"/>
      <w:szCs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hU+MPh/ISdMst5e0g031o8r5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zgAciExczRTMVpfVjFWLUdWcl9RVDZXWmZva1lzb19CMkw5Y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2019-10-11T14:49:00Z</dcterms:created>
  <dc:creator>Centro Medico</dc:creator>
</cp:coreProperties>
</file>