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2">
      <w:pPr>
        <w:numPr>
          <w:ilvl w:val="0"/>
          <w:numId w:val="3"/>
        </w:numPr>
        <w:spacing w:after="0" w:line="240" w:lineRule="auto"/>
        <w:ind w:left="720" w:hanging="360"/>
        <w:jc w:val="both"/>
        <w:rPr/>
      </w:pPr>
      <w:r w:rsidDel="00000000" w:rsidR="00000000" w:rsidRPr="00000000">
        <w:rPr>
          <w:rFonts w:ascii="Arial" w:cs="Arial" w:eastAsia="Arial" w:hAnsi="Arial"/>
          <w:b w:val="1"/>
          <w:rtl w:val="0"/>
        </w:rPr>
        <w:t xml:space="preserve">INTRODUCCIÓN</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presente Guía de Práctica Clínica se enfoca en el hipertiroidismo, una condición endocrina que resulta de la sobreproducción de hormonas tiroideas por la glándula tiroides.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hipertiroidismo, una afección caracterizada por la hiperactividad tiroidea, puede tener un impacto significativo en la calidad de vida de los pacientes. Los síntomas varían desde palpitaciones, ansiedad y pérdida de peso no intencional hasta temblores, fatiga y trastornos en la piel y el cabello. Esta guía busca proporcionar a los profesionales de la salud de la IPS Endocrinology &amp; Health una visión integral y actualizada de las mejores prácticas en el manejo clínico del hipertiroidismo, basada en la evidencia científica más reciente y en el consenso de expertos en el campo.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lo largo de esta guía, se explorarán en detalle los aspectos relacionados con el diagnóstico preciso del hipertiroidismo, la evaluación de los factores subyacentes, las opciones terapéuticas disponibles y la monitorización a largo plazo de los pacientes, además de las estrategias para lograr un abordaje multidisciplinario que garantice una atención integral y personalizada.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A">
      <w:pPr>
        <w:numPr>
          <w:ilvl w:val="0"/>
          <w:numId w:val="3"/>
        </w:numPr>
        <w:spacing w:after="0" w:line="240" w:lineRule="auto"/>
        <w:ind w:left="720" w:hanging="360"/>
        <w:jc w:val="both"/>
        <w:rPr/>
      </w:pPr>
      <w:r w:rsidDel="00000000" w:rsidR="00000000" w:rsidRPr="00000000">
        <w:rPr>
          <w:rFonts w:ascii="Arial" w:cs="Arial" w:eastAsia="Arial" w:hAnsi="Arial"/>
          <w:b w:val="1"/>
          <w:rtl w:val="0"/>
        </w:rPr>
        <w:t xml:space="preserve">OBJETIVO GENERAL</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rPr>
      </w:pPr>
      <w:r w:rsidDel="00000000" w:rsidR="00000000" w:rsidRPr="00000000">
        <w:rPr>
          <w:rFonts w:ascii="Arial" w:cs="Arial" w:eastAsia="Arial" w:hAnsi="Arial"/>
          <w:rtl w:val="0"/>
        </w:rPr>
        <w:t xml:space="preserve">El objetivo general de esta Guía de Práctica Clínica es proporcionar a los profesionales de la salud una herramienta integral y actualizada que facilite el diagnóstico preciso, el tratamiento efectivo y el manejo óptimo del hipertiroidismo, con base en la evidencia científica y el consenso de expertos. Esta guía tiene como propósito principal mejorar la calidad de atención a los pacientes afectados por esta condición endocrina, promoviendo la toma de decisiones informadas y personalizadas para lograr resultados clínicos satisfactorios y una mejor calidad de vida.</w:t>
      </w:r>
    </w:p>
    <w:p w:rsidR="00000000" w:rsidDel="00000000" w:rsidP="00000000" w:rsidRDefault="00000000" w:rsidRPr="00000000" w14:paraId="0000000D">
      <w:pPr>
        <w:spacing w:after="0" w:line="240" w:lineRule="auto"/>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0E">
      <w:pPr>
        <w:numPr>
          <w:ilvl w:val="0"/>
          <w:numId w:val="3"/>
        </w:numPr>
        <w:spacing w:after="0" w:line="240" w:lineRule="auto"/>
        <w:ind w:left="720" w:hanging="360"/>
        <w:jc w:val="both"/>
        <w:rPr/>
      </w:pPr>
      <w:r w:rsidDel="00000000" w:rsidR="00000000" w:rsidRPr="00000000">
        <w:rPr>
          <w:rFonts w:ascii="Arial" w:cs="Arial" w:eastAsia="Arial" w:hAnsi="Arial"/>
          <w:b w:val="1"/>
          <w:highlight w:val="white"/>
          <w:rtl w:val="0"/>
        </w:rPr>
        <w:t xml:space="preserve">OBJETIVOS ESPECÍFICOS</w:t>
      </w: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Proporcionar una descripción detallada de los criterios diagnósticos del hipertiroidismo, incluyendo las pruebas de laboratorio y técnicas de imagen más apropiadas para su detección temprana y precisa.</w:t>
      </w:r>
    </w:p>
    <w:p w:rsidR="00000000" w:rsidDel="00000000" w:rsidP="00000000" w:rsidRDefault="00000000" w:rsidRPr="00000000" w14:paraId="0000001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Presentar una revisión exhaustiva de las opciones terapéuticas disponibles para el hipertiroidismo, destacando los beneficios, riesgos y consideraciones específicas asociadas con cada enfoque, ya sea médico, radiactivo o quirúrgico.</w:t>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Ofrecer pautas claras para el manejo a corto y largo plazo de los pacientes con hipertiroidismo, abordando aspectos como el seguimiento clínico, la monitorización de la función tiroidea y la detección oportuna de posibles complicaciones.</w:t>
      </w:r>
    </w:p>
    <w:p w:rsidR="00000000" w:rsidDel="00000000" w:rsidP="00000000" w:rsidRDefault="00000000" w:rsidRPr="00000000" w14:paraId="0000001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Identificar y abordar las situaciones especiales que requieren un enfoque diferenciado en el diagnóstico y tratamiento del hipertiroidismo, como el embarazo, la lactancia y la presencia de comorbilidades.</w:t>
      </w:r>
    </w:p>
    <w:p w:rsidR="00000000" w:rsidDel="00000000" w:rsidP="00000000" w:rsidRDefault="00000000" w:rsidRPr="00000000" w14:paraId="0000001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Promover la colaboración multidisciplinaria entre endocrinólogos, médicos de familia, cirujanos, radiólogos y otros profesionales de la salud, con el fin de garantizar un enfoque integral y coordinado en la atención de los pacientes hipertiroideos.</w:t>
      </w:r>
    </w:p>
    <w:p w:rsidR="00000000" w:rsidDel="00000000" w:rsidP="00000000" w:rsidRDefault="00000000" w:rsidRPr="00000000" w14:paraId="0000001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A">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Fomentar la educación y el empoderamiento de los pacientes, proporcionando información comprensible sobre el hipertiroidismo, sus opciones de tratamiento y la importancia del cumplimiento terapéutico.</w:t>
      </w:r>
    </w:p>
    <w:p w:rsidR="00000000" w:rsidDel="00000000" w:rsidP="00000000" w:rsidRDefault="00000000" w:rsidRPr="00000000" w14:paraId="0000001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C">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Evaluar y sintetizar la literatura científica más reciente relacionada con el hipertiroidismo, con el fin de actualizar y ajustar periódicamente esta guía para reflejar los avances en el campo y asegurar su vigencia a lo largo del tiempo.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E">
      <w:pPr>
        <w:numPr>
          <w:ilvl w:val="0"/>
          <w:numId w:val="3"/>
        </w:numPr>
        <w:spacing w:after="0" w:line="240" w:lineRule="auto"/>
        <w:ind w:left="720" w:hanging="360"/>
        <w:jc w:val="both"/>
        <w:rPr/>
      </w:pPr>
      <w:r w:rsidDel="00000000" w:rsidR="00000000" w:rsidRPr="00000000">
        <w:rPr>
          <w:rFonts w:ascii="Arial" w:cs="Arial" w:eastAsia="Arial" w:hAnsi="Arial"/>
          <w:b w:val="1"/>
          <w:rtl w:val="0"/>
        </w:rPr>
        <w:t xml:space="preserve">ALCANCE</w:t>
      </w: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Esta guía está dirigida a profesionales de la salud que brindan atención médica a pacientes con diagnóstico de hipertiroidismo en la IPS Endocrinology &amp; Health. Se basa en la mejor evidencia disponible y se han utilizado los estándares de calidad metodológica rigurosos para la selección y evaluación de la evidencia.</w:t>
      </w:r>
    </w:p>
    <w:p w:rsidR="00000000" w:rsidDel="00000000" w:rsidP="00000000" w:rsidRDefault="00000000" w:rsidRPr="00000000" w14:paraId="00000021">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vertAlign w:val="baseline"/>
        </w:rPr>
      </w:pPr>
      <w:r w:rsidDel="00000000" w:rsidR="00000000" w:rsidRPr="00000000">
        <w:rPr>
          <w:rFonts w:ascii="Arial" w:cs="Arial" w:eastAsia="Arial" w:hAnsi="Arial"/>
          <w:b w:val="1"/>
          <w:rtl w:val="0"/>
        </w:rPr>
        <w:t xml:space="preserve">EQUIPO DESARROLLADOR</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Carlos Vizcaino, médico endocrinólogo</w:t>
      </w:r>
    </w:p>
    <w:p w:rsidR="00000000" w:rsidDel="00000000" w:rsidP="00000000" w:rsidRDefault="00000000" w:rsidRPr="00000000" w14:paraId="00000025">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Angela Monsalve, Ingeniera industrial de procesos</w:t>
      </w:r>
    </w:p>
    <w:p w:rsidR="00000000" w:rsidDel="00000000" w:rsidP="00000000" w:rsidRDefault="00000000" w:rsidRPr="00000000" w14:paraId="00000027">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Jackeline Morales, auditora en salud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POBLACIÓN</w:t>
      </w: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población objetivo son pacientes mayores de 18 años con diagnóstico de hipertiroidismo.</w:t>
      </w:r>
    </w:p>
    <w:p w:rsidR="00000000" w:rsidDel="00000000" w:rsidP="00000000" w:rsidRDefault="00000000" w:rsidRPr="00000000" w14:paraId="0000002E">
      <w:pPr>
        <w:spacing w:after="0" w:line="240" w:lineRule="auto"/>
        <w:ind w:left="720" w:firstLine="0"/>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31">
      <w:pPr>
        <w:numPr>
          <w:ilvl w:val="0"/>
          <w:numId w:val="3"/>
        </w:numPr>
        <w:spacing w:after="0" w:line="240" w:lineRule="auto"/>
        <w:ind w:left="720" w:hanging="360"/>
        <w:rPr/>
      </w:pPr>
      <w:r w:rsidDel="00000000" w:rsidR="00000000" w:rsidRPr="00000000">
        <w:rPr>
          <w:rFonts w:ascii="Arial" w:cs="Arial" w:eastAsia="Arial" w:hAnsi="Arial"/>
          <w:b w:val="1"/>
          <w:highlight w:val="white"/>
          <w:rtl w:val="0"/>
        </w:rPr>
        <w:t xml:space="preserve">TALENTO HUMANO</w:t>
      </w:r>
      <w:r w:rsidDel="00000000" w:rsidR="00000000" w:rsidRPr="00000000">
        <w:rPr>
          <w:rtl w:val="0"/>
        </w:rPr>
      </w:r>
    </w:p>
    <w:p w:rsidR="00000000" w:rsidDel="00000000" w:rsidP="00000000" w:rsidRDefault="00000000" w:rsidRPr="00000000" w14:paraId="00000032">
      <w:pPr>
        <w:spacing w:after="0" w:line="240" w:lineRule="auto"/>
        <w:ind w:left="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highlight w:val="white"/>
        </w:rPr>
      </w:pPr>
      <w:r w:rsidDel="00000000" w:rsidR="00000000" w:rsidRPr="00000000">
        <w:rPr>
          <w:rFonts w:ascii="Arial" w:cs="Arial" w:eastAsia="Arial" w:hAnsi="Arial"/>
          <w:rtl w:val="0"/>
        </w:rPr>
        <w:t xml:space="preserve">Personal asistencial de la IPS Endocrinology &amp; Health</w:t>
      </w:r>
      <w:r w:rsidDel="00000000" w:rsidR="00000000" w:rsidRPr="00000000">
        <w:rPr>
          <w:rtl w:val="0"/>
        </w:rPr>
      </w:r>
    </w:p>
    <w:p w:rsidR="00000000" w:rsidDel="00000000" w:rsidP="00000000" w:rsidRDefault="00000000" w:rsidRPr="00000000" w14:paraId="00000034">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5">
      <w:pPr>
        <w:numPr>
          <w:ilvl w:val="0"/>
          <w:numId w:val="3"/>
        </w:numPr>
        <w:spacing w:after="0" w:line="240" w:lineRule="auto"/>
        <w:ind w:left="720" w:hanging="360"/>
      </w:pPr>
      <w:r w:rsidDel="00000000" w:rsidR="00000000" w:rsidRPr="00000000">
        <w:rPr>
          <w:rFonts w:ascii="Arial" w:cs="Arial" w:eastAsia="Arial" w:hAnsi="Arial"/>
          <w:b w:val="1"/>
          <w:rtl w:val="0"/>
        </w:rPr>
        <w:t xml:space="preserve">DOTACIÓN</w:t>
      </w: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rtl w:val="0"/>
        </w:rPr>
        <w:t xml:space="preserve">Guantes</w:t>
      </w:r>
    </w:p>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rtl w:val="0"/>
        </w:rPr>
        <w:t xml:space="preserve">Bata</w:t>
      </w:r>
    </w:p>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rtl w:val="0"/>
        </w:rPr>
        <w:t xml:space="preserve">Tapabocas</w:t>
      </w:r>
    </w:p>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numPr>
          <w:ilvl w:val="0"/>
          <w:numId w:val="3"/>
        </w:numPr>
        <w:spacing w:after="0" w:line="240" w:lineRule="auto"/>
        <w:ind w:left="720" w:hanging="360"/>
      </w:pPr>
      <w:r w:rsidDel="00000000" w:rsidR="00000000" w:rsidRPr="00000000">
        <w:rPr>
          <w:rFonts w:ascii="Arial" w:cs="Arial" w:eastAsia="Arial" w:hAnsi="Arial"/>
          <w:b w:val="1"/>
          <w:rtl w:val="0"/>
        </w:rPr>
        <w:t xml:space="preserve">DISPOSITIVOS MÉDICOS E INSUMOS</w:t>
      </w: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highlight w:val="yellow"/>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rPr>
      </w:pPr>
      <w:r w:rsidDel="00000000" w:rsidR="00000000" w:rsidRPr="00000000">
        <w:rPr>
          <w:rFonts w:ascii="Arial" w:cs="Arial" w:eastAsia="Arial" w:hAnsi="Arial"/>
          <w:rtl w:val="0"/>
        </w:rPr>
        <w:t xml:space="preserve">Equipo de organos</w:t>
      </w:r>
    </w:p>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Fonts w:ascii="Arial" w:cs="Arial" w:eastAsia="Arial" w:hAnsi="Arial"/>
          <w:rtl w:val="0"/>
        </w:rPr>
        <w:t xml:space="preserve">Tensiometro</w:t>
      </w:r>
    </w:p>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Fonts w:ascii="Arial" w:cs="Arial" w:eastAsia="Arial" w:hAnsi="Arial"/>
          <w:rtl w:val="0"/>
        </w:rPr>
        <w:t xml:space="preserve">Balanza</w:t>
      </w:r>
    </w:p>
    <w:p w:rsidR="00000000" w:rsidDel="00000000" w:rsidP="00000000" w:rsidRDefault="00000000" w:rsidRPr="00000000" w14:paraId="00000040">
      <w:pPr>
        <w:spacing w:after="0" w:line="240" w:lineRule="auto"/>
        <w:rPr>
          <w:rFonts w:ascii="Arial" w:cs="Arial" w:eastAsia="Arial" w:hAnsi="Arial"/>
        </w:rPr>
      </w:pPr>
      <w:r w:rsidDel="00000000" w:rsidR="00000000" w:rsidRPr="00000000">
        <w:rPr>
          <w:rFonts w:ascii="Arial" w:cs="Arial" w:eastAsia="Arial" w:hAnsi="Arial"/>
          <w:rtl w:val="0"/>
        </w:rPr>
        <w:t xml:space="preserve">fonendoscopio</w:t>
      </w:r>
    </w:p>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ENFOQUE DIFERENCIAL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Descrito en el documento de enfoque diferencial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GENERALIDADES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11.1. DEFINICIÓN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hipertiroidismo es una condición médica caracterizada por un exceso de actividad de la glándula tiroides, que lleva a una producción exagerada de hormonas tiroideas en el cuerpo. La glándula tiroides, ubicada en la parte frontal del cuello, es responsable de regular el metabolismo del organismo al producir hormonas como la tiroxina (T4) y la triyodotironina (T3). Estas hormonas desempeñan un papel crucial en el control de la velocidad a la que el cuerpo utiliza la energía y en la regulación de diversas funciones fisiológicas.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el hipertiroidismo, la glándula tiroides se vuelve hiperactiva debido a varias causas posibles, como la enfermedad de Graves, en la que el sistema inmunológico ataca la glándula tiroides y provoca una sobreproducción de hormonas, o el adenoma tóxico, un tumor no canceroso en la glándula que produce hormonas en exceso de manera autónoma. Los síntomas comunes de hipertiroidismo pueden incluir aumento de la frecuencia cardíaca, sudoración excesiva, pérdida de peso involuntaria, ansiedad, temblores, fatiga, cambios en la piel y el cabello, entre otros.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11.2 DIAGNÓSTICO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diagnóstico se realiza mediante análisis de sangre que miden los niveles de hormonas tiroideas, como TSH, T4 libre y T3 total. </w:t>
      </w:r>
    </w:p>
    <w:p w:rsidR="00000000" w:rsidDel="00000000" w:rsidP="00000000" w:rsidRDefault="00000000" w:rsidRPr="00000000" w14:paraId="00000052">
      <w:pPr>
        <w:shd w:fill="ffffff" w:val="clear"/>
        <w:spacing w:after="200" w:before="200" w:line="240" w:lineRule="auto"/>
        <w:jc w:val="both"/>
        <w:rPr>
          <w:rFonts w:ascii="Arial" w:cs="Arial" w:eastAsia="Arial" w:hAnsi="Arial"/>
          <w:b w:val="1"/>
        </w:rPr>
      </w:pPr>
      <w:r w:rsidDel="00000000" w:rsidR="00000000" w:rsidRPr="00000000">
        <w:rPr>
          <w:rFonts w:ascii="Arial" w:cs="Arial" w:eastAsia="Arial" w:hAnsi="Arial"/>
          <w:b w:val="1"/>
          <w:rtl w:val="0"/>
        </w:rPr>
        <w:t xml:space="preserve">Síntomas y signos de mayor valor diagnóstico (2)</w:t>
      </w:r>
    </w:p>
    <w:p w:rsidR="00000000" w:rsidDel="00000000" w:rsidP="00000000" w:rsidRDefault="00000000" w:rsidRPr="00000000" w14:paraId="00000053">
      <w:pPr>
        <w:shd w:fill="ffffff" w:val="clear"/>
        <w:spacing w:after="200" w:before="200" w:line="240" w:lineRule="auto"/>
        <w:jc w:val="both"/>
        <w:rPr>
          <w:rFonts w:ascii="Arial" w:cs="Arial" w:eastAsia="Arial" w:hAnsi="Arial"/>
        </w:rPr>
      </w:pPr>
      <w:r w:rsidDel="00000000" w:rsidR="00000000" w:rsidRPr="00000000">
        <w:rPr>
          <w:rFonts w:ascii="Arial" w:cs="Arial" w:eastAsia="Arial" w:hAnsi="Arial"/>
          <w:i w:val="1"/>
          <w:rtl w:val="0"/>
        </w:rPr>
        <w:t xml:space="preserve">Síntomas: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intolerancia al calor, palpitaciones, nerviosismo, insomnio, irritabilidad, hiperquinesia, fatigabilidad fácil, polifagia, pérdida de peso, hiperdefecación y/o diarreas.</w:t>
      </w:r>
    </w:p>
    <w:p w:rsidR="00000000" w:rsidDel="00000000" w:rsidP="00000000" w:rsidRDefault="00000000" w:rsidRPr="00000000" w14:paraId="00000054">
      <w:pPr>
        <w:shd w:fill="ffffff" w:val="clear"/>
        <w:spacing w:after="200" w:before="200" w:line="240" w:lineRule="auto"/>
        <w:jc w:val="both"/>
        <w:rPr>
          <w:rFonts w:ascii="Arial" w:cs="Arial" w:eastAsia="Arial" w:hAnsi="Arial"/>
        </w:rPr>
      </w:pPr>
      <w:r w:rsidDel="00000000" w:rsidR="00000000" w:rsidRPr="00000000">
        <w:rPr>
          <w:rFonts w:ascii="Arial" w:cs="Arial" w:eastAsia="Arial" w:hAnsi="Arial"/>
          <w:i w:val="1"/>
          <w:rtl w:val="0"/>
        </w:rPr>
        <w:t xml:space="preserve">Signos: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bocio, taquicardia, temblor de las manos, debilidad muscular, piel húmeda y caliente, hiperquinesia, pelo fino y frágil. Puede estar presente la dermopatía caracterizada por mixedema pretibial o en otras localizaciones, eritema nudoso y acropaquia.</w:t>
      </w:r>
    </w:p>
    <w:p w:rsidR="00000000" w:rsidDel="00000000" w:rsidP="00000000" w:rsidRDefault="00000000" w:rsidRPr="00000000" w14:paraId="00000055">
      <w:pPr>
        <w:shd w:fill="ffffff" w:val="clear"/>
        <w:spacing w:after="200" w:before="200" w:line="240" w:lineRule="auto"/>
        <w:jc w:val="both"/>
        <w:rPr>
          <w:rFonts w:ascii="Arial" w:cs="Arial" w:eastAsia="Arial" w:hAnsi="Arial"/>
        </w:rPr>
      </w:pPr>
      <w:r w:rsidDel="00000000" w:rsidR="00000000" w:rsidRPr="00000000">
        <w:rPr>
          <w:rFonts w:ascii="Arial" w:cs="Arial" w:eastAsia="Arial" w:hAnsi="Arial"/>
          <w:i w:val="1"/>
          <w:rtl w:val="0"/>
        </w:rPr>
        <w:t xml:space="preserve">Índice de tirotoxicosis: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la suma aritmética de los puntos obtenidos expresará la existencia o no de hipertiroidismo:</w:t>
      </w:r>
    </w:p>
    <w:p w:rsidR="00000000" w:rsidDel="00000000" w:rsidP="00000000" w:rsidRDefault="00000000" w:rsidRPr="00000000" w14:paraId="00000056">
      <w:pPr>
        <w:shd w:fill="ffffff" w:val="clear"/>
        <w:spacing w:after="200" w:before="200" w:line="240" w:lineRule="auto"/>
        <w:jc w:val="both"/>
        <w:rPr>
          <w:rFonts w:ascii="Arial" w:cs="Arial" w:eastAsia="Arial" w:hAnsi="Arial"/>
        </w:rPr>
      </w:pPr>
      <w:r w:rsidDel="00000000" w:rsidR="00000000" w:rsidRPr="00000000">
        <w:rPr>
          <w:rFonts w:ascii="Arial" w:cs="Arial" w:eastAsia="Arial" w:hAnsi="Arial"/>
          <w:rtl w:val="0"/>
        </w:rPr>
        <w:t xml:space="preserve">- £ 10 puntos: normal</w:t>
      </w:r>
    </w:p>
    <w:p w:rsidR="00000000" w:rsidDel="00000000" w:rsidP="00000000" w:rsidRDefault="00000000" w:rsidRPr="00000000" w14:paraId="00000057">
      <w:pPr>
        <w:shd w:fill="ffffff" w:val="clear"/>
        <w:spacing w:after="200" w:before="200" w:line="240" w:lineRule="auto"/>
        <w:jc w:val="both"/>
        <w:rPr>
          <w:rFonts w:ascii="Arial" w:cs="Arial" w:eastAsia="Arial" w:hAnsi="Arial"/>
        </w:rPr>
      </w:pPr>
      <w:r w:rsidDel="00000000" w:rsidR="00000000" w:rsidRPr="00000000">
        <w:rPr>
          <w:rFonts w:ascii="Arial" w:cs="Arial" w:eastAsia="Arial" w:hAnsi="Arial"/>
          <w:rtl w:val="0"/>
        </w:rPr>
        <w:t xml:space="preserve">- 11 y 19 puntos: dudoso</w:t>
      </w:r>
    </w:p>
    <w:p w:rsidR="00000000" w:rsidDel="00000000" w:rsidP="00000000" w:rsidRDefault="00000000" w:rsidRPr="00000000" w14:paraId="00000058">
      <w:pPr>
        <w:shd w:fill="ffffff" w:val="clear"/>
        <w:spacing w:after="200" w:before="200" w:line="240" w:lineRule="auto"/>
        <w:jc w:val="both"/>
        <w:rPr>
          <w:rFonts w:ascii="Arial" w:cs="Arial" w:eastAsia="Arial" w:hAnsi="Arial"/>
        </w:rPr>
      </w:pPr>
      <w:r w:rsidDel="00000000" w:rsidR="00000000" w:rsidRPr="00000000">
        <w:rPr>
          <w:rFonts w:ascii="Arial" w:cs="Arial" w:eastAsia="Arial" w:hAnsi="Arial"/>
          <w:rtl w:val="0"/>
        </w:rPr>
        <w:t xml:space="preserve">- ³ 20 puntos: hipertiroidismo</w:t>
      </w:r>
    </w:p>
    <w:p w:rsidR="00000000" w:rsidDel="00000000" w:rsidP="00000000" w:rsidRDefault="00000000" w:rsidRPr="00000000" w14:paraId="00000059">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11.3. TRATAMIENTO</w:t>
      </w:r>
    </w:p>
    <w:p w:rsidR="00000000" w:rsidDel="00000000" w:rsidP="00000000" w:rsidRDefault="00000000" w:rsidRPr="00000000" w14:paraId="0000005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Fonts w:ascii="Arial" w:cs="Arial" w:eastAsia="Arial" w:hAnsi="Arial"/>
          <w:rtl w:val="0"/>
        </w:rPr>
        <w:t xml:space="preserve">El tratamiento del hipertiroidismo puede variar según la causa subyacente y la gravedad de los síntomas. Las opciones terapéuticas pueden incluir medicamentos para regular la producción de hormonas, yodo radiactivo para reducir el tamaño de la glándula o cirugía para extirpar parte de la glándula tiroides. El manejo efectivo del hipertiroidismo busca restaurar los niveles hormonales normales y aliviar los síntomas asociados, mejorando así la calidad de vida del paciente.</w:t>
      </w:r>
    </w:p>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RECOMENDACIONES (1)</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Determinar la etiología de la tirotoxicosis es básico de cara a establecer un tratamiento correcto tras el diagnóstico (Recomendación grado A, Calidad de evidencia B)1.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El screening de exámenes sanguíneos comienza determinando los niveles de la hormona estimulante de la tiroides, que es el parámetro de mayor sensibilidad y especificidad para el diagnóstico (Recomendación A, Calidad de evidencia A), y que se encuentra disminuida en todos los pacientes con hipertiroidismo. Los ensayos de tercera generación de TSH por quimioluminiscencia, ampliamente utilizados hoy en día, detectan cambios de aproximadamente 0,01 mU/l4 . Si la TSH está disminuida, debe determinarse la T4 libre y la T3 total o libre.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el momento de confirmación mediante exámenes sanguíneos, hay una serie de situaciones que pueden cursar con TSH baja y con las que hay que hacer diagnóstico diferencial (Recomendación A, Calidad de evidencia C):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 Hipotiroidismo central: cursa con TSH baja y hormonas periféricas T₄ y T₃ normales/bajas.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 Síndrome del eutiroideo enfermo: en presencia de una enfermedad extratiroidea puede haber una TSH baja con T₄ en rango normal/bajo y T₃ muy baja.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 Fase de recuperación de un hipertiroidismo: la TSH puede tardar varias semanas en normalizarse tras una fase de hipertiroidismo, siendo ya normales la T₃ y T₄.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 Embarazo: se produce un descenso fisiológico de la TSH en el primer trimestre.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 Tratamiento con biotina: puede ocasionar interferencias de laboratorio en la TSH y T₄/T₃.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Anticuerpos antirreceptor de tirotropina (TSI). Su uso comparado con la gammagrafía reduce los costes y alcanza el diagnóstico de forma más rápida . Su positividad confirma la enfermedad de Graves y además sirve para monitorizar la actividad de la enfermedad durante el tratamiento (Recomendación B, Calidad de evidencia C).</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Gammagrafía. Se recomienda si la sospecha clínica es de adenoma tóxico o bocio multinodular (Recomendación A, Calidad de Evidencia C).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la causa más frecuente de hipertiroidismo, la enfermedad de Graves, la presencia de bocio, oftalmopatía y TSH baja son suficientes para el diagnóstico.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La determinación de anticuerpos y la gammagrafía nos ayudan al diagnóstico etiológico en los demás casos.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Cuando la gammagrafía está contraindicada, podemos usar otras pruebas como la eco-Doppler o la ratio T₃/T₄.</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BIBLIOGRAFÍA</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color w:val="222222"/>
          <w:highlight w:val="white"/>
          <w:rtl w:val="0"/>
        </w:rPr>
        <w:t xml:space="preserve">Manual de Patología Tiroidea, Sociedad Española de Endocrinologia y Nutricion, ISBN: 978-84-16813-65-0, 2018</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color w:val="222222"/>
          <w:highlight w:val="white"/>
          <w:rtl w:val="0"/>
        </w:rPr>
        <w:t xml:space="preserve">Infante Amorós, Adalberto, &amp; Turcios Tristá, Silvia Elena. (2012). Hipertiroidismo. </w:t>
      </w:r>
      <w:r w:rsidDel="00000000" w:rsidR="00000000" w:rsidRPr="00000000">
        <w:rPr>
          <w:rFonts w:ascii="Arial" w:cs="Arial" w:eastAsia="Arial" w:hAnsi="Arial"/>
          <w:i w:val="1"/>
          <w:color w:val="222222"/>
          <w:highlight w:val="white"/>
          <w:rtl w:val="0"/>
        </w:rPr>
        <w:t xml:space="preserve">Revista Cubana de Endocrinología</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23</w:t>
      </w:r>
      <w:r w:rsidDel="00000000" w:rsidR="00000000" w:rsidRPr="00000000">
        <w:rPr>
          <w:rFonts w:ascii="Arial" w:cs="Arial" w:eastAsia="Arial" w:hAnsi="Arial"/>
          <w:color w:val="222222"/>
          <w:highlight w:val="white"/>
          <w:rtl w:val="0"/>
        </w:rPr>
        <w:t xml:space="preserve">(3), 213-220. Recuperado en 16 de agosto de 2023, de </w:t>
      </w:r>
      <w:hyperlink r:id="rId7">
        <w:r w:rsidDel="00000000" w:rsidR="00000000" w:rsidRPr="00000000">
          <w:rPr>
            <w:rFonts w:ascii="Arial" w:cs="Arial" w:eastAsia="Arial" w:hAnsi="Arial"/>
            <w:color w:val="1155cc"/>
            <w:highlight w:val="white"/>
            <w:u w:val="single"/>
            <w:rtl w:val="0"/>
          </w:rPr>
          <w:t xml:space="preserve">http://scielo.sld.cu/scielo.php?script=sci_arttext&amp;pid=S1561-29532012000300005&amp;lng=es&amp;tlng=pt</w:t>
        </w:r>
      </w:hyperlink>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 Gavilán Villarejo, L. Larrán Escandón, F.J. Vílchez López, M. Aguilar Diosdado, Hipertiroidismo, Medicine - Programa de Formación Médica Continuada Acreditado, Volume 11, Issue 14, 2012, Pages 813-818, ISSN 0304-5412, </w:t>
      </w:r>
      <w:hyperlink r:id="rId8">
        <w:r w:rsidDel="00000000" w:rsidR="00000000" w:rsidRPr="00000000">
          <w:rPr>
            <w:rFonts w:ascii="Arial" w:cs="Arial" w:eastAsia="Arial" w:hAnsi="Arial"/>
            <w:color w:val="1155cc"/>
            <w:highlight w:val="white"/>
            <w:u w:val="single"/>
            <w:rtl w:val="0"/>
          </w:rPr>
          <w:t xml:space="preserve">https://doi.org/10.1016/S0304-5412(12)70389-X</w:t>
        </w:r>
      </w:hyperlink>
      <w:r w:rsidDel="00000000" w:rsidR="00000000" w:rsidRPr="00000000">
        <w:rPr>
          <w:rFonts w:ascii="Arial" w:cs="Arial" w:eastAsia="Arial" w:hAnsi="Arial"/>
          <w:color w:val="222222"/>
          <w:highlight w:val="white"/>
          <w:rtl w:val="0"/>
        </w:rPr>
        <w:t xml:space="preserve">. (https://www.sciencedirect.com/science/article/pii/S030454121270389X)</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M. Toni, J. Pineda, E. Anda, J.C. Galofré,</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Hipertiroidismo, Medicine - Programa de Formación Médica Continuada Acreditado, Volume 12, Issue 13, 2016, Pages 731-741, ISSN 0304-5412, </w:t>
      </w:r>
      <w:hyperlink r:id="rId9">
        <w:r w:rsidDel="00000000" w:rsidR="00000000" w:rsidRPr="00000000">
          <w:rPr>
            <w:rFonts w:ascii="Arial" w:cs="Arial" w:eastAsia="Arial" w:hAnsi="Arial"/>
            <w:color w:val="1155cc"/>
            <w:highlight w:val="white"/>
            <w:u w:val="single"/>
            <w:rtl w:val="0"/>
          </w:rPr>
          <w:t xml:space="preserve">https://doi.org/10.1016/j.med.2016.06.003</w:t>
        </w:r>
      </w:hyperlink>
      <w:r w:rsidDel="00000000" w:rsidR="00000000" w:rsidRPr="00000000">
        <w:rPr>
          <w:rFonts w:ascii="Arial" w:cs="Arial" w:eastAsia="Arial" w:hAnsi="Arial"/>
          <w:color w:val="222222"/>
          <w:highlight w:val="white"/>
          <w:rtl w:val="0"/>
        </w:rPr>
        <w:t xml:space="preserve">. (https://www.sciencedirect.com/science/article/pii/S0304541216300889)</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Godoy, C., BARRERA, A., YISMEYIÁN, A., &amp; UGARTE, F. (2009). Hipertiroidismo en niños y adolescentes. </w:t>
      </w:r>
      <w:r w:rsidDel="00000000" w:rsidR="00000000" w:rsidRPr="00000000">
        <w:rPr>
          <w:rFonts w:ascii="Arial" w:cs="Arial" w:eastAsia="Arial" w:hAnsi="Arial"/>
          <w:i w:val="1"/>
          <w:color w:val="222222"/>
          <w:highlight w:val="white"/>
          <w:rtl w:val="0"/>
        </w:rPr>
        <w:t xml:space="preserve">Revista chilena de pediatría</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80</w:t>
      </w:r>
      <w:r w:rsidDel="00000000" w:rsidR="00000000" w:rsidRPr="00000000">
        <w:rPr>
          <w:rFonts w:ascii="Arial" w:cs="Arial" w:eastAsia="Arial" w:hAnsi="Arial"/>
          <w:color w:val="222222"/>
          <w:highlight w:val="white"/>
          <w:rtl w:val="0"/>
        </w:rPr>
        <w:t xml:space="preserve">(1), 21-29.</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Amorós, A. I., &amp; Tristá, S. E. T. (2012). Hipertiroidismo. </w:t>
      </w:r>
      <w:r w:rsidDel="00000000" w:rsidR="00000000" w:rsidRPr="00000000">
        <w:rPr>
          <w:rFonts w:ascii="Arial" w:cs="Arial" w:eastAsia="Arial" w:hAnsi="Arial"/>
          <w:i w:val="1"/>
          <w:color w:val="222222"/>
          <w:highlight w:val="white"/>
          <w:rtl w:val="0"/>
        </w:rPr>
        <w:t xml:space="preserve">Revista Cubana de Endocrinología</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23</w:t>
      </w:r>
      <w:r w:rsidDel="00000000" w:rsidR="00000000" w:rsidRPr="00000000">
        <w:rPr>
          <w:rFonts w:ascii="Arial" w:cs="Arial" w:eastAsia="Arial" w:hAnsi="Arial"/>
          <w:color w:val="222222"/>
          <w:highlight w:val="white"/>
          <w:rtl w:val="0"/>
        </w:rPr>
        <w:t xml:space="preserve">(3).</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Mantilla, D., Echin, M. L., &amp; Perel, C. (2010). Hipertiroidismo y sistema cardiovascular: Bases fisiopatológicas y su manifestación clínica. </w:t>
      </w:r>
      <w:r w:rsidDel="00000000" w:rsidR="00000000" w:rsidRPr="00000000">
        <w:rPr>
          <w:rFonts w:ascii="Arial" w:cs="Arial" w:eastAsia="Arial" w:hAnsi="Arial"/>
          <w:i w:val="1"/>
          <w:color w:val="222222"/>
          <w:highlight w:val="white"/>
          <w:rtl w:val="0"/>
        </w:rPr>
        <w:t xml:space="preserve">Insuficiencia cardíaca</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5</w:t>
      </w:r>
      <w:r w:rsidDel="00000000" w:rsidR="00000000" w:rsidRPr="00000000">
        <w:rPr>
          <w:rFonts w:ascii="Arial" w:cs="Arial" w:eastAsia="Arial" w:hAnsi="Arial"/>
          <w:color w:val="222222"/>
          <w:highlight w:val="white"/>
          <w:rtl w:val="0"/>
        </w:rPr>
        <w:t xml:space="preserve">(4), 157-177.</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Carrera, C. B., Cabañas-Durán, M., Fernández, C. T., &amp; García, J. R. (2020). Tirotoxicosis e hipertiroidismo. </w:t>
      </w:r>
      <w:r w:rsidDel="00000000" w:rsidR="00000000" w:rsidRPr="00000000">
        <w:rPr>
          <w:rFonts w:ascii="Arial" w:cs="Arial" w:eastAsia="Arial" w:hAnsi="Arial"/>
          <w:i w:val="1"/>
          <w:color w:val="222222"/>
          <w:highlight w:val="white"/>
          <w:rtl w:val="0"/>
        </w:rPr>
        <w:t xml:space="preserve">Medicine-Programa de Formación Médica Continuada Acreditado</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13</w:t>
      </w:r>
      <w:r w:rsidDel="00000000" w:rsidR="00000000" w:rsidRPr="00000000">
        <w:rPr>
          <w:rFonts w:ascii="Arial" w:cs="Arial" w:eastAsia="Arial" w:hAnsi="Arial"/>
          <w:color w:val="222222"/>
          <w:highlight w:val="white"/>
          <w:rtl w:val="0"/>
        </w:rPr>
        <w:t xml:space="preserve">(13), 718-726.</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222222"/>
          <w:highlight w:val="whit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tbl>
    <w:tblPr>
      <w:tblStyle w:val="Table1"/>
      <w:tblW w:w="889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0"/>
      <w:gridCol w:w="3465"/>
      <w:gridCol w:w="2160"/>
      <w:tblGridChange w:id="0">
        <w:tblGrid>
          <w:gridCol w:w="3270"/>
          <w:gridCol w:w="3465"/>
          <w:gridCol w:w="2160"/>
        </w:tblGrid>
      </w:tblGridChange>
    </w:tblGrid>
    <w:tr>
      <w:trPr>
        <w:cantSplit w:val="0"/>
        <w:tblHeader w:val="0"/>
      </w:trPr>
      <w:tc>
        <w:tcPr/>
        <w:p w:rsidR="00000000" w:rsidDel="00000000" w:rsidP="00000000" w:rsidRDefault="00000000" w:rsidRPr="00000000" w14:paraId="000000A3">
          <w:pPr>
            <w:tabs>
              <w:tab w:val="center" w:leader="none" w:pos="4419"/>
              <w:tab w:val="right" w:leader="none" w:pos="8838"/>
            </w:tabs>
            <w:rPr>
              <w:b w:val="1"/>
              <w:sz w:val="22"/>
              <w:szCs w:val="22"/>
            </w:rPr>
          </w:pPr>
          <w:r w:rsidDel="00000000" w:rsidR="00000000" w:rsidRPr="00000000">
            <w:rPr/>
            <w:drawing>
              <wp:inline distB="114300" distT="114300" distL="114300" distR="114300">
                <wp:extent cx="2051226" cy="713470"/>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51226" cy="7134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GUÍA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PRÁCTICA CLÍNICA </w:t>
          </w:r>
          <w:r w:rsidDel="00000000" w:rsidR="00000000" w:rsidRPr="00000000">
            <w:rPr>
              <w:rFonts w:ascii="Arial" w:cs="Arial" w:eastAsia="Arial" w:hAnsi="Arial"/>
              <w:b w:val="1"/>
              <w:sz w:val="22"/>
              <w:szCs w:val="22"/>
              <w:rtl w:val="0"/>
            </w:rPr>
            <w:t xml:space="preserve">PARA HIPERTIROIDISMO</w:t>
          </w:r>
          <w:r w:rsidDel="00000000" w:rsidR="00000000" w:rsidRPr="00000000">
            <w:rPr>
              <w:rtl w:val="0"/>
            </w:rPr>
          </w:r>
        </w:p>
      </w:tc>
      <w:tc>
        <w:tcPr/>
        <w:p w:rsidR="00000000" w:rsidDel="00000000" w:rsidP="00000000" w:rsidRDefault="00000000" w:rsidRPr="00000000" w14:paraId="000000A6">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Código:EH-D-042</w:t>
          </w:r>
        </w:p>
        <w:p w:rsidR="00000000" w:rsidDel="00000000" w:rsidP="00000000" w:rsidRDefault="00000000" w:rsidRPr="00000000" w14:paraId="000000A7">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Versión:1</w:t>
          </w:r>
        </w:p>
        <w:p w:rsidR="00000000" w:rsidDel="00000000" w:rsidP="00000000" w:rsidRDefault="00000000" w:rsidRPr="00000000" w14:paraId="000000A9">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Fecha: Enero 2025</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sz w:val="22"/>
              <w:szCs w:val="22"/>
            </w:rPr>
          </w:pPr>
          <w:r w:rsidDel="00000000" w:rsidR="00000000" w:rsidRPr="00000000">
            <w:rPr>
              <w:rtl w:val="0"/>
            </w:rPr>
          </w:r>
        </w:p>
      </w:tc>
    </w:tr>
  </w:tbl>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404FEC"/>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404FEC"/>
    <w:pPr>
      <w:spacing w:after="0" w:line="240" w:lineRule="auto"/>
    </w:pPr>
  </w:style>
  <w:style w:type="paragraph" w:styleId="Prrafodelista">
    <w:name w:val="List Paragraph"/>
    <w:basedOn w:val="Normal"/>
    <w:uiPriority w:val="34"/>
    <w:qFormat w:val="1"/>
    <w:rsid w:val="009064FD"/>
    <w:pPr>
      <w:ind w:left="720"/>
      <w:contextualSpacing w:val="1"/>
    </w:pPr>
  </w:style>
  <w:style w:type="character" w:styleId="Hipervnculo">
    <w:name w:val="Hyperlink"/>
    <w:basedOn w:val="Fuentedeprrafopredeter"/>
    <w:uiPriority w:val="99"/>
    <w:unhideWhenUsed w:val="1"/>
    <w:rsid w:val="009064FD"/>
    <w:rPr>
      <w:color w:val="0563c1" w:themeColor="hyperlink"/>
      <w:u w:val="single"/>
    </w:rPr>
  </w:style>
  <w:style w:type="character" w:styleId="Refdecomentario">
    <w:name w:val="annotation reference"/>
    <w:basedOn w:val="Fuentedeprrafopredeter"/>
    <w:uiPriority w:val="99"/>
    <w:semiHidden w:val="1"/>
    <w:unhideWhenUsed w:val="1"/>
    <w:rsid w:val="009064FD"/>
    <w:rPr>
      <w:sz w:val="16"/>
      <w:szCs w:val="16"/>
    </w:rPr>
  </w:style>
  <w:style w:type="paragraph" w:styleId="Textocomentario">
    <w:name w:val="annotation text"/>
    <w:basedOn w:val="Normal"/>
    <w:link w:val="TextocomentarioCar"/>
    <w:uiPriority w:val="99"/>
    <w:semiHidden w:val="1"/>
    <w:unhideWhenUsed w:val="1"/>
    <w:rsid w:val="009064FD"/>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064FD"/>
    <w:rPr>
      <w:sz w:val="20"/>
      <w:szCs w:val="20"/>
    </w:rPr>
  </w:style>
  <w:style w:type="paragraph" w:styleId="Textodeglobo">
    <w:name w:val="Balloon Text"/>
    <w:basedOn w:val="Normal"/>
    <w:link w:val="TextodegloboCar"/>
    <w:uiPriority w:val="99"/>
    <w:semiHidden w:val="1"/>
    <w:unhideWhenUsed w:val="1"/>
    <w:rsid w:val="009064FD"/>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064FD"/>
    <w:rPr>
      <w:rFonts w:ascii="Segoe UI" w:cs="Segoe UI" w:hAnsi="Segoe UI"/>
      <w:sz w:val="18"/>
      <w:szCs w:val="18"/>
    </w:rPr>
  </w:style>
  <w:style w:type="paragraph" w:styleId="Encabezado">
    <w:name w:val="header"/>
    <w:basedOn w:val="Normal"/>
    <w:link w:val="EncabezadoCar"/>
    <w:uiPriority w:val="99"/>
    <w:unhideWhenUsed w:val="1"/>
    <w:rsid w:val="00C86CA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86CA3"/>
  </w:style>
  <w:style w:type="paragraph" w:styleId="Piedepgina">
    <w:name w:val="footer"/>
    <w:basedOn w:val="Normal"/>
    <w:link w:val="PiedepginaCar"/>
    <w:uiPriority w:val="99"/>
    <w:unhideWhenUsed w:val="1"/>
    <w:rsid w:val="00C86CA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86CA3"/>
  </w:style>
  <w:style w:type="table" w:styleId="Tablaconcuadrcula">
    <w:name w:val="Table Grid"/>
    <w:basedOn w:val="Tablanormal"/>
    <w:uiPriority w:val="39"/>
    <w:rsid w:val="00C86CA3"/>
    <w:pPr>
      <w:spacing w:after="0" w:line="240" w:lineRule="auto"/>
    </w:pPr>
    <w:rPr>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med.2016.06.003" TargetMode="External"/><Relationship Id="rId15"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ielo.sld.cu/scielo.php?script=sci_arttext&amp;pid=S1561-29532012000300005&amp;lng=es&amp;tlng=pt" TargetMode="External"/><Relationship Id="rId8" Type="http://schemas.openxmlformats.org/officeDocument/2006/relationships/hyperlink" Target="https://doi.org/10.1016/S0304-5412(12)70389-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ogenWMBusGQFSx2bUwDWRy/1UA==">CgMxLjA4AHIhMVN2ZS1FUWtIQWMxblJlWXZQU2VYRnA0X2toUzhYRUxV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2019-10-11T14:49:00Z</dcterms:created>
  <dc:creator>Centro Medico</dc:creator>
</cp:coreProperties>
</file>